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Liew Lit Yeu v SKH M &amp; E Sdn Bhd  [2024] ILJU 373</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HIDAYAT SHARIFF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1240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19 August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Sandosh Anandan (with Gunaletchumi a/p Alagan) (Sandosh Anandan)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Kemkumar Saviour Lopez (Kamarudin &amp; Partners)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4"/>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Salahudin Hidayat Shariff C"/>
            <w:bookmarkEnd w:id="1"/>
            <w:r>
              <w:rPr>
                <w:rFonts w:ascii="arial" w:eastAsia="arial" w:hAnsi="arial" w:cs="arial"/>
                <w:b/>
                <w:i w:val="0"/>
                <w:strike w:val="0"/>
                <w:noProof w:val="0"/>
                <w:color w:val="000000"/>
                <w:position w:val="0"/>
                <w:sz w:val="30"/>
                <w:u w:val="none"/>
                <w:vertAlign w:val="baseline"/>
              </w:rPr>
              <w:t>Salahudin Hidayat Shariff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The initial reference is dated 25 September 2018 made by the Minister of Human Resources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Liew Lit Yeu</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SKM M &amp; E Sdn. Bhd.</w:t>
      </w:r>
      <w:r>
        <w:rPr>
          <w:rFonts w:ascii="arial" w:eastAsia="arial" w:hAnsi="arial" w:cs="arial"/>
          <w:b w:val="0"/>
          <w:i w:val="0"/>
          <w:strike w:val="0"/>
          <w:noProof w:val="0"/>
          <w:color w:val="000000"/>
          <w:position w:val="0"/>
          <w:sz w:val="24"/>
          <w:u w:val="none"/>
          <w:vertAlign w:val="baseline"/>
        </w:rPr>
        <w:t xml:space="preserve"> (“the Company”) on 23 April 2018.</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Chronology of the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This case has been decided by the Industrial Court earlier in 2019 and upon the case being reviewed was remitted from the Court of Appeal back to this Court. The chronology of the case is provided in the following paragraphs.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On 16 January 2019, the Industrial Court gave an Interim Award, Award No: 298 of 2019, on the application of the Claimant to join a party to the proceedings; namely Kay Corporation Sdn Bhd. The Court allowed the application for the joinder.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On 8 October 2019, the Industrial Court gave the final Award in favour of the Company. The Court gave the decision in Award No.: 2686 of 2019 and the conclusion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[34]</w:t>
      </w:r>
      <w:r>
        <w:rPr>
          <w:rFonts w:ascii="arial" w:eastAsia="arial" w:hAnsi="arial" w:cs="arial"/>
          <w:b w:val="0"/>
          <w:i w:val="0"/>
          <w:strike w:val="0"/>
          <w:noProof w:val="0"/>
          <w:color w:val="000000"/>
          <w:position w:val="0"/>
          <w:sz w:val="18"/>
          <w:u w:val="none"/>
          <w:vertAlign w:val="baseline"/>
        </w:rPr>
        <w:t xml:space="preserve"> Under these circumstances the court would have held the Claimant’s dismissal to have been with just cause and excuse, and would have dismissed the Claimant’s claim if it had not already struck off this case for want of jurisdiction.”</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A Judicial Review was filed by the Claimant to the High Court and on 14 July 2021, the High Court allowed the Judicial Review. The High Court order is as follows:</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Permohonan Semakan dibenarkan;</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Kes dikembalikan ke Mahkamah Perusahaan bagi memutuskan pampasan dan/atau remedy; dan</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Responden 1 dan 2 bayar kos RM4,000.00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 matter was then referred to the Court of Appeal and on 18 January 2023, the parties recorded a consent judgment in the Court of Appeal and the judgment is as follows:</w:t>
      </w:r>
      <w:r>
        <w:t>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This Appeal is allowed in part wherein paragraph (b) of the Kuala Lumpur High Court Judicial Review Application No. </w:t>
      </w:r>
      <w:r>
        <w:rPr>
          <w:rFonts w:ascii="arial" w:eastAsia="arial" w:hAnsi="arial" w:cs="arial"/>
          <w:b w:val="0"/>
          <w:i w:val="0"/>
          <w:strike w:val="0"/>
          <w:noProof w:val="0"/>
          <w:color w:val="000000"/>
          <w:position w:val="0"/>
          <w:sz w:val="24"/>
          <w:u w:val="single"/>
          <w:vertAlign w:val="baseline"/>
        </w:rPr>
        <w:t>WA-25-40-01/2020</w:t>
      </w:r>
      <w:r>
        <w:rPr>
          <w:rFonts w:ascii="arial" w:eastAsia="arial" w:hAnsi="arial" w:cs="arial"/>
          <w:b w:val="0"/>
          <w:i w:val="0"/>
          <w:strike w:val="0"/>
          <w:noProof w:val="0"/>
          <w:color w:val="000000"/>
          <w:position w:val="0"/>
          <w:sz w:val="24"/>
          <w:u w:val="none"/>
          <w:vertAlign w:val="baseline"/>
        </w:rPr>
        <w:t xml:space="preserve"> Order dated 14/7/2021 is varied and is to be read as follows:-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Judicial review application is allowed;</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Award No.2686/2019 is set aside and the Respondent’s complaint of dismissal under Section 20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is remitted to the Industrial Court to be heard on an urgent basis before another Chairperson to determine:- </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Respondent was dismissed for just cause and excuse based on the grounds stated in the Letter of Termination dated 23/4/2018;</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there was a misconduct by the Respondent vis-à-vis Kuasakon Sdn Bhd and if proven whether this misconduct will affect the Respondent’s entitlement to remedy (if any);</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All the evidence adduced at the previous Industrial Court Hearing (documentary and oral evidence) including the Notes of Evidence is to remain intact and be referred to in the Re-Hearing before the Industrial Court and parties are at liberty to adduce such further or other oral or documentary evidence as they seen fit;</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 order as to costs in respect of the appeal herein;</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costs of RM 4,000.00 awarded by the Kuala Lumpur High Court Judicial Review Application No. </w:t>
      </w:r>
      <w:r>
        <w:rPr>
          <w:rFonts w:ascii="arial" w:eastAsia="arial" w:hAnsi="arial" w:cs="arial"/>
          <w:b w:val="0"/>
          <w:i w:val="0"/>
          <w:strike w:val="0"/>
          <w:noProof w:val="0"/>
          <w:color w:val="000000"/>
          <w:position w:val="0"/>
          <w:sz w:val="24"/>
          <w:u w:val="single"/>
          <w:vertAlign w:val="baseline"/>
        </w:rPr>
        <w:t>WA-25-40-01/2020</w:t>
      </w:r>
      <w:r>
        <w:rPr>
          <w:rFonts w:ascii="arial" w:eastAsia="arial" w:hAnsi="arial" w:cs="arial"/>
          <w:b w:val="0"/>
          <w:i w:val="0"/>
          <w:strike w:val="0"/>
          <w:noProof w:val="0"/>
          <w:color w:val="000000"/>
          <w:position w:val="0"/>
          <w:sz w:val="24"/>
          <w:u w:val="none"/>
          <w:vertAlign w:val="baseline"/>
        </w:rPr>
        <w:t xml:space="preserve"> is to be paid to the Respondent only in the event the Industrial Court makes a finding that the Respondent was dismissed without just cause or excuse and such costs is payable within one (1) month of the award by the Industrial Court.</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Court’s Parameters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Based on the chronology above and the decisions of the higher Courts, this Court has certain parameters that it is bound. It is these parameters that this Court intends to highlight and adhere to in making this Award. Since the Court of Appeal’s consent judgment, as reproduced above, has been made, it will be the judgment that this Court will construe.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consent judgment has made three specific orders. The first order has two major parts to it. The first part and the first limb of the second part are related and will be looked into jointly. The orders are that the judicial review is allowed and the decision in Award No. 2686/2019 is set aside. This looks straightforward and should not need any explanation whatsoever. However, if the Court looks at the Award No. 2686 of 2019, the actual decision of the Chairman was that the case was dismissed due to want of prosecution. The learned Chair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[18]</w:t>
      </w:r>
      <w:r>
        <w:rPr>
          <w:rFonts w:ascii="arial" w:eastAsia="arial" w:hAnsi="arial" w:cs="arial"/>
          <w:b w:val="0"/>
          <w:i w:val="0"/>
          <w:strike w:val="0"/>
          <w:noProof w:val="0"/>
          <w:color w:val="000000"/>
          <w:position w:val="0"/>
          <w:sz w:val="18"/>
          <w:u w:val="none"/>
          <w:vertAlign w:val="baseline"/>
        </w:rPr>
        <w:t xml:space="preserve"> The Claimant has pursued his case to full term knowing full well, but unbeknownst to the court, that he actually wants money, and only money. The court has on its part been unwittingly adjudicating a purely monetary claim. This is an abuse of the court’s process and the Claimant has not come to this court with clean hands. In the circumstances, since the Claimant does not want reinstatement, the court has no jurisdiction to hear this case. Accordingly, the case is struck off for want of jurisdiction.</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[19]</w:t>
      </w:r>
      <w:r>
        <w:rPr>
          <w:rFonts w:ascii="arial" w:eastAsia="arial" w:hAnsi="arial" w:cs="arial"/>
          <w:b w:val="0"/>
          <w:i w:val="0"/>
          <w:strike w:val="0"/>
          <w:noProof w:val="0"/>
          <w:color w:val="000000"/>
          <w:position w:val="0"/>
          <w:sz w:val="18"/>
          <w:u w:val="none"/>
          <w:vertAlign w:val="baseline"/>
        </w:rPr>
        <w:t xml:space="preserve"> This disposes off the case. However, one matter which was voiced out by the Claimant’s counsel at the commencement of the hearing and several times more in the course of hearing, needs to be addressed.”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xml:space="preserve">  The finding above would usually be the ending of the case, as stated by the Chair above. However, the learned Chair continued to other aspects of the case including the issues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The question here is whether these further views are actually part of the Award or a mere </w:t>
      </w:r>
      <w:r>
        <w:rPr>
          <w:rFonts w:ascii="arial" w:eastAsia="arial" w:hAnsi="arial" w:cs="arial"/>
          <w:b w:val="0"/>
          <w:i/>
          <w:strike w:val="0"/>
          <w:noProof w:val="0"/>
          <w:color w:val="000000"/>
          <w:position w:val="0"/>
          <w:sz w:val="24"/>
          <w:u w:val="none"/>
          <w:vertAlign w:val="baseline"/>
        </w:rPr>
        <w:t>obiter dictum</w:t>
      </w:r>
      <w:r>
        <w:rPr>
          <w:rFonts w:ascii="arial" w:eastAsia="arial" w:hAnsi="arial" w:cs="arial"/>
          <w:b w:val="0"/>
          <w:i w:val="0"/>
          <w:strike w:val="0"/>
          <w:noProof w:val="0"/>
          <w:color w:val="000000"/>
          <w:position w:val="0"/>
          <w:sz w:val="24"/>
          <w:u w:val="none"/>
          <w:vertAlign w:val="baseline"/>
        </w:rPr>
        <w:t>. This will be discussed in detail later in the 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Notwithstanding the above, one point of law that the Award discussed quite lengthily was on whether the Court could make its award based on the finding of facts and documents after the date of termination. This will be discussed in greater detail later in this Award under the preliminary issues that the Court has identified.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second order is basically that there will be no order for costs. Whilst the third order is that the High Court Order for costs will only be paid if the Claimant was deemed to be dismissed without just cause or excuse. The third order has some relation to the second limb of the second part of the first order. Meaning that it will only come into effect if the Court finds that the Claimant did have misconduct pursuant to Kuasakan as discussed below.</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Now the Court will look at the crux of the judgment which is the second limb of the second part of the first order. The exact is as stated above, but what is important to note is that the consent judgment instructs the Industrial Court to review the Claimant’s complaint of dismissal that was remitted, and the Chairman of the Industrial Court has to determine three specific areas.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Firstly, whether the Claimant was dismissed with just cause and excuse based on the grounds stated in the Letter of Termination dated 23/4/2018. This is basically the role and function of the Industrial Court for most cases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Secondly, whether there was a misconduct by the Claimant </w:t>
      </w:r>
      <w:r>
        <w:rPr>
          <w:rFonts w:ascii="arial" w:eastAsia="arial" w:hAnsi="arial" w:cs="arial"/>
          <w:b w:val="0"/>
          <w:i/>
          <w:strike w:val="0"/>
          <w:noProof w:val="0"/>
          <w:color w:val="000000"/>
          <w:position w:val="0"/>
          <w:sz w:val="24"/>
          <w:u w:val="none"/>
          <w:vertAlign w:val="baseline"/>
        </w:rPr>
        <w:t>vis-à-vis</w:t>
      </w:r>
      <w:r>
        <w:rPr>
          <w:rFonts w:ascii="arial" w:eastAsia="arial" w:hAnsi="arial" w:cs="arial"/>
          <w:b w:val="0"/>
          <w:i w:val="0"/>
          <w:strike w:val="0"/>
          <w:noProof w:val="0"/>
          <w:color w:val="000000"/>
          <w:position w:val="0"/>
          <w:sz w:val="24"/>
          <w:u w:val="none"/>
          <w:vertAlign w:val="baseline"/>
        </w:rPr>
        <w:t xml:space="preserve"> Kuasakon Sdn Bhd, and if proven whether the misconduct will affect the Claimant’s entitlement to remedy. This Court’s understanding is that the Court must ascertain the involvement of Kuasakon Sdn Bhd in the Claimant’s alleged misconduct in the Company. If there was any misconduct, then whether the said misconduct would affect the Claimant’s entitlement to remedy, if any. This as mentioned in the above paragraphs.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This second part entails the Court determining the extent of the misconduct and weighing the possibility that if there was any misconduct, it would be so grave as to warrant a significant alteration on the Award of the Court. Another aspect that the Court should consider is, whether the Industrial Court had already factored in this in the initial Award, specifically the part where this Court believes is an </w:t>
      </w:r>
      <w:r>
        <w:rPr>
          <w:rFonts w:ascii="arial" w:eastAsia="arial" w:hAnsi="arial" w:cs="arial"/>
          <w:b w:val="0"/>
          <w:i/>
          <w:strike w:val="0"/>
          <w:noProof w:val="0"/>
          <w:color w:val="000000"/>
          <w:position w:val="0"/>
          <w:sz w:val="24"/>
          <w:u w:val="none"/>
          <w:vertAlign w:val="baseline"/>
        </w:rPr>
        <w:t>obiter dictum</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The final part of the second limb of the first order states that all the evidence adduced at the previous Industrial Court Hearing (documentary and oral evidence) including the Notes of Evidence is to remain intact and be referred to in the Re-Hearing before the Industrial Court and parties are at liberty to adduce such further or other oral or documentary evidence as they seen fit.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This part is rather crucial because it could easily be misconstrued especially if the entire judgment is to be properly understood. The consent judgment clearly states that the variation is to the second part of the order of the High Court. The first order of the High Court clearly states that the Judicial Review is allowed, namely the review of the Award No. 2686/2019. The second part of the High Court Order is that the case is returned to the Industrial Court to determine the compensation or 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It is this order that is varied, whereby the Award is actually set aside. Further, the Claimant’s complaint of dismissal under section 20,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is remitted to the Industrial Court for it to ascertain whether the Claimant was dismissed for just cause and excuse based on the Letter of Termination. Also whether there was misconduct by the Claimant with regards to Kuasakon Sdn Bhd. If there was misconduct, whether it would affect the Claimant’s entitlement for any remedy. Based on the above order, the Court has a two-fold requirement to fulfil both the consent judgment’s orders.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The final part of the second order states that all the evidence including the Notes of Evidence are to remain intact and referred to, and parties are at liberty to adduce such further or other oral or documentary evidence as they seen fit. The Court’s understanding is that this Court should only listen to new evidence at the rehearing and use the previous evidence as set in stone.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Bearing this in mind the Court had instructed the parties to only focus on submitting new evidence either documentary or oral at the rehearing. Since both parties did not object and that it was the same parties that entered to the consent judgment, this was how the proceeding was conducted. Now the Court looks at the brief facts of the case.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Brief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It would be a common practice for the Court to state the brief facts of the case or as some Courts have used the phrase factual matrix or as in this case it has used the phrase Case Synopsis. However, since this is a remittance and the order was that the notes remain intact, the Court has merely extracted the facts or synopsis from the said Award.</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single"/>
          <w:vertAlign w:val="baseline"/>
        </w:rPr>
        <w:t>Case Synopsis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[4]</w:t>
      </w:r>
      <w:r>
        <w:rPr>
          <w:rFonts w:ascii="arial" w:eastAsia="arial" w:hAnsi="arial" w:cs="arial"/>
          <w:b w:val="0"/>
          <w:i w:val="0"/>
          <w:strike w:val="0"/>
          <w:noProof w:val="0"/>
          <w:color w:val="000000"/>
          <w:position w:val="0"/>
          <w:sz w:val="18"/>
          <w:u w:val="none"/>
          <w:vertAlign w:val="baseline"/>
        </w:rPr>
        <w:t xml:space="preserve"> The events leading to the Claimant’s dismissal are set out in the following paragraphs.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[5]</w:t>
      </w:r>
      <w:r>
        <w:rPr>
          <w:rFonts w:ascii="arial" w:eastAsia="arial" w:hAnsi="arial" w:cs="arial"/>
          <w:b w:val="0"/>
          <w:i w:val="0"/>
          <w:strike w:val="0"/>
          <w:noProof w:val="0"/>
          <w:color w:val="000000"/>
          <w:position w:val="0"/>
          <w:sz w:val="18"/>
          <w:u w:val="none"/>
          <w:vertAlign w:val="baseline"/>
        </w:rPr>
        <w:t xml:space="preserve"> On or about 16/17 April 2018, COW found email correspondence between the Claimant and one of the 2</w:t>
      </w:r>
      <w:r>
        <w:rPr>
          <w:rFonts w:ascii="arial" w:eastAsia="arial" w:hAnsi="arial" w:cs="arial"/>
          <w:b w:val="0"/>
          <w:i w:val="0"/>
          <w:strike w:val="0"/>
          <w:noProof w:val="0"/>
          <w:color w:val="000000"/>
          <w:position w:val="0"/>
          <w:sz w:val="18"/>
          <w:u w:val="none"/>
          <w:vertAlign w:val="superscript"/>
        </w:rPr>
        <w:t>nd</w:t>
      </w:r>
      <w:r>
        <w:rPr>
          <w:rFonts w:ascii="arial" w:eastAsia="arial" w:hAnsi="arial" w:cs="arial"/>
          <w:b w:val="0"/>
          <w:i w:val="0"/>
          <w:strike w:val="0"/>
          <w:noProof w:val="0"/>
          <w:color w:val="000000"/>
          <w:position w:val="0"/>
          <w:sz w:val="18"/>
          <w:u w:val="none"/>
          <w:vertAlign w:val="baseline"/>
        </w:rPr>
        <w:t xml:space="preserve"> Company’s subcontractors for the Ain Medicare Kota Bahru subcontract, Jerteh Sri Jaya Electrical, which showed that the Claimant had secretly made a deal to mark-up the subcontract price by RM500,000.00. The emails were regarding Claim No. 3 by Jerteh Sri Jaya Electrical for the Ain Medicare Kota Bahru subcontract. In a replying email, the Claimant instructed one Mr. Tan (his friend)/Ms. Jenny to “</w:t>
      </w:r>
      <w:r>
        <w:rPr>
          <w:rFonts w:ascii="arial" w:eastAsia="arial" w:hAnsi="arial" w:cs="arial"/>
          <w:b/>
          <w:i w:val="0"/>
          <w:strike w:val="0"/>
          <w:noProof w:val="0"/>
          <w:color w:val="000000"/>
          <w:position w:val="0"/>
          <w:sz w:val="18"/>
          <w:u w:val="none"/>
          <w:vertAlign w:val="baseline"/>
        </w:rPr>
        <w:t>redo the BQ as per attached given.”</w:t>
      </w:r>
      <w:r>
        <w:rPr>
          <w:rFonts w:ascii="arial" w:eastAsia="arial" w:hAnsi="arial" w:cs="arial"/>
          <w:b w:val="0"/>
          <w:i w:val="0"/>
          <w:strike w:val="0"/>
          <w:noProof w:val="0"/>
          <w:color w:val="000000"/>
          <w:position w:val="0"/>
          <w:sz w:val="18"/>
          <w:u w:val="none"/>
          <w:vertAlign w:val="baseline"/>
        </w:rPr>
        <w:t xml:space="preserve"> The Claimant attached the Bill of Quantities -Summary of Tender to this email.</w:t>
      </w:r>
      <w:r>
        <w:t>
</w:t>
      </w:r>
    </w:p>
    <w:p>
      <w:pPr>
        <w:keepNext w:val="0"/>
        <w:numPr>
          <w:numId w:val="8"/>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The subcon cost of RM1,819,147.20 which the 24 Company knew was the sum it had awarded to Jerteh Sri Jaya Electrical in its Letter of Award dated 23 October 2017;</w:t>
      </w:r>
    </w:p>
    <w:p>
      <w:pPr>
        <w:keepNext w:val="0"/>
        <w:numPr>
          <w:numId w:val="8"/>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The second subcon cost ‘RM1,317,109.10’ the Bill of Quantities — Summary of Tender, the last/6th column, last row, showed the total as ‘RM1,317,109.10’. The 2</w:t>
      </w:r>
      <w:r>
        <w:rPr>
          <w:rFonts w:ascii="arial" w:eastAsia="arial" w:hAnsi="arial" w:cs="arial"/>
          <w:b w:val="0"/>
          <w:i w:val="0"/>
          <w:strike w:val="0"/>
          <w:noProof w:val="0"/>
          <w:color w:val="000000"/>
          <w:position w:val="0"/>
          <w:sz w:val="18"/>
          <w:u w:val="none"/>
          <w:vertAlign w:val="superscript"/>
        </w:rPr>
        <w:t>nd</w:t>
      </w:r>
      <w:r>
        <w:rPr>
          <w:rFonts w:ascii="arial" w:eastAsia="arial" w:hAnsi="arial" w:cs="arial"/>
          <w:b w:val="0"/>
          <w:i w:val="0"/>
          <w:strike w:val="0"/>
          <w:noProof w:val="0"/>
          <w:color w:val="000000"/>
          <w:position w:val="0"/>
          <w:sz w:val="18"/>
          <w:u w:val="none"/>
          <w:vertAlign w:val="baseline"/>
        </w:rPr>
        <w:t xml:space="preserve"> Company did not know about this sum;</w:t>
      </w:r>
    </w:p>
    <w:p>
      <w:pPr>
        <w:keepNext w:val="0"/>
        <w:numPr>
          <w:numId w:val="8"/>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The difference in value of the two subcon costs was RM502,038.10;</w:t>
      </w:r>
    </w:p>
    <w:p>
      <w:pPr>
        <w:keepNext w:val="0"/>
        <w:numPr>
          <w:numId w:val="8"/>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The emails and attached documents with the two subcon costs were sent to the subcontractor by the Claimant some 4 months after the issuing of the Letter of Award.</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[6]</w:t>
      </w:r>
      <w:r>
        <w:rPr>
          <w:rFonts w:ascii="arial" w:eastAsia="arial" w:hAnsi="arial" w:cs="arial"/>
          <w:b w:val="0"/>
          <w:i w:val="0"/>
          <w:strike w:val="0"/>
          <w:noProof w:val="0"/>
          <w:color w:val="000000"/>
          <w:position w:val="0"/>
          <w:sz w:val="18"/>
          <w:u w:val="none"/>
          <w:vertAlign w:val="baseline"/>
        </w:rPr>
        <w:t xml:space="preserve"> On 16 April 2018, the personal desktop computer which the Companies had assigned to the Claimant and designated for his sole use was confiscated by the Companies.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[7]</w:t>
      </w:r>
      <w:r>
        <w:rPr>
          <w:rFonts w:ascii="arial" w:eastAsia="arial" w:hAnsi="arial" w:cs="arial"/>
          <w:b w:val="0"/>
          <w:i w:val="0"/>
          <w:strike w:val="0"/>
          <w:noProof w:val="0"/>
          <w:color w:val="000000"/>
          <w:position w:val="0"/>
          <w:sz w:val="18"/>
          <w:u w:val="none"/>
          <w:vertAlign w:val="baseline"/>
        </w:rPr>
        <w:t xml:space="preserve"> On 17 April 2018, Mr. KS Au Yong and COW, had a meeting with the Claimant. At this meeting Mr. KS Au Yong and COW sought an explanation from the Claimant concerning the said emails and the two subcon costs but the Claimant was not able to give any satisfactory explanation.</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[8]</w:t>
      </w:r>
      <w:r>
        <w:rPr>
          <w:rFonts w:ascii="arial" w:eastAsia="arial" w:hAnsi="arial" w:cs="arial"/>
          <w:b w:val="0"/>
          <w:i w:val="0"/>
          <w:strike w:val="0"/>
          <w:noProof w:val="0"/>
          <w:color w:val="000000"/>
          <w:position w:val="0"/>
          <w:sz w:val="18"/>
          <w:u w:val="none"/>
          <w:vertAlign w:val="baseline"/>
        </w:rPr>
        <w:t xml:space="preserve"> Mr. KS Au Yong and COW decided that they could not trust the Claimant any longer in his position as Contracts Manager. They offered to allow the Claimant to tender his resignation on terms to avoid the matter escalating into a criminal case. In addition to resigning, the Claimant was to ensure that the subcontracts he had recommended were mutually terminated and he was also to recoup from the subcontractors the losses incurred from the highly inflated subcontracts he had recommended to the Companies.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[9]</w:t>
      </w:r>
      <w:r>
        <w:rPr>
          <w:rFonts w:ascii="arial" w:eastAsia="arial" w:hAnsi="arial" w:cs="arial"/>
          <w:b w:val="0"/>
          <w:i w:val="0"/>
          <w:strike w:val="0"/>
          <w:noProof w:val="0"/>
          <w:color w:val="000000"/>
          <w:position w:val="0"/>
          <w:sz w:val="18"/>
          <w:u w:val="none"/>
          <w:vertAlign w:val="baseline"/>
        </w:rPr>
        <w:t xml:space="preserve"> Initially, the Claimant indicated at the meeting that he was agreeable to resign and, based on this intimation, Mr. William Au Yong sent him a Whatsapp message containing a draft resignation letter.</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[10]</w:t>
      </w:r>
      <w:r>
        <w:rPr>
          <w:rFonts w:ascii="arial" w:eastAsia="arial" w:hAnsi="arial" w:cs="arial"/>
          <w:b w:val="0"/>
          <w:i w:val="0"/>
          <w:strike w:val="0"/>
          <w:noProof w:val="0"/>
          <w:color w:val="000000"/>
          <w:position w:val="0"/>
          <w:sz w:val="18"/>
          <w:u w:val="none"/>
          <w:vertAlign w:val="baseline"/>
        </w:rPr>
        <w:t xml:space="preserve"> On 18 April 2018, the Claimant in response, asked about his statutory and contractual claims, to which COW said that it would be attended to on the same day. COW also told the Claimant that he was to revert with the resignation letter by the next morning, that is, 19 April 2018. The Claimant asked what the hurry was, and said that it was difficult to find a job because of the coming elections.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[11]</w:t>
      </w:r>
      <w:r>
        <w:rPr>
          <w:rFonts w:ascii="arial" w:eastAsia="arial" w:hAnsi="arial" w:cs="arial"/>
          <w:b w:val="0"/>
          <w:i w:val="0"/>
          <w:strike w:val="0"/>
          <w:noProof w:val="0"/>
          <w:color w:val="000000"/>
          <w:position w:val="0"/>
          <w:sz w:val="18"/>
          <w:u w:val="none"/>
          <w:vertAlign w:val="baseline"/>
        </w:rPr>
        <w:t xml:space="preserve"> The Claimant subsequently refused to resign and said he could not recoup the losses. In the circumstances the 1</w:t>
      </w:r>
      <w:r>
        <w:rPr>
          <w:rFonts w:ascii="arial" w:eastAsia="arial" w:hAnsi="arial" w:cs="arial"/>
          <w:b w:val="0"/>
          <w:i w:val="0"/>
          <w:strike w:val="0"/>
          <w:noProof w:val="0"/>
          <w:color w:val="000000"/>
          <w:position w:val="0"/>
          <w:sz w:val="18"/>
          <w:u w:val="none"/>
          <w:vertAlign w:val="superscript"/>
        </w:rPr>
        <w:t>st</w:t>
      </w:r>
      <w:r>
        <w:rPr>
          <w:rFonts w:ascii="arial" w:eastAsia="arial" w:hAnsi="arial" w:cs="arial"/>
          <w:b w:val="0"/>
          <w:i w:val="0"/>
          <w:strike w:val="0"/>
          <w:noProof w:val="0"/>
          <w:color w:val="000000"/>
          <w:position w:val="0"/>
          <w:sz w:val="18"/>
          <w:u w:val="none"/>
          <w:vertAlign w:val="baseline"/>
        </w:rPr>
        <w:t xml:space="preserve"> Company terminated the Claimant’s employment contract vide its letter dated 23 April 2018, which is reproduced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(This page is intentionally left blank)</w:t>
      </w:r>
    </w:p>
    <w:p>
      <w:pPr>
        <w:keepNext w:val="0"/>
        <w:spacing w:before="0" w:after="0" w:line="240" w:lineRule="atLeast"/>
        <w:ind w:left="400" w:right="0" w:firstLine="0"/>
        <w:jc w:val="both"/>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1pt;height:690pt">
            <v:imagedata r:id="rId7" o:title=""/>
          </v:shape>
        </w:pict>
      </w:r>
    </w:p>
    <w:p>
      <w:pPr>
        <w:keepNext w:val="0"/>
        <w:spacing w:before="0" w:after="0" w:line="240" w:lineRule="atLeast"/>
        <w:ind w:left="400" w:right="0" w:firstLine="0"/>
        <w:jc w:val="both"/>
      </w:pPr>
      <w:r>
        <w:br/>
      </w:r>
      <w:r>
        <w:pict>
          <v:shape id="_x0000_i1026" type="#_x0000_t75" style="width:482.53pt;height:708pt">
            <v:imagedata r:id="rId8" o:title=""/>
          </v:shape>
        </w:pict>
      </w:r>
    </w:p>
    <w:p>
      <w:pPr>
        <w:keepNext w:val="0"/>
        <w:spacing w:before="0" w:after="0" w:line="240" w:lineRule="atLeast"/>
        <w:ind w:left="400" w:right="0" w:firstLine="0"/>
        <w:jc w:val="both"/>
      </w:pPr>
      <w:r>
        <w:br/>
      </w:r>
      <w:r>
        <w:pict>
          <v:shape id="_x0000_i1027" type="#_x0000_t75" style="width:478.54pt;height:708pt">
            <v:imagedata r:id="rId9" o:title=""/>
          </v:shape>
        </w:pic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[12]</w:t>
      </w:r>
      <w:r>
        <w:rPr>
          <w:rFonts w:ascii="arial" w:eastAsia="arial" w:hAnsi="arial" w:cs="arial"/>
          <w:b w:val="0"/>
          <w:i w:val="0"/>
          <w:strike w:val="0"/>
          <w:noProof w:val="0"/>
          <w:color w:val="000000"/>
          <w:position w:val="0"/>
          <w:sz w:val="18"/>
          <w:u w:val="none"/>
          <w:vertAlign w:val="baseline"/>
        </w:rPr>
        <w:t xml:space="preserve"> Although this was not stated in the said letter of dismissal, further investigation by the Companies continued after the password to the personal computer assigned to the Claimant was cracked and the numerous sub-folders hidden therein were checked. This search revealed that the Claimant had masterminded a conspiracy while in employment by incorporating his own company, by the name of Kuasakon Sdn. Bhd, with his cousin Liew Yih. The Claimant then recommended his said cousin and his friend as subcontractors to the 2</w:t>
      </w:r>
      <w:r>
        <w:rPr>
          <w:rFonts w:ascii="arial" w:eastAsia="arial" w:hAnsi="arial" w:cs="arial"/>
          <w:b w:val="0"/>
          <w:i w:val="0"/>
          <w:strike w:val="0"/>
          <w:noProof w:val="0"/>
          <w:color w:val="000000"/>
          <w:position w:val="0"/>
          <w:sz w:val="18"/>
          <w:u w:val="none"/>
          <w:vertAlign w:val="superscript"/>
        </w:rPr>
        <w:t>nd</w:t>
      </w:r>
      <w:r>
        <w:rPr>
          <w:rFonts w:ascii="arial" w:eastAsia="arial" w:hAnsi="arial" w:cs="arial"/>
          <w:b w:val="0"/>
          <w:i w:val="0"/>
          <w:strike w:val="0"/>
          <w:noProof w:val="0"/>
          <w:color w:val="000000"/>
          <w:position w:val="0"/>
          <w:sz w:val="18"/>
          <w:u w:val="none"/>
          <w:vertAlign w:val="baseline"/>
        </w:rPr>
        <w:t xml:space="preserve"> Company but the works were actually done by this company Kuasakon Sdn. Bhd. The Claimant also undertook other contracts through Kuasakon Sdn. Bhd. while in the employment of the Companies.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The above has illustrated the brief facts of the case as quoted from the Award No. 2686 of 2019. Earlier the Court has given some to the parameters that the Court must adhere in determining the matter. The Court has gone through the case synopsis and notes that there are some parts of the findings that this Court would interpret differently. This will be explored later in this 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Initially the Court had intended to focus solely on the Notes of Proceedings of the previous Award as well as the fresh evidence as given through testimony in Court and the documents and submission that have been filed recently, trying not to re-open the previous Award. However, as the Award here will describe later, the Court has to go through all the documents and submissions, notwithstanding whether they were from the previous Award or not. Those documents and submissions are listed for ease of reference as follows:</w:t>
      </w:r>
      <w:r>
        <w:t>
</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Amended Statement of Case dated 1 February 2019;</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Amended Statement in Reply dated 27 February 2019;</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Amended Rejoinder dated 28 February 2019;</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Witness Statement of Au Yong Vooi Loon (William) for the case 12/4-2810/18 signed on 18 April 2019 marked as exhibit </w:t>
      </w:r>
      <w:r>
        <w:rPr>
          <w:rFonts w:ascii="arial" w:eastAsia="arial" w:hAnsi="arial" w:cs="arial"/>
          <w:b w:val="0"/>
          <w:i/>
          <w:strike w:val="0"/>
          <w:noProof w:val="0"/>
          <w:color w:val="000000"/>
          <w:position w:val="0"/>
          <w:sz w:val="24"/>
          <w:u w:val="none"/>
          <w:vertAlign w:val="baseline"/>
        </w:rPr>
        <w:t>COWS</w:t>
      </w:r>
      <w:r>
        <w:rPr>
          <w:rFonts w:ascii="arial" w:eastAsia="arial" w:hAnsi="arial" w:cs="arial"/>
          <w:b w:val="0"/>
          <w:i w:val="0"/>
          <w:strike w:val="0"/>
          <w:noProof w:val="0"/>
          <w:color w:val="000000"/>
          <w:position w:val="0"/>
          <w:sz w:val="24"/>
          <w:u w:val="none"/>
          <w:vertAlign w:val="baseline"/>
        </w:rPr>
        <w:t>;</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Witness Statement of Liew Lit Yeu for the case 12/4-2810/18 signed on 30 May 2019 marked as exhibit </w:t>
      </w:r>
      <w:r>
        <w:rPr>
          <w:rFonts w:ascii="arial" w:eastAsia="arial" w:hAnsi="arial" w:cs="arial"/>
          <w:b w:val="0"/>
          <w:i/>
          <w:strike w:val="0"/>
          <w:noProof w:val="0"/>
          <w:color w:val="000000"/>
          <w:position w:val="0"/>
          <w:sz w:val="24"/>
          <w:u w:val="none"/>
          <w:vertAlign w:val="baseline"/>
        </w:rPr>
        <w:t>CLWS(a)</w:t>
      </w:r>
      <w:r>
        <w:rPr>
          <w:rFonts w:ascii="arial" w:eastAsia="arial" w:hAnsi="arial" w:cs="arial"/>
          <w:b w:val="0"/>
          <w:i w:val="0"/>
          <w:strike w:val="0"/>
          <w:noProof w:val="0"/>
          <w:color w:val="000000"/>
          <w:position w:val="0"/>
          <w:sz w:val="24"/>
          <w:u w:val="none"/>
          <w:vertAlign w:val="baseline"/>
        </w:rPr>
        <w:t>;</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Supplementary Witness Statement of Liew Lit Yeu for the case 12/4-2810/18 signed on 30 May 2019 marked as exhibit </w:t>
      </w:r>
      <w:r>
        <w:rPr>
          <w:rFonts w:ascii="arial" w:eastAsia="arial" w:hAnsi="arial" w:cs="arial"/>
          <w:b w:val="0"/>
          <w:i/>
          <w:strike w:val="0"/>
          <w:noProof w:val="0"/>
          <w:color w:val="000000"/>
          <w:position w:val="0"/>
          <w:sz w:val="24"/>
          <w:u w:val="none"/>
          <w:vertAlign w:val="baseline"/>
        </w:rPr>
        <w:t>CLWS(b)</w:t>
      </w:r>
      <w:r>
        <w:rPr>
          <w:rFonts w:ascii="arial" w:eastAsia="arial" w:hAnsi="arial" w:cs="arial"/>
          <w:b w:val="0"/>
          <w:i w:val="0"/>
          <w:strike w:val="0"/>
          <w:noProof w:val="0"/>
          <w:color w:val="000000"/>
          <w:position w:val="0"/>
          <w:sz w:val="24"/>
          <w:u w:val="none"/>
          <w:vertAlign w:val="baseline"/>
        </w:rPr>
        <w:t>;</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Supplementary Witness Statement (2) of Liew Lit Yeu for the case 12/4-2810/18 signed on 30 May 2019 marked as exhibit </w:t>
      </w:r>
      <w:r>
        <w:rPr>
          <w:rFonts w:ascii="arial" w:eastAsia="arial" w:hAnsi="arial" w:cs="arial"/>
          <w:b w:val="0"/>
          <w:i/>
          <w:strike w:val="0"/>
          <w:noProof w:val="0"/>
          <w:color w:val="000000"/>
          <w:position w:val="0"/>
          <w:sz w:val="24"/>
          <w:u w:val="none"/>
          <w:vertAlign w:val="baseline"/>
        </w:rPr>
        <w:t>CLWS(c)</w:t>
      </w:r>
      <w:r>
        <w:rPr>
          <w:rFonts w:ascii="arial" w:eastAsia="arial" w:hAnsi="arial" w:cs="arial"/>
          <w:b w:val="0"/>
          <w:i w:val="0"/>
          <w:strike w:val="0"/>
          <w:noProof w:val="0"/>
          <w:color w:val="000000"/>
          <w:position w:val="0"/>
          <w:sz w:val="24"/>
          <w:u w:val="none"/>
          <w:vertAlign w:val="baseline"/>
        </w:rPr>
        <w:t>;</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Written Submissions of the 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and 2</w:t>
      </w:r>
      <w:r>
        <w:rPr>
          <w:rFonts w:ascii="arial" w:eastAsia="arial" w:hAnsi="arial" w:cs="arial"/>
          <w:b w:val="0"/>
          <w:i w:val="0"/>
          <w:strike w:val="0"/>
          <w:noProof w:val="0"/>
          <w:color w:val="000000"/>
          <w:position w:val="0"/>
          <w:sz w:val="24"/>
          <w:u w:val="none"/>
          <w:vertAlign w:val="superscript"/>
        </w:rPr>
        <w:t>nd</w:t>
      </w:r>
      <w:r>
        <w:rPr>
          <w:rFonts w:ascii="arial" w:eastAsia="arial" w:hAnsi="arial" w:cs="arial"/>
          <w:b w:val="0"/>
          <w:i w:val="0"/>
          <w:strike w:val="0"/>
          <w:noProof w:val="0"/>
          <w:color w:val="000000"/>
          <w:position w:val="0"/>
          <w:sz w:val="24"/>
          <w:u w:val="none"/>
          <w:vertAlign w:val="baseline"/>
        </w:rPr>
        <w:t xml:space="preserve"> Company for the case 12/4-2810/18 dated 23 August 2019;</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Bundle of Authorities of the 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and 2</w:t>
      </w:r>
      <w:r>
        <w:rPr>
          <w:rFonts w:ascii="arial" w:eastAsia="arial" w:hAnsi="arial" w:cs="arial"/>
          <w:b w:val="0"/>
          <w:i w:val="0"/>
          <w:strike w:val="0"/>
          <w:noProof w:val="0"/>
          <w:color w:val="000000"/>
          <w:position w:val="0"/>
          <w:sz w:val="24"/>
          <w:u w:val="none"/>
          <w:vertAlign w:val="superscript"/>
        </w:rPr>
        <w:t>nd</w:t>
      </w:r>
      <w:r>
        <w:rPr>
          <w:rFonts w:ascii="arial" w:eastAsia="arial" w:hAnsi="arial" w:cs="arial"/>
          <w:b w:val="0"/>
          <w:i w:val="0"/>
          <w:strike w:val="0"/>
          <w:noProof w:val="0"/>
          <w:color w:val="000000"/>
          <w:position w:val="0"/>
          <w:sz w:val="24"/>
          <w:u w:val="none"/>
          <w:vertAlign w:val="baseline"/>
        </w:rPr>
        <w:t xml:space="preserve"> Company for the case 12/4-2810/18 filed on 26 August 2019;</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Written Submissions (After Full Trial) for the case 12/4-2810/18 dated 16 August 2019;</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Authorities (After Full Trial) filed on 20 August 2019;</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Written Submissions of the 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and 2</w:t>
      </w:r>
      <w:r>
        <w:rPr>
          <w:rFonts w:ascii="arial" w:eastAsia="arial" w:hAnsi="arial" w:cs="arial"/>
          <w:b w:val="0"/>
          <w:i w:val="0"/>
          <w:strike w:val="0"/>
          <w:noProof w:val="0"/>
          <w:color w:val="000000"/>
          <w:position w:val="0"/>
          <w:sz w:val="24"/>
          <w:u w:val="none"/>
          <w:vertAlign w:val="superscript"/>
        </w:rPr>
        <w:t>nd</w:t>
      </w:r>
      <w:r>
        <w:rPr>
          <w:rFonts w:ascii="arial" w:eastAsia="arial" w:hAnsi="arial" w:cs="arial"/>
          <w:b w:val="0"/>
          <w:i w:val="0"/>
          <w:strike w:val="0"/>
          <w:noProof w:val="0"/>
          <w:color w:val="000000"/>
          <w:position w:val="0"/>
          <w:sz w:val="24"/>
          <w:u w:val="none"/>
          <w:vertAlign w:val="baseline"/>
        </w:rPr>
        <w:t xml:space="preserve"> Company - Reply for the case 12/4-2810/18 dated 13 September 2019;</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Bundle of Authorities of the 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and 2</w:t>
      </w:r>
      <w:r>
        <w:rPr>
          <w:rFonts w:ascii="arial" w:eastAsia="arial" w:hAnsi="arial" w:cs="arial"/>
          <w:b w:val="0"/>
          <w:i w:val="0"/>
          <w:strike w:val="0"/>
          <w:noProof w:val="0"/>
          <w:color w:val="000000"/>
          <w:position w:val="0"/>
          <w:sz w:val="24"/>
          <w:u w:val="none"/>
          <w:vertAlign w:val="superscript"/>
        </w:rPr>
        <w:t>nd</w:t>
      </w:r>
      <w:r>
        <w:rPr>
          <w:rFonts w:ascii="arial" w:eastAsia="arial" w:hAnsi="arial" w:cs="arial"/>
          <w:b w:val="0"/>
          <w:i w:val="0"/>
          <w:strike w:val="0"/>
          <w:noProof w:val="0"/>
          <w:color w:val="000000"/>
          <w:position w:val="0"/>
          <w:sz w:val="24"/>
          <w:u w:val="none"/>
          <w:vertAlign w:val="baseline"/>
        </w:rPr>
        <w:t xml:space="preserve"> Company for the case 12/4-2810/18 filed on 13 September 2019;</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Submissions in Reply (After Full Trial) for the case 12/4-2810/18 filed on 10 September 2019;</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Authorities (After Full Trial) filed on 10 September 2019;</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Bundle of Documents filed on 12 December 2022 marked as exhibit </w:t>
      </w:r>
      <w:r>
        <w:rPr>
          <w:rFonts w:ascii="arial" w:eastAsia="arial" w:hAnsi="arial" w:cs="arial"/>
          <w:b w:val="0"/>
          <w:i/>
          <w:strike w:val="0"/>
          <w:noProof w:val="0"/>
          <w:color w:val="000000"/>
          <w:position w:val="0"/>
          <w:sz w:val="24"/>
          <w:u w:val="none"/>
          <w:vertAlign w:val="baseline"/>
        </w:rPr>
        <w:t>CLB-1</w:t>
      </w:r>
      <w:r>
        <w:rPr>
          <w:rFonts w:ascii="arial" w:eastAsia="arial" w:hAnsi="arial" w:cs="arial"/>
          <w:b w:val="0"/>
          <w:i w:val="0"/>
          <w:strike w:val="0"/>
          <w:noProof w:val="0"/>
          <w:color w:val="000000"/>
          <w:position w:val="0"/>
          <w:sz w:val="24"/>
          <w:u w:val="none"/>
          <w:vertAlign w:val="baseline"/>
        </w:rPr>
        <w:t>;</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Supplementary Bundle of Documents filed on 12 December 2022 marked as exhibit </w:t>
      </w:r>
      <w:r>
        <w:rPr>
          <w:rFonts w:ascii="arial" w:eastAsia="arial" w:hAnsi="arial" w:cs="arial"/>
          <w:b w:val="0"/>
          <w:i/>
          <w:strike w:val="0"/>
          <w:noProof w:val="0"/>
          <w:color w:val="000000"/>
          <w:position w:val="0"/>
          <w:sz w:val="24"/>
          <w:u w:val="none"/>
          <w:vertAlign w:val="baseline"/>
        </w:rPr>
        <w:t>CLB-2</w:t>
      </w:r>
      <w:r>
        <w:rPr>
          <w:rFonts w:ascii="arial" w:eastAsia="arial" w:hAnsi="arial" w:cs="arial"/>
          <w:b w:val="0"/>
          <w:i w:val="0"/>
          <w:strike w:val="0"/>
          <w:noProof w:val="0"/>
          <w:color w:val="000000"/>
          <w:position w:val="0"/>
          <w:sz w:val="24"/>
          <w:u w:val="none"/>
          <w:vertAlign w:val="baseline"/>
        </w:rPr>
        <w:t>;</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Volume 1(A) filed on 8 February 2023 marked as exhibit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Volume 1(B) filed on 24 October 2023 marked as exhibit </w:t>
      </w:r>
      <w:r>
        <w:rPr>
          <w:rFonts w:ascii="arial" w:eastAsia="arial" w:hAnsi="arial" w:cs="arial"/>
          <w:b w:val="0"/>
          <w:i/>
          <w:strike w:val="0"/>
          <w:noProof w:val="0"/>
          <w:color w:val="000000"/>
          <w:position w:val="0"/>
          <w:sz w:val="24"/>
          <w:u w:val="none"/>
          <w:vertAlign w:val="baseline"/>
        </w:rPr>
        <w:t>COB-2</w:t>
      </w:r>
      <w:r>
        <w:rPr>
          <w:rFonts w:ascii="arial" w:eastAsia="arial" w:hAnsi="arial" w:cs="arial"/>
          <w:b w:val="0"/>
          <w:i w:val="0"/>
          <w:strike w:val="0"/>
          <w:noProof w:val="0"/>
          <w:color w:val="000000"/>
          <w:position w:val="0"/>
          <w:sz w:val="24"/>
          <w:u w:val="none"/>
          <w:vertAlign w:val="baseline"/>
        </w:rPr>
        <w:t>;</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Volume 2 filed on 24 October 2023 marked as exhibit </w:t>
      </w:r>
      <w:r>
        <w:rPr>
          <w:rFonts w:ascii="arial" w:eastAsia="arial" w:hAnsi="arial" w:cs="arial"/>
          <w:b w:val="0"/>
          <w:i/>
          <w:strike w:val="0"/>
          <w:noProof w:val="0"/>
          <w:color w:val="000000"/>
          <w:position w:val="0"/>
          <w:sz w:val="24"/>
          <w:u w:val="none"/>
          <w:vertAlign w:val="baseline"/>
        </w:rPr>
        <w:t>COB-3</w:t>
      </w:r>
      <w:r>
        <w:rPr>
          <w:rFonts w:ascii="arial" w:eastAsia="arial" w:hAnsi="arial" w:cs="arial"/>
          <w:b w:val="0"/>
          <w:i w:val="0"/>
          <w:strike w:val="0"/>
          <w:noProof w:val="0"/>
          <w:color w:val="000000"/>
          <w:position w:val="0"/>
          <w:sz w:val="24"/>
          <w:u w:val="none"/>
          <w:vertAlign w:val="baseline"/>
        </w:rPr>
        <w:t>;</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Volume 3 filed on 24 October 2023 marked as exhibit </w:t>
      </w:r>
      <w:r>
        <w:rPr>
          <w:rFonts w:ascii="arial" w:eastAsia="arial" w:hAnsi="arial" w:cs="arial"/>
          <w:b w:val="0"/>
          <w:i/>
          <w:strike w:val="0"/>
          <w:noProof w:val="0"/>
          <w:color w:val="000000"/>
          <w:position w:val="0"/>
          <w:sz w:val="24"/>
          <w:u w:val="none"/>
          <w:vertAlign w:val="baseline"/>
        </w:rPr>
        <w:t>COB-4</w:t>
      </w:r>
      <w:r>
        <w:rPr>
          <w:rFonts w:ascii="arial" w:eastAsia="arial" w:hAnsi="arial" w:cs="arial"/>
          <w:b w:val="0"/>
          <w:i w:val="0"/>
          <w:strike w:val="0"/>
          <w:noProof w:val="0"/>
          <w:color w:val="000000"/>
          <w:position w:val="0"/>
          <w:sz w:val="24"/>
          <w:u w:val="none"/>
          <w:vertAlign w:val="baseline"/>
        </w:rPr>
        <w:t>;</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Volume 4 filed on 24 October 2023 marked as exhibit </w:t>
      </w:r>
      <w:r>
        <w:rPr>
          <w:rFonts w:ascii="arial" w:eastAsia="arial" w:hAnsi="arial" w:cs="arial"/>
          <w:b w:val="0"/>
          <w:i/>
          <w:strike w:val="0"/>
          <w:noProof w:val="0"/>
          <w:color w:val="000000"/>
          <w:position w:val="0"/>
          <w:sz w:val="24"/>
          <w:u w:val="none"/>
          <w:vertAlign w:val="baseline"/>
        </w:rPr>
        <w:t>COB-5</w:t>
      </w:r>
      <w:r>
        <w:rPr>
          <w:rFonts w:ascii="arial" w:eastAsia="arial" w:hAnsi="arial" w:cs="arial"/>
          <w:b w:val="0"/>
          <w:i w:val="0"/>
          <w:strike w:val="0"/>
          <w:noProof w:val="0"/>
          <w:color w:val="000000"/>
          <w:position w:val="0"/>
          <w:sz w:val="24"/>
          <w:u w:val="none"/>
          <w:vertAlign w:val="baseline"/>
        </w:rPr>
        <w:t>;</w:t>
      </w:r>
    </w:p>
    <w:p>
      <w:pPr>
        <w:keepNext w:val="0"/>
        <w:numPr>
          <w:numId w:val="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Volume 5 filed on 24 October 2023 marked as exhibit </w:t>
      </w:r>
      <w:r>
        <w:rPr>
          <w:rFonts w:ascii="arial" w:eastAsia="arial" w:hAnsi="arial" w:cs="arial"/>
          <w:b w:val="0"/>
          <w:i/>
          <w:strike w:val="0"/>
          <w:noProof w:val="0"/>
          <w:color w:val="000000"/>
          <w:position w:val="0"/>
          <w:sz w:val="24"/>
          <w:u w:val="none"/>
          <w:vertAlign w:val="baseline"/>
        </w:rPr>
        <w:t>COB-6</w:t>
      </w:r>
      <w:r>
        <w:rPr>
          <w:rFonts w:ascii="arial" w:eastAsia="arial" w:hAnsi="arial" w:cs="arial"/>
          <w:b w:val="0"/>
          <w:i w:val="0"/>
          <w:strike w:val="0"/>
          <w:noProof w:val="0"/>
          <w:color w:val="000000"/>
          <w:position w:val="0"/>
          <w:sz w:val="24"/>
          <w:u w:val="none"/>
          <w:vertAlign w:val="baseline"/>
        </w:rPr>
        <w:t>;</w:t>
      </w:r>
    </w:p>
    <w:p>
      <w:pPr>
        <w:keepNext w:val="0"/>
        <w:numPr>
          <w:numId w:val="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Volume 5 filed on 24 October 2023 marked as exhibit </w:t>
      </w:r>
      <w:r>
        <w:rPr>
          <w:rFonts w:ascii="arial" w:eastAsia="arial" w:hAnsi="arial" w:cs="arial"/>
          <w:b w:val="0"/>
          <w:i/>
          <w:strike w:val="0"/>
          <w:noProof w:val="0"/>
          <w:color w:val="000000"/>
          <w:position w:val="0"/>
          <w:sz w:val="24"/>
          <w:u w:val="none"/>
          <w:vertAlign w:val="baseline"/>
        </w:rPr>
        <w:t>COB-7</w:t>
      </w:r>
      <w:r>
        <w:rPr>
          <w:rFonts w:ascii="arial" w:eastAsia="arial" w:hAnsi="arial" w:cs="arial"/>
          <w:b w:val="0"/>
          <w:i w:val="0"/>
          <w:strike w:val="0"/>
          <w:noProof w:val="0"/>
          <w:color w:val="000000"/>
          <w:position w:val="0"/>
          <w:sz w:val="24"/>
          <w:u w:val="none"/>
          <w:vertAlign w:val="baseline"/>
        </w:rPr>
        <w:t>;</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Supplementary Witness Statement of Au Yong Vooi Loon (William) signed on 28 November 2023 marked as exhibit </w:t>
      </w:r>
      <w:r>
        <w:rPr>
          <w:rFonts w:ascii="arial" w:eastAsia="arial" w:hAnsi="arial" w:cs="arial"/>
          <w:b w:val="0"/>
          <w:i/>
          <w:strike w:val="0"/>
          <w:noProof w:val="0"/>
          <w:color w:val="000000"/>
          <w:position w:val="0"/>
          <w:sz w:val="24"/>
          <w:u w:val="none"/>
          <w:vertAlign w:val="baseline"/>
        </w:rPr>
        <w:t>COWS-1A</w:t>
      </w:r>
      <w:r>
        <w:rPr>
          <w:rFonts w:ascii="arial" w:eastAsia="arial" w:hAnsi="arial" w:cs="arial"/>
          <w:b w:val="0"/>
          <w:i w:val="0"/>
          <w:strike w:val="0"/>
          <w:noProof w:val="0"/>
          <w:color w:val="000000"/>
          <w:position w:val="0"/>
          <w:sz w:val="24"/>
          <w:u w:val="none"/>
          <w:vertAlign w:val="baseline"/>
        </w:rPr>
        <w:t>;</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Written Submissions dated 10 January 2024;</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Bundle of Authorities filed on 23 January 2024;</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dated 19 January 2024;</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Bundle of Authorities filed on 23 January 2024;</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Reply to Company’s Written Submissions dated 2 February 2024;</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in Reply dated 2 February 2024; and</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Supplemental Bundle of Authorities filed on 8 February 2024.</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Besides referring to the above documents, the Court has also identified two preliminary issues before going into the crux of the case. The preliminary issues are as follows:</w:t>
      </w:r>
      <w:r>
        <w:t>
</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learned Chair was correct to determine that the case should be dismissed for want of jurisdiction; and</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discovery of facts after dismissal can be used to justify termination or the alternative phrase “after-acquired cause” where the misconduct was discovered after the Claimant’s dismissal.</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DECISION</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Preliminary Issues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xml:space="preserve">  The first preliminary issue that this Court has taken cognisance of was raised by the learned Chairman in the initial proceeding was that because the Claimant did not seek reinstatement, hence the Industrial Court has no jurisdiction to hear the matter. The Court referred to the case of </w:t>
      </w:r>
      <w:r>
        <w:rPr>
          <w:rFonts w:ascii="arial" w:eastAsia="arial" w:hAnsi="arial" w:cs="arial"/>
          <w:b w:val="0"/>
          <w:i/>
          <w:strike w:val="0"/>
          <w:noProof w:val="0"/>
          <w:color w:val="000000"/>
          <w:position w:val="0"/>
          <w:sz w:val="24"/>
          <w:u w:val="none"/>
          <w:vertAlign w:val="baseline"/>
        </w:rPr>
        <w:t xml:space="preserve">Holiday Inn Kuching v Elizabeth Lee Chai Siok  </w:t>
      </w:r>
      <w:r>
        <w:rPr>
          <w:rFonts w:ascii="arial" w:eastAsia="arial" w:hAnsi="arial" w:cs="arial"/>
          <w:b w:val="0"/>
          <w:i w:val="0"/>
          <w:strike w:val="0"/>
          <w:noProof w:val="0"/>
          <w:color w:val="000000"/>
          <w:position w:val="0"/>
          <w:sz w:val="24"/>
          <w:u w:val="none"/>
          <w:vertAlign w:val="baseline"/>
        </w:rPr>
        <w:t>(1992) 2 CLJ (Rep) 521 where YA Haidar Mohd Noor J (as he then was) stated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“These grounds can be conveniently dealt with together. It is essentially on the issue of reinstatement. As stated by me earlier the respondent in her representations initially wanted reinstatement which is in accordance with s. 20(1) of IRA but subsequently in the hearing before the Industrial Court she changed her stand and instead asked for damages in lieu of reinstatement. In such a situation can the Industrial Court consider this aspect of her claim? In my view the respondent clearly could not come within the provisions of s. 20(1) and (3) of IRA as the legislature intended that recourse to the Industrial Court is only in respect of reinstatement and once reinstatement is no longer applied for the Industrial Court ceases to have any more jurisdiction.”.</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This is not a position that this Court has usually taken on the issues of jurisdiction. The Court has referred to several cases on the issue of jurisdiction and one of the most quoted cases in this Court is the Court Of Appeal case of </w:t>
      </w:r>
      <w:r>
        <w:rPr>
          <w:rFonts w:ascii="arial" w:eastAsia="arial" w:hAnsi="arial" w:cs="arial"/>
          <w:b w:val="0"/>
          <w:i/>
          <w:strike w:val="0"/>
          <w:noProof w:val="0"/>
          <w:color w:val="000000"/>
          <w:position w:val="0"/>
          <w:sz w:val="24"/>
          <w:u w:val="none"/>
          <w:vertAlign w:val="baseline"/>
        </w:rPr>
        <w:t xml:space="preserve">Kathiravelu Ganesan &amp; Anor v. Kojasa Holdings Bhd  </w:t>
      </w:r>
      <w:r>
        <w:rPr>
          <w:rFonts w:ascii="arial" w:eastAsia="arial" w:hAnsi="arial" w:cs="arial"/>
          <w:b w:val="0"/>
          <w:i w:val="0"/>
          <w:strike w:val="0"/>
          <w:noProof w:val="0"/>
          <w:color w:val="000000"/>
          <w:position w:val="0"/>
          <w:sz w:val="24"/>
          <w:u w:val="none"/>
          <w:vertAlign w:val="baseline"/>
        </w:rPr>
        <w:t>[1997] 3 CLJ 777; ; [1997] 1 MELR 10, where His Lordship Gopal JCA Sri Ram JCA held that: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[5a]</w:t>
      </w:r>
      <w:r>
        <w:rPr>
          <w:rFonts w:ascii="arial" w:eastAsia="arial" w:hAnsi="arial" w:cs="arial"/>
          <w:b w:val="0"/>
          <w:i w:val="0"/>
          <w:strike w:val="0"/>
          <w:noProof w:val="0"/>
          <w:color w:val="000000"/>
          <w:position w:val="0"/>
          <w:sz w:val="18"/>
          <w:u w:val="none"/>
          <w:vertAlign w:val="baseline"/>
        </w:rPr>
        <w:t xml:space="preserve"> It follows that in all cases </w:t>
      </w:r>
      <w:r>
        <w:rPr>
          <w:rFonts w:ascii="arial" w:eastAsia="arial" w:hAnsi="arial" w:cs="arial"/>
          <w:b/>
          <w:i w:val="0"/>
          <w:strike w:val="0"/>
          <w:noProof w:val="0"/>
          <w:color w:val="000000"/>
          <w:position w:val="0"/>
          <w:sz w:val="18"/>
          <w:u w:val="none"/>
          <w:vertAlign w:val="baseline"/>
        </w:rPr>
        <w:t>where a party</w:t>
      </w:r>
      <w:r>
        <w:rPr>
          <w:rFonts w:ascii="arial" w:eastAsia="arial" w:hAnsi="arial" w:cs="arial"/>
          <w:b w:val="0"/>
          <w:i w:val="0"/>
          <w:strike w:val="0"/>
          <w:noProof w:val="0"/>
          <w:color w:val="000000"/>
          <w:position w:val="0"/>
          <w:sz w:val="18"/>
          <w:u w:val="none"/>
          <w:vertAlign w:val="baseline"/>
        </w:rPr>
        <w:t xml:space="preserve"> to a trade dispute </w:t>
      </w:r>
      <w:r>
        <w:rPr>
          <w:rFonts w:ascii="arial" w:eastAsia="arial" w:hAnsi="arial" w:cs="arial"/>
          <w:b/>
          <w:i w:val="0"/>
          <w:strike w:val="0"/>
          <w:noProof w:val="0"/>
          <w:color w:val="000000"/>
          <w:position w:val="0"/>
          <w:sz w:val="18"/>
          <w:u w:val="none"/>
          <w:vertAlign w:val="baseline"/>
        </w:rPr>
        <w:t>intends to question the threshold jurisdiction of the Industrial Court to make an ad-judication</w:t>
      </w:r>
      <w:r>
        <w:rPr>
          <w:rFonts w:ascii="arial" w:eastAsia="arial" w:hAnsi="arial" w:cs="arial"/>
          <w:b w:val="0"/>
          <w:i w:val="0"/>
          <w:strike w:val="0"/>
          <w:noProof w:val="0"/>
          <w:color w:val="000000"/>
          <w:position w:val="0"/>
          <w:sz w:val="18"/>
          <w:u w:val="none"/>
          <w:vertAlign w:val="baseline"/>
        </w:rPr>
        <w:t xml:space="preserve">, save upon the limited ground that the representations under s. 20(1) were made out of time, </w:t>
      </w:r>
      <w:r>
        <w:rPr>
          <w:rFonts w:ascii="arial" w:eastAsia="arial" w:hAnsi="arial" w:cs="arial"/>
          <w:b/>
          <w:i w:val="0"/>
          <w:strike w:val="0"/>
          <w:noProof w:val="0"/>
          <w:color w:val="000000"/>
          <w:position w:val="0"/>
          <w:sz w:val="18"/>
          <w:u w:val="none"/>
          <w:vertAlign w:val="baseline"/>
        </w:rPr>
        <w:t>he must do so by seeking to quash, by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certiorari</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the Minister’s reference and</w:t>
      </w:r>
      <w:r>
        <w:rPr>
          <w:rFonts w:ascii="arial" w:eastAsia="arial" w:hAnsi="arial" w:cs="arial"/>
          <w:b w:val="0"/>
          <w:i w:val="0"/>
          <w:strike w:val="0"/>
          <w:noProof w:val="0"/>
          <w:color w:val="000000"/>
          <w:position w:val="0"/>
          <w:sz w:val="18"/>
          <w:u w:val="none"/>
          <w:vertAlign w:val="baseline"/>
        </w:rPr>
        <w:t xml:space="preserve">, in the same proceedings, </w:t>
      </w:r>
      <w:r>
        <w:rPr>
          <w:rFonts w:ascii="arial" w:eastAsia="arial" w:hAnsi="arial" w:cs="arial"/>
          <w:b/>
          <w:i w:val="0"/>
          <w:strike w:val="0"/>
          <w:noProof w:val="0"/>
          <w:color w:val="000000"/>
          <w:position w:val="0"/>
          <w:sz w:val="18"/>
          <w:u w:val="none"/>
          <w:vertAlign w:val="baseline"/>
        </w:rPr>
        <w:t>seek an order of prohibition against the Industrial Court from entertaining the dispute upon the ground that the latter has no jurisdiction to make an adjudication.</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[5b]</w:t>
      </w:r>
      <w:r>
        <w:rPr>
          <w:rFonts w:ascii="arial" w:eastAsia="arial" w:hAnsi="arial" w:cs="arial"/>
          <w:b w:val="0"/>
          <w:i w:val="0"/>
          <w:strike w:val="0"/>
          <w:noProof w:val="0"/>
          <w:color w:val="000000"/>
          <w:position w:val="0"/>
          <w:sz w:val="18"/>
          <w:u w:val="none"/>
          <w:vertAlign w:val="baseline"/>
        </w:rPr>
        <w:t xml:space="preserve"> Where a challenge is not thus taken, the Industrial Court must be permitted to decide the dispute to conclusion and in the process to deal with the jurisdictional question,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whether the particular claimant is or is not a workman or whether the matter involves the exercise of extra-territorial jurisdiction. On no account ought such matters to be taken or dealt with as preliminary objections. Any other course would, as we have earlier observed, obstruct a speedy disposal of a trade dispute and thereby cut across the spirit and intendment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xml:space="preserve">  The Court of Appeal has clearly stated that the issue of threshold jurisdiction is not within the mandate of the Industrial Court but the matter should have been referred to the High Court. In this case, the issue is similar to a threshold jurisdiction whereby the determination must be made by a higher court. The absence of which, this Court must make a determination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after a full trial.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In this case, the learned Chair had heard the case in its entirety and made what could best be described as an </w:t>
      </w:r>
      <w:r>
        <w:rPr>
          <w:rFonts w:ascii="arial" w:eastAsia="arial" w:hAnsi="arial" w:cs="arial"/>
          <w:b w:val="0"/>
          <w:i/>
          <w:strike w:val="0"/>
          <w:noProof w:val="0"/>
          <w:color w:val="000000"/>
          <w:position w:val="0"/>
          <w:sz w:val="24"/>
          <w:u w:val="none"/>
          <w:vertAlign w:val="baseline"/>
        </w:rPr>
        <w:t>obiter dicta</w:t>
      </w:r>
      <w:r>
        <w:rPr>
          <w:rFonts w:ascii="arial" w:eastAsia="arial" w:hAnsi="arial" w:cs="arial"/>
          <w:b w:val="0"/>
          <w:i w:val="0"/>
          <w:strike w:val="0"/>
          <w:noProof w:val="0"/>
          <w:color w:val="000000"/>
          <w:position w:val="0"/>
          <w:sz w:val="24"/>
          <w:u w:val="none"/>
          <w:vertAlign w:val="baseline"/>
        </w:rPr>
        <w:t xml:space="preserve"> as mentioned earlier. This is especially so since the Chair had already determined that the case was set aside for want of jurisdiction. Anything after that becomes an </w:t>
      </w:r>
      <w:r>
        <w:rPr>
          <w:rFonts w:ascii="arial" w:eastAsia="arial" w:hAnsi="arial" w:cs="arial"/>
          <w:b w:val="0"/>
          <w:i/>
          <w:strike w:val="0"/>
          <w:noProof w:val="0"/>
          <w:color w:val="000000"/>
          <w:position w:val="0"/>
          <w:sz w:val="24"/>
          <w:u w:val="none"/>
          <w:vertAlign w:val="baseline"/>
        </w:rPr>
        <w:t>obiter dicta</w:t>
      </w:r>
      <w:r>
        <w:rPr>
          <w:rFonts w:ascii="arial" w:eastAsia="arial" w:hAnsi="arial" w:cs="arial"/>
          <w:b w:val="0"/>
          <w:i w:val="0"/>
          <w:strike w:val="0"/>
          <w:noProof w:val="0"/>
          <w:color w:val="000000"/>
          <w:position w:val="0"/>
          <w:sz w:val="24"/>
          <w:u w:val="none"/>
          <w:vertAlign w:val="baseline"/>
        </w:rPr>
        <w:t>. This Court then limits itself to the issue of want of prosecution.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Added to the above, both the Judicial Review in the High Court and the Court of Appeal’s consent judgment had allowed the review against the Industrial Court’s initial Award which was that the Award was set aside for want of jurisdiction. This Court is of the view that the </w:t>
      </w:r>
      <w:r>
        <w:rPr>
          <w:rFonts w:ascii="arial" w:eastAsia="arial" w:hAnsi="arial" w:cs="arial"/>
          <w:b/>
          <w:i/>
          <w:strike w:val="0"/>
          <w:noProof w:val="0"/>
          <w:color w:val="000000"/>
          <w:position w:val="0"/>
          <w:sz w:val="24"/>
          <w:u w:val="none"/>
          <w:vertAlign w:val="baseline"/>
        </w:rPr>
        <w:t>Holiday Inn</w:t>
      </w:r>
      <w:r>
        <w:rPr>
          <w:rFonts w:ascii="arial" w:eastAsia="arial" w:hAnsi="arial" w:cs="arial"/>
          <w:b w:val="0"/>
          <w:i w:val="0"/>
          <w:strike w:val="0"/>
          <w:noProof w:val="0"/>
          <w:color w:val="000000"/>
          <w:position w:val="0"/>
          <w:sz w:val="24"/>
          <w:u w:val="none"/>
          <w:vertAlign w:val="baseline"/>
        </w:rPr>
        <w:t xml:space="preserve"> case should be distinguished on the grounds that the requirements for setting aside a case for want of jurisdiction must adhere to the requirements set by the </w:t>
      </w:r>
      <w:r>
        <w:rPr>
          <w:rFonts w:ascii="arial" w:eastAsia="arial" w:hAnsi="arial" w:cs="arial"/>
          <w:b/>
          <w:i/>
          <w:strike w:val="0"/>
          <w:noProof w:val="0"/>
          <w:color w:val="000000"/>
          <w:position w:val="0"/>
          <w:sz w:val="24"/>
          <w:u w:val="none"/>
          <w:vertAlign w:val="baseline"/>
        </w:rPr>
        <w:t>Kathiravelu</w:t>
      </w:r>
      <w:r>
        <w:rPr>
          <w:rFonts w:ascii="arial" w:eastAsia="arial" w:hAnsi="arial" w:cs="arial"/>
          <w:b w:val="0"/>
          <w:i w:val="0"/>
          <w:strike w:val="0"/>
          <w:noProof w:val="0"/>
          <w:color w:val="000000"/>
          <w:position w:val="0"/>
          <w:sz w:val="24"/>
          <w:u w:val="none"/>
          <w:vertAlign w:val="baseline"/>
        </w:rPr>
        <w:t xml:space="preserve"> case. Clearly, there is no evidence that the Company had done so in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xml:space="preserve">  Based on the above, the Court is also bound by the Court of Appeal decision and therefore the issue of want of jurisdiction cannot be used as a reason to set aside the case based on the </w:t>
      </w:r>
      <w:r>
        <w:rPr>
          <w:rFonts w:ascii="arial" w:eastAsia="arial" w:hAnsi="arial" w:cs="arial"/>
          <w:b/>
          <w:i/>
          <w:strike w:val="0"/>
          <w:noProof w:val="0"/>
          <w:color w:val="000000"/>
          <w:position w:val="0"/>
          <w:sz w:val="24"/>
          <w:u w:val="none"/>
          <w:vertAlign w:val="baseline"/>
        </w:rPr>
        <w:t>Kathiravelu</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The next preliminary issue is whether the Court can use the discovery of facts after dismissal to justify termination or the alternative phrase is after-acquired cause discovered after the Claimant’s dismissal. The Company went to great lengths to show that there was ample evidence found after they had access to the Claimant’s desktop, which was shrouded in mysterious circumstances but happened just a few days before the Claimant’s termination.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The Court emphasises that some, if not all the information regarding the misconduct was only recovered after the Claimant was terminated, which was purely the decision of the Company, since it was the Company that terminated the Claimant summarily.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The position of law regarding the information of misconduct obtained after termination is mixed at best. As stated earlier, in the initial Award this was given as an </w:t>
      </w:r>
      <w:r>
        <w:rPr>
          <w:rFonts w:ascii="arial" w:eastAsia="arial" w:hAnsi="arial" w:cs="arial"/>
          <w:b w:val="0"/>
          <w:i/>
          <w:strike w:val="0"/>
          <w:noProof w:val="0"/>
          <w:color w:val="000000"/>
          <w:position w:val="0"/>
          <w:sz w:val="24"/>
          <w:u w:val="none"/>
          <w:vertAlign w:val="baseline"/>
        </w:rPr>
        <w:t>obiter dictum</w:t>
      </w:r>
      <w:r>
        <w:rPr>
          <w:rFonts w:ascii="arial" w:eastAsia="arial" w:hAnsi="arial" w:cs="arial"/>
          <w:b w:val="0"/>
          <w:i w:val="0"/>
          <w:strike w:val="0"/>
          <w:noProof w:val="0"/>
          <w:color w:val="000000"/>
          <w:position w:val="0"/>
          <w:sz w:val="24"/>
          <w:u w:val="none"/>
          <w:vertAlign w:val="baseline"/>
        </w:rPr>
        <w:t xml:space="preserve">, and the then Chair had referred to several international cases from several Commonwealth jurisdictions. The Award also discussed two Industrial Court cases on the matter namely; </w:t>
      </w:r>
      <w:r>
        <w:rPr>
          <w:rFonts w:ascii="arial" w:eastAsia="arial" w:hAnsi="arial" w:cs="arial"/>
          <w:b w:val="0"/>
          <w:i/>
          <w:strike w:val="0"/>
          <w:noProof w:val="0"/>
          <w:color w:val="000000"/>
          <w:position w:val="0"/>
          <w:sz w:val="24"/>
          <w:u w:val="none"/>
          <w:vertAlign w:val="baseline"/>
        </w:rPr>
        <w:t xml:space="preserve">Liew Wing Fai @ Lew Wing Fai v Dry Cut Sdn. Bhd.  </w:t>
      </w:r>
      <w:r>
        <w:rPr>
          <w:rFonts w:ascii="arial" w:eastAsia="arial" w:hAnsi="arial" w:cs="arial"/>
          <w:b w:val="0"/>
          <w:i w:val="0"/>
          <w:strike w:val="0"/>
          <w:noProof w:val="0"/>
          <w:color w:val="000000"/>
          <w:position w:val="0"/>
          <w:sz w:val="24"/>
          <w:u w:val="none"/>
          <w:vertAlign w:val="baseline"/>
        </w:rPr>
        <w:t xml:space="preserve">(2017) 1 ILR 582 and </w:t>
      </w:r>
      <w:r>
        <w:rPr>
          <w:rFonts w:ascii="arial" w:eastAsia="arial" w:hAnsi="arial" w:cs="arial"/>
          <w:b w:val="0"/>
          <w:i/>
          <w:strike w:val="0"/>
          <w:noProof w:val="0"/>
          <w:color w:val="000000"/>
          <w:position w:val="0"/>
          <w:sz w:val="24"/>
          <w:u w:val="none"/>
          <w:vertAlign w:val="baseline"/>
        </w:rPr>
        <w:t xml:space="preserve">Time Magazine Service Sdn Bhd v Ganesan R S Ramasamy  </w:t>
      </w:r>
      <w:r>
        <w:rPr>
          <w:rFonts w:ascii="arial" w:eastAsia="arial" w:hAnsi="arial" w:cs="arial"/>
          <w:b w:val="0"/>
          <w:i w:val="0"/>
          <w:strike w:val="0"/>
          <w:noProof w:val="0"/>
          <w:color w:val="000000"/>
          <w:position w:val="0"/>
          <w:sz w:val="24"/>
          <w:u w:val="none"/>
          <w:vertAlign w:val="baseline"/>
        </w:rPr>
        <w:t>(1994) 1 ILR 114 both on different ends of the spectrum. The Court had referred to what was coined as after-acquired cause.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xml:space="preserve">  This Court does not intend to go in depth on an </w:t>
      </w:r>
      <w:r>
        <w:rPr>
          <w:rFonts w:ascii="arial" w:eastAsia="arial" w:hAnsi="arial" w:cs="arial"/>
          <w:b w:val="0"/>
          <w:i/>
          <w:strike w:val="0"/>
          <w:noProof w:val="0"/>
          <w:color w:val="000000"/>
          <w:position w:val="0"/>
          <w:sz w:val="24"/>
          <w:u w:val="none"/>
          <w:vertAlign w:val="baseline"/>
        </w:rPr>
        <w:t>obiter</w:t>
      </w:r>
      <w:r>
        <w:rPr>
          <w:rFonts w:ascii="arial" w:eastAsia="arial" w:hAnsi="arial" w:cs="arial"/>
          <w:b w:val="0"/>
          <w:i w:val="0"/>
          <w:strike w:val="0"/>
          <w:noProof w:val="0"/>
          <w:color w:val="000000"/>
          <w:position w:val="0"/>
          <w:sz w:val="24"/>
          <w:u w:val="none"/>
          <w:vertAlign w:val="baseline"/>
        </w:rPr>
        <w:t xml:space="preserve">. However, the preliminary issue is regarding whether the Court can take cognisance of findings of misconduct post termination or after-acquired cause. The case referred to is the oftcited case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 xml:space="preserve">[1981] 2 MLJ 129. The </w:t>
      </w:r>
      <w:r>
        <w:rPr>
          <w:rFonts w:ascii="arial" w:eastAsia="arial" w:hAnsi="arial" w:cs="arial"/>
          <w:b/>
          <w:i/>
          <w:strike w:val="0"/>
          <w:noProof w:val="0"/>
          <w:color w:val="000000"/>
          <w:position w:val="0"/>
          <w:sz w:val="24"/>
          <w:u w:val="none"/>
          <w:vertAlign w:val="baseline"/>
        </w:rPr>
        <w:t>Liew Wing Fai</w:t>
      </w:r>
      <w:r>
        <w:rPr>
          <w:rFonts w:ascii="arial" w:eastAsia="arial" w:hAnsi="arial" w:cs="arial"/>
          <w:b w:val="0"/>
          <w:i w:val="0"/>
          <w:strike w:val="0"/>
          <w:noProof w:val="0"/>
          <w:color w:val="000000"/>
          <w:position w:val="0"/>
          <w:sz w:val="24"/>
          <w:u w:val="none"/>
          <w:vertAlign w:val="baseline"/>
        </w:rPr>
        <w:t xml:space="preserve"> case had stated that ratio had been misconstrued.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“We do not think that </w:t>
      </w:r>
      <w:r>
        <w:rPr>
          <w:rFonts w:ascii="arial" w:eastAsia="arial" w:hAnsi="arial" w:cs="arial"/>
          <w:b w:val="0"/>
          <w:i w:val="0"/>
          <w:strike w:val="0"/>
          <w:noProof w:val="0"/>
          <w:color w:val="000000"/>
          <w:position w:val="0"/>
          <w:sz w:val="18"/>
          <w:u w:val="single"/>
          <w:vertAlign w:val="baseline"/>
        </w:rPr>
        <w:t>having regard to the company’s pleadings</w:t>
      </w:r>
      <w:r>
        <w:rPr>
          <w:rFonts w:ascii="arial" w:eastAsia="arial" w:hAnsi="arial" w:cs="arial"/>
          <w:b w:val="0"/>
          <w:i w:val="0"/>
          <w:strike w:val="0"/>
          <w:noProof w:val="0"/>
          <w:color w:val="000000"/>
          <w:position w:val="0"/>
          <w:sz w:val="18"/>
          <w:u w:val="none"/>
          <w:vertAlign w:val="baseline"/>
        </w:rPr>
        <w:t xml:space="preserve"> in the Industrial Court, the High Court was correct to consider the ground of termination by due notice, which had not been relied on in the Industrial Court, but assuming that it is possible for it to do so since this question was raised in the statement in support of the application for </w:t>
      </w:r>
      <w:r>
        <w:rPr>
          <w:rFonts w:ascii="arial" w:eastAsia="arial" w:hAnsi="arial" w:cs="arial"/>
          <w:b w:val="0"/>
          <w:i/>
          <w:strike w:val="0"/>
          <w:noProof w:val="0"/>
          <w:color w:val="000000"/>
          <w:position w:val="0"/>
          <w:sz w:val="18"/>
          <w:u w:val="none"/>
          <w:vertAlign w:val="baseline"/>
        </w:rPr>
        <w:t>certiorari</w:t>
      </w:r>
      <w:r>
        <w:rPr>
          <w:rFonts w:ascii="arial" w:eastAsia="arial" w:hAnsi="arial" w:cs="arial"/>
          <w:b w:val="0"/>
          <w:i w:val="0"/>
          <w:strike w:val="0"/>
          <w:noProof w:val="0"/>
          <w:color w:val="000000"/>
          <w:position w:val="0"/>
          <w:sz w:val="18"/>
          <w:u w:val="none"/>
          <w:vertAlign w:val="baseline"/>
        </w:rPr>
        <w:t xml:space="preserve">, we are of the opinion for the reasons given by this court in </w:t>
      </w:r>
      <w:r>
        <w:rPr>
          <w:rFonts w:ascii="arial" w:eastAsia="arial" w:hAnsi="arial" w:cs="arial"/>
          <w:b w:val="0"/>
          <w:i/>
          <w:strike w:val="0"/>
          <w:noProof w:val="0"/>
          <w:color w:val="000000"/>
          <w:position w:val="0"/>
          <w:sz w:val="18"/>
          <w:u w:val="none"/>
          <w:vertAlign w:val="baseline"/>
        </w:rPr>
        <w:t>Dr. Dutt’s</w:t>
      </w:r>
      <w:r>
        <w:rPr>
          <w:rFonts w:ascii="arial" w:eastAsia="arial" w:hAnsi="arial" w:cs="arial"/>
          <w:b w:val="0"/>
          <w:i w:val="0"/>
          <w:strike w:val="0"/>
          <w:noProof w:val="0"/>
          <w:color w:val="000000"/>
          <w:position w:val="0"/>
          <w:sz w:val="18"/>
          <w:u w:val="none"/>
          <w:vertAlign w:val="baseline"/>
        </w:rPr>
        <w:t xml:space="preserve"> case, that termination by due notice but without just cause or excuse is a dismissal in respect of which the Industrial Court can make an order for reinstatement or an award of compensation in lieu of reinstatement.”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xml:space="preserve">  The underlined part is where the </w:t>
      </w:r>
      <w:r>
        <w:rPr>
          <w:rFonts w:ascii="arial" w:eastAsia="arial" w:hAnsi="arial" w:cs="arial"/>
          <w:b/>
          <w:i/>
          <w:strike w:val="0"/>
          <w:noProof w:val="0"/>
          <w:color w:val="000000"/>
          <w:position w:val="0"/>
          <w:sz w:val="24"/>
          <w:u w:val="none"/>
          <w:vertAlign w:val="baseline"/>
        </w:rPr>
        <w:t>Time Magazine</w:t>
      </w:r>
      <w:r>
        <w:rPr>
          <w:rFonts w:ascii="arial" w:eastAsia="arial" w:hAnsi="arial" w:cs="arial"/>
          <w:b w:val="0"/>
          <w:i w:val="0"/>
          <w:strike w:val="0"/>
          <w:noProof w:val="0"/>
          <w:color w:val="000000"/>
          <w:position w:val="0"/>
          <w:sz w:val="24"/>
          <w:u w:val="none"/>
          <w:vertAlign w:val="baseline"/>
        </w:rPr>
        <w:t xml:space="preserve"> case had stated that the Federal Court decision was misconstrued and referred to by the Chair in the other case. As mentioned earlier, this Court does not intend to discuss the issue in-depth, however, the Court reverts to the decision in </w:t>
      </w:r>
      <w:r>
        <w:rPr>
          <w:rFonts w:ascii="arial" w:eastAsia="arial" w:hAnsi="arial" w:cs="arial"/>
          <w:b/>
          <w:i/>
          <w:strike w:val="0"/>
          <w:noProof w:val="0"/>
          <w:color w:val="000000"/>
          <w:position w:val="0"/>
          <w:sz w:val="24"/>
          <w:u w:val="none"/>
          <w:vertAlign w:val="baseline"/>
        </w:rPr>
        <w:t>Goon Kwee Phoy</w:t>
      </w:r>
      <w:r>
        <w:rPr>
          <w:rFonts w:ascii="arial" w:eastAsia="arial" w:hAnsi="arial" w:cs="arial"/>
          <w:b w:val="0"/>
          <w:i w:val="0"/>
          <w:strike w:val="0"/>
          <w:noProof w:val="0"/>
          <w:color w:val="000000"/>
          <w:position w:val="0"/>
          <w:sz w:val="24"/>
          <w:u w:val="none"/>
          <w:vertAlign w:val="baseline"/>
        </w:rPr>
        <w:t xml:space="preserve">’s case, specifically the relevant part of the </w:t>
      </w:r>
      <w:r>
        <w:rPr>
          <w:rFonts w:ascii="arial" w:eastAsia="arial" w:hAnsi="arial" w:cs="arial"/>
          <w:b w:val="0"/>
          <w:i/>
          <w:strike w:val="0"/>
          <w:noProof w:val="0"/>
          <w:color w:val="000000"/>
          <w:position w:val="0"/>
          <w:sz w:val="24"/>
          <w:u w:val="none"/>
          <w:vertAlign w:val="baseline"/>
        </w:rPr>
        <w:t>ratio</w:t>
      </w:r>
      <w:r>
        <w:rPr>
          <w:rFonts w:ascii="arial" w:eastAsia="arial" w:hAnsi="arial" w:cs="arial"/>
          <w:b w:val="0"/>
          <w:i w:val="0"/>
          <w:strike w:val="0"/>
          <w:noProof w:val="0"/>
          <w:color w:val="000000"/>
          <w:position w:val="0"/>
          <w:sz w:val="24"/>
          <w:u w:val="none"/>
          <w:vertAlign w:val="baseline"/>
        </w:rPr>
        <w:t>. The oft-quoted portion is stated in full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“After we had allowed the appeal from the decision of the High Court but before we had time to give our reasons, another division of this court delivered a considered judgment which dealt,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xml:space="preserve">, with this very same point. In </w:t>
      </w:r>
      <w:r>
        <w:rPr>
          <w:rFonts w:ascii="arial" w:eastAsia="arial" w:hAnsi="arial" w:cs="arial"/>
          <w:b w:val="0"/>
          <w:i/>
          <w:strike w:val="0"/>
          <w:noProof w:val="0"/>
          <w:color w:val="000000"/>
          <w:position w:val="0"/>
          <w:sz w:val="18"/>
          <w:u w:val="none"/>
          <w:vertAlign w:val="baseline"/>
        </w:rPr>
        <w:t xml:space="preserve">Dr A Dutt v Assunta Hospital  </w:t>
      </w:r>
      <w:r>
        <w:rPr>
          <w:rFonts w:ascii="arial" w:eastAsia="arial" w:hAnsi="arial" w:cs="arial"/>
          <w:b w:val="0"/>
          <w:i w:val="0"/>
          <w:strike w:val="0"/>
          <w:noProof w:val="0"/>
          <w:color w:val="000000"/>
          <w:position w:val="0"/>
          <w:sz w:val="18"/>
          <w:u w:val="none"/>
          <w:vertAlign w:val="baseline"/>
        </w:rPr>
        <w:t>[1981] 1 MLJ 304, this court held that the so-called “termination simpliciter’ i.e. a termination by contractual notice and for no reason, if ungrounded on any just cause or excuse would still be a dismissal without just cause or excuse and on the workman’s representations, the Industrial Court may award reinstatement or compensation in lieu of reinstatement.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Under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 what the employee can do in the case of a unilateral termination is to apply under section 20(1)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This section which reads: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“20. (1) Where a workman who is not a member of a trade union of workmen considers that he has been dismissed without just cause or excuse by his employer he may, within thirty days of the dismissal, make representations in writing to the Director General to be reinstated in his former employment; the representations may be filed at the office of the Director General nearest to the place of employment from which the workman was dismissed.”</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is, in our view deliberately, couched in subjective terms. Where a non-union workman considers that his dismissal is without just cause or excuse, he may make representations for his reinstatement. It is not whether he had been dismissed without just cause or excuse; but it is how he considers he has been treated by his employer that constitutes the test for his action.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We do not see any material difference between a termination of the contract of employment by due notice and a unilateral dismissal of a summary nature. The effect is the same and the result must be the same. Where representations are made and are referred to the Industrial Court for enquiry, it is the duty of that court to determine whether the termination or dismissal is with or without just cause or excuse. If the employer chooses to give a reason for the action taken by him, the duty of the Industrial Court will be to enquire whether that excuse or reason has or has not been made out. If it finds as a fact that it has not been proved, then the inevitable conclusion must be that the termination or dismissal was without just cause or excuse. The proper enquiry of the court is the reason advanced by it and that court or the High Court cannot go into another reason not relied on by the employer or find one for it.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In the instant case, the High Court entirely agreed with the Industrial Court that there was no redundancy. Indeed, it could not do otherwise on the evidence. But even assuming for the moment that the High Court would be correct in disagreeing with the Industrial Court on what is essentially a finding of fact and disregarding the ouster provisions in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we would adopt the words of May J. in </w:t>
      </w:r>
      <w:r>
        <w:rPr>
          <w:rFonts w:ascii="arial" w:eastAsia="arial" w:hAnsi="arial" w:cs="arial"/>
          <w:b w:val="0"/>
          <w:i/>
          <w:strike w:val="0"/>
          <w:noProof w:val="0"/>
          <w:color w:val="000000"/>
          <w:position w:val="0"/>
          <w:sz w:val="18"/>
          <w:u w:val="none"/>
          <w:vertAlign w:val="baseline"/>
        </w:rPr>
        <w:t xml:space="preserve">London Transport Executive v Clarke  </w:t>
      </w:r>
      <w:r>
        <w:rPr>
          <w:rFonts w:ascii="arial" w:eastAsia="arial" w:hAnsi="arial" w:cs="arial"/>
          <w:b w:val="0"/>
          <w:i w:val="0"/>
          <w:strike w:val="0"/>
          <w:noProof w:val="0"/>
          <w:color w:val="000000"/>
          <w:position w:val="0"/>
          <w:sz w:val="18"/>
          <w:u w:val="none"/>
          <w:vertAlign w:val="baseline"/>
        </w:rPr>
        <w:t>[1980] ICR 532, 538539:</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 though we may disagree with it as a matter of fact, (we do not think) it can be upset on appeal by this appeal tribunal. We think it of prime importance in these cases that, unless it can be demonstrated that the industrial tribunal has gone wrong in law, this appeal tribunal should uphold the decisions of industrial tribunals who after all are there, as the Court of Appeal has said, to decide these very things; and the whole purpose, efficacy and informality of industrial tribunals, just as with so many other domestic tribunals that exist in modern society, would be undermined completely, if after a minute examination, as it was described in one case, the appeal tribunal was prepared to disturb decisions of industrial tribunals which otherwise did not err in law.”</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But on the finding that there was no redundancy as suggested by the company the conclusion is inevitable that the termination was without the cause or excuse advanced and therefore without just cause or excuse.”.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xml:space="preserve">  The entire passage above remains silent as to the what the Court should take into consideration as what constitutes just cause and excuse for termination. This includes the current discussion of whether after-acquired cause or post termination grounds can be used to support the termination. What the Federal Court did rule was that notwithstanding the issues raised, the Court must make a determination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xml:space="preserve">  Instead, this Court refers to a recent Federal Court decision specifically on this matter; namely the case of </w:t>
      </w:r>
      <w:r>
        <w:rPr>
          <w:rFonts w:ascii="arial" w:eastAsia="arial" w:hAnsi="arial" w:cs="arial"/>
          <w:b w:val="0"/>
          <w:i/>
          <w:strike w:val="0"/>
          <w:noProof w:val="0"/>
          <w:color w:val="000000"/>
          <w:position w:val="0"/>
          <w:sz w:val="24"/>
          <w:u w:val="none"/>
          <w:vertAlign w:val="baseline"/>
        </w:rPr>
        <w:t xml:space="preserve">Maritime Intelligence Sdn Bhd V. Tan Ah Gek  </w:t>
      </w:r>
      <w:r>
        <w:rPr>
          <w:rFonts w:ascii="arial" w:eastAsia="arial" w:hAnsi="arial" w:cs="arial"/>
          <w:b w:val="0"/>
          <w:i w:val="0"/>
          <w:strike w:val="0"/>
          <w:noProof w:val="0"/>
          <w:color w:val="000000"/>
          <w:position w:val="0"/>
          <w:sz w:val="24"/>
          <w:u w:val="none"/>
          <w:vertAlign w:val="baseline"/>
        </w:rPr>
        <w:t>[2021] 4 ILR 417. The Federal Court decided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[51]</w:t>
      </w:r>
      <w:r>
        <w:rPr>
          <w:rFonts w:ascii="arial" w:eastAsia="arial" w:hAnsi="arial" w:cs="arial"/>
          <w:b w:val="0"/>
          <w:i w:val="0"/>
          <w:strike w:val="0"/>
          <w:noProof w:val="0"/>
          <w:color w:val="000000"/>
          <w:position w:val="0"/>
          <w:sz w:val="18"/>
          <w:u w:val="none"/>
          <w:vertAlign w:val="baseline"/>
        </w:rPr>
        <w:t xml:space="preserve"> In summary, on this point, it is the statutorily prescribed function of the Industrial Court to examine, investigate the representations of the workman and then hand down an award under s. 20(3). </w:t>
      </w:r>
      <w:r>
        <w:rPr>
          <w:rFonts w:ascii="arial" w:eastAsia="arial" w:hAnsi="arial" w:cs="arial"/>
          <w:b/>
          <w:i w:val="0"/>
          <w:strike w:val="0"/>
          <w:noProof w:val="0"/>
          <w:color w:val="000000"/>
          <w:position w:val="0"/>
          <w:sz w:val="18"/>
          <w:u w:val="none"/>
          <w:vertAlign w:val="baseline"/>
        </w:rPr>
        <w:t xml:space="preserve">It is not the function of the Industrial Court to decide otherwise than prescribed by the </w:t>
      </w:r>
      <w:r>
        <w:rPr>
          <w:rFonts w:ascii="arial" w:eastAsia="arial" w:hAnsi="arial" w:cs="arial"/>
          <w:b/>
          <w:i/>
          <w:strike w:val="0"/>
          <w:noProof w:val="0"/>
          <w:color w:val="000000"/>
          <w:position w:val="0"/>
          <w:sz w:val="18"/>
          <w:u w:val="single"/>
          <w:vertAlign w:val="baseline"/>
        </w:rPr>
        <w:t>Act</w:t>
      </w:r>
      <w:r>
        <w:rPr>
          <w:rFonts w:ascii="arial" w:eastAsia="arial" w:hAnsi="arial" w:cs="arial"/>
          <w:b/>
          <w:i w:val="0"/>
          <w:strike w:val="0"/>
          <w:noProof w:val="0"/>
          <w:color w:val="000000"/>
          <w:position w:val="0"/>
          <w:sz w:val="18"/>
          <w:u w:val="none"/>
          <w:vertAlign w:val="baseline"/>
        </w:rPr>
        <w:t xml:space="preserve">. The </w:t>
      </w:r>
      <w:r>
        <w:rPr>
          <w:rFonts w:ascii="arial" w:eastAsia="arial" w:hAnsi="arial" w:cs="arial"/>
          <w:b/>
          <w:i/>
          <w:strike w:val="0"/>
          <w:noProof w:val="0"/>
          <w:color w:val="000000"/>
          <w:position w:val="0"/>
          <w:sz w:val="18"/>
          <w:u w:val="single"/>
          <w:vertAlign w:val="baseline"/>
        </w:rPr>
        <w:t>Act</w:t>
      </w:r>
      <w:r>
        <w:rPr>
          <w:rFonts w:ascii="arial" w:eastAsia="arial" w:hAnsi="arial" w:cs="arial"/>
          <w:b/>
          <w:i w:val="0"/>
          <w:strike w:val="0"/>
          <w:noProof w:val="0"/>
          <w:color w:val="000000"/>
          <w:position w:val="0"/>
          <w:sz w:val="18"/>
          <w:u w:val="none"/>
          <w:vertAlign w:val="baseline"/>
        </w:rPr>
        <w:t xml:space="preserve"> implicitly prescribes an investigation into facts and events and reasons at the point and/or time of dismissal</w:t>
      </w:r>
      <w:r>
        <w:rPr>
          <w:rFonts w:ascii="arial" w:eastAsia="arial" w:hAnsi="arial" w:cs="arial"/>
          <w:b w:val="0"/>
          <w:i w:val="0"/>
          <w:strike w:val="0"/>
          <w:noProof w:val="0"/>
          <w:color w:val="000000"/>
          <w:position w:val="0"/>
          <w:sz w:val="18"/>
          <w:u w:val="none"/>
          <w:vertAlign w:val="baseline"/>
        </w:rPr>
        <w:t xml:space="preserve">. There is no provision in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for the industrial tribunal to embark on a far-ranging survey to ascertain whether given matters which the employer has discovered subsequently and not put to the workman, it is justified in dismissing the workman.”.</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[52]</w:t>
      </w:r>
      <w:r>
        <w:rPr>
          <w:rFonts w:ascii="arial" w:eastAsia="arial" w:hAnsi="arial" w:cs="arial"/>
          <w:b w:val="0"/>
          <w:i w:val="0"/>
          <w:strike w:val="0"/>
          <w:noProof w:val="0"/>
          <w:color w:val="000000"/>
          <w:position w:val="0"/>
          <w:sz w:val="18"/>
          <w:u w:val="none"/>
          <w:vertAlign w:val="baseline"/>
        </w:rPr>
        <w:t xml:space="preserve"> A further point which lends weight to the construction above is that the jurisdiction of the Industrial Court is to ascertain whether the dismissal was or without just cause or excuse. It follows that the “just cause or excuse” giving rise to the dismissal, circumscribes the precise area that the Industrial Court is jurisdictionally allowed to examine.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[53] Any such “just cause or excuse” can only refer to the reason resonating in the employer’s mind, prior to, or preceding the decision to dismiss</w:t>
      </w:r>
      <w:r>
        <w:rPr>
          <w:rFonts w:ascii="arial" w:eastAsia="arial" w:hAnsi="arial" w:cs="arial"/>
          <w:b w:val="0"/>
          <w:i w:val="0"/>
          <w:strike w:val="0"/>
          <w:noProof w:val="0"/>
          <w:color w:val="000000"/>
          <w:position w:val="0"/>
          <w:sz w:val="18"/>
          <w:u w:val="none"/>
          <w:vertAlign w:val="baseline"/>
        </w:rPr>
        <w:t>. Those words do not envisage the investigation or contemplation of matters or reasons that the employer discovers subsequently or which operate on the employer’s mind post-dismissal.</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[54] These subsequent matters</w:t>
      </w:r>
      <w:r>
        <w:rPr>
          <w:rFonts w:ascii="arial" w:eastAsia="arial" w:hAnsi="arial" w:cs="arial"/>
          <w:b w:val="0"/>
          <w:i w:val="0"/>
          <w:strike w:val="0"/>
          <w:noProof w:val="0"/>
          <w:color w:val="000000"/>
          <w:position w:val="0"/>
          <w:sz w:val="18"/>
          <w:u w:val="none"/>
          <w:vertAlign w:val="baseline"/>
        </w:rPr>
        <w:t xml:space="preserve"> may well go to the issue of </w:t>
      </w:r>
      <w:r>
        <w:rPr>
          <w:rFonts w:ascii="arial" w:eastAsia="arial" w:hAnsi="arial" w:cs="arial"/>
          <w:b/>
          <w:i w:val="0"/>
          <w:strike w:val="0"/>
          <w:noProof w:val="0"/>
          <w:color w:val="000000"/>
          <w:position w:val="0"/>
          <w:sz w:val="18"/>
          <w:u w:val="none"/>
          <w:vertAlign w:val="baseline"/>
        </w:rPr>
        <w:t>the moulding of the relevant relief such as contributory conduct, or comprise basis to refuse reinstatement and reduce or refuse compensation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in lieu</w:t>
      </w:r>
      <w:r>
        <w:rPr>
          <w:rFonts w:ascii="arial" w:eastAsia="arial" w:hAnsi="arial" w:cs="arial"/>
          <w:b w:val="0"/>
          <w:i w:val="0"/>
          <w:strike w:val="0"/>
          <w:noProof w:val="0"/>
          <w:color w:val="000000"/>
          <w:position w:val="0"/>
          <w:sz w:val="18"/>
          <w:u w:val="none"/>
          <w:vertAlign w:val="baseline"/>
        </w:rPr>
        <w:t xml:space="preserve">. But such subsequent and fresh evidence </w:t>
      </w:r>
      <w:r>
        <w:rPr>
          <w:rFonts w:ascii="arial" w:eastAsia="arial" w:hAnsi="arial" w:cs="arial"/>
          <w:b/>
          <w:i w:val="0"/>
          <w:strike w:val="0"/>
          <w:noProof w:val="0"/>
          <w:color w:val="000000"/>
          <w:position w:val="0"/>
          <w:sz w:val="18"/>
          <w:u w:val="none"/>
          <w:vertAlign w:val="baseline"/>
        </w:rPr>
        <w:t>cannot be utilised retrospectively to justify a termination</w:t>
      </w:r>
      <w:r>
        <w:rPr>
          <w:rFonts w:ascii="arial" w:eastAsia="arial" w:hAnsi="arial" w:cs="arial"/>
          <w:b w:val="0"/>
          <w:i w:val="0"/>
          <w:strike w:val="0"/>
          <w:noProof w:val="0"/>
          <w:color w:val="000000"/>
          <w:position w:val="0"/>
          <w:sz w:val="18"/>
          <w:u w:val="none"/>
          <w:vertAlign w:val="baseline"/>
        </w:rPr>
        <w:t xml:space="preserve"> which was not effected for those reasons or on that basis. It is reiterated that this is because such “cause” did not operate on the employer’s mind at the material time.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 xml:space="preserve">[55] Therefore, both a literal and purposive statutory construction of </w:t>
      </w:r>
      <w:r>
        <w:rPr>
          <w:rFonts w:ascii="arial" w:eastAsia="arial" w:hAnsi="arial" w:cs="arial"/>
          <w:b w:val="0"/>
          <w:i w:val="0"/>
          <w:strike w:val="0"/>
          <w:noProof w:val="0"/>
          <w:color w:val="000000"/>
          <w:position w:val="0"/>
          <w:sz w:val="18"/>
          <w:u w:val="none"/>
          <w:vertAlign w:val="baseline"/>
        </w:rPr>
        <w:t xml:space="preserve">s. 20 </w:t>
      </w:r>
      <w:r>
        <w:rPr>
          <w:rFonts w:ascii="arial" w:eastAsia="arial" w:hAnsi="arial" w:cs="arial"/>
          <w:b/>
          <w:i w:val="0"/>
          <w:strike w:val="0"/>
          <w:noProof w:val="0"/>
          <w:color w:val="000000"/>
          <w:position w:val="0"/>
          <w:sz w:val="18"/>
          <w:u w:val="none"/>
          <w:vertAlign w:val="baseline"/>
        </w:rPr>
        <w:t>does not envisage the employer seeking to justify the termination utilising post-dismissal reasons.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[56]</w:t>
      </w:r>
      <w:r>
        <w:rPr>
          <w:rFonts w:ascii="arial" w:eastAsia="arial" w:hAnsi="arial" w:cs="arial"/>
          <w:b w:val="0"/>
          <w:i w:val="0"/>
          <w:strike w:val="0"/>
          <w:noProof w:val="0"/>
          <w:color w:val="000000"/>
          <w:position w:val="0"/>
          <w:sz w:val="18"/>
          <w:u w:val="none"/>
          <w:vertAlign w:val="baseline"/>
        </w:rPr>
        <w:t xml:space="preserve"> Equally, it defies a proper construction of s. 20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to conclude that an employer dismissing a workman for a particular reason or series of events, can then rely on a wholly different or additional matters, to justify the same dismissal at the Industrial Court, in an effort to bolster or put forward what the employer feels, or may be advised, is a “stronger” defence.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[57]</w:t>
      </w:r>
      <w:r>
        <w:rPr>
          <w:rFonts w:ascii="arial" w:eastAsia="arial" w:hAnsi="arial" w:cs="arial"/>
          <w:b w:val="0"/>
          <w:i w:val="0"/>
          <w:strike w:val="0"/>
          <w:noProof w:val="0"/>
          <w:color w:val="000000"/>
          <w:position w:val="0"/>
          <w:sz w:val="18"/>
          <w:u w:val="none"/>
          <w:vertAlign w:val="baseline"/>
        </w:rPr>
        <w:t xml:space="preserve"> For these reasons, we are of the view that a literal and purposive statutory construction of the provisions of s. 20 clearly support the legal position that </w:t>
      </w:r>
      <w:r>
        <w:rPr>
          <w:rFonts w:ascii="arial" w:eastAsia="arial" w:hAnsi="arial" w:cs="arial"/>
          <w:b/>
          <w:i w:val="0"/>
          <w:strike w:val="0"/>
          <w:noProof w:val="0"/>
          <w:color w:val="000000"/>
          <w:position w:val="0"/>
          <w:sz w:val="18"/>
          <w:u w:val="none"/>
          <w:vertAlign w:val="baseline"/>
        </w:rPr>
        <w:t>the Industrial Court is statutorily circumscribed in its jurisdiction to examine, adjudicate and hand down an award as to whether the dismissal was with or without just cause or excuse premised on matters operating in the mind of the employer at the time of the dismissal</w:t>
      </w:r>
      <w:r>
        <w:rPr>
          <w:rFonts w:ascii="arial" w:eastAsia="arial" w:hAnsi="arial" w:cs="arial"/>
          <w:b w:val="0"/>
          <w:i w:val="0"/>
          <w:strike w:val="0"/>
          <w:noProof w:val="0"/>
          <w:color w:val="000000"/>
          <w:position w:val="0"/>
          <w:sz w:val="18"/>
          <w:u w:val="none"/>
          <w:vertAlign w:val="baseline"/>
        </w:rPr>
        <w:t>. As such the underlying matters relied upon as comprising “just cause or excuse” cannot and do not refer to matters discovered or chosen to be utilised post-dismissal, in order to justify the dismissal at the Industrial Court.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xml:space="preserve">  The ratio above is clear and needs no further explanation. However, the learned Chair had no chance of referring to the case above since the Award was in 2019. Notwithstanding, this Court will use the above as the position that should have been since the ratio speaks to the position of the Court based on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and not purely a matter of interpretation. A position that this Court is in total agreement with.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xml:space="preserve">  However, any further deliberation on the above by this Court could be considered an </w:t>
      </w:r>
      <w:r>
        <w:rPr>
          <w:rFonts w:ascii="arial" w:eastAsia="arial" w:hAnsi="arial" w:cs="arial"/>
          <w:b w:val="0"/>
          <w:i/>
          <w:strike w:val="0"/>
          <w:noProof w:val="0"/>
          <w:color w:val="000000"/>
          <w:position w:val="0"/>
          <w:sz w:val="24"/>
          <w:u w:val="none"/>
          <w:vertAlign w:val="baseline"/>
        </w:rPr>
        <w:t>obiter dictum</w:t>
      </w:r>
      <w:r>
        <w:rPr>
          <w:rFonts w:ascii="arial" w:eastAsia="arial" w:hAnsi="arial" w:cs="arial"/>
          <w:b w:val="0"/>
          <w:i w:val="0"/>
          <w:strike w:val="0"/>
          <w:noProof w:val="0"/>
          <w:color w:val="000000"/>
          <w:position w:val="0"/>
          <w:sz w:val="24"/>
          <w:u w:val="none"/>
          <w:vertAlign w:val="baseline"/>
        </w:rPr>
        <w:t>. Therefore, the Court summarises that the Industrial Court’s duty is to determine cases based on the evidence available at the time of termination and does not include post termination, after-acquired causes of action or discovery of facts after the termination. This would also include pre-dismissal conduct that was discovered after the termination.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The Court would now summarily give the common legal requirements and expectations of the Court in any Industrial Court for a case of misconduct before embarking into the gist of the case.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Role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xml:space="preserve">  The Court reiterates its stance regarding the role of the Court in a matter referred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this Court has done in this Court’s reported cases of </w:t>
      </w:r>
      <w:r>
        <w:rPr>
          <w:rFonts w:ascii="arial" w:eastAsia="arial" w:hAnsi="arial" w:cs="arial"/>
          <w:b w:val="0"/>
          <w:i/>
          <w:strike w:val="0"/>
          <w:noProof w:val="0"/>
          <w:color w:val="000000"/>
          <w:position w:val="0"/>
          <w:sz w:val="24"/>
          <w:u w:val="none"/>
          <w:vertAlign w:val="baseline"/>
        </w:rPr>
        <w:t xml:space="preserve">Badariah Abdullah lwn. Malaysia Airports (Sepang) Sdn Bhd  </w:t>
      </w:r>
      <w:r>
        <w:rPr>
          <w:rFonts w:ascii="arial" w:eastAsia="arial" w:hAnsi="arial" w:cs="arial"/>
          <w:b w:val="0"/>
          <w:i w:val="0"/>
          <w:strike w:val="0"/>
          <w:noProof w:val="0"/>
          <w:color w:val="000000"/>
          <w:position w:val="0"/>
          <w:sz w:val="24"/>
          <w:u w:val="none"/>
          <w:vertAlign w:val="baseline"/>
        </w:rPr>
        <w:t xml:space="preserve">[2023] 2 LNS 1546, </w:t>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 xml:space="preserve">[2023] MELRU 1728 and </w:t>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 xml:space="preserve">[2023] 3 ILR 204. The Court had referred to the oft-cited Supreme Court case of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[1988] 1 CLJ 45 and Federal Court case of </w:t>
      </w:r>
      <w:r>
        <w:rPr>
          <w:rFonts w:ascii="arial" w:eastAsia="arial" w:hAnsi="arial" w:cs="arial"/>
          <w:b/>
          <w:i/>
          <w:strike w:val="0"/>
          <w:noProof w:val="0"/>
          <w:color w:val="000000"/>
          <w:position w:val="0"/>
          <w:sz w:val="24"/>
          <w:u w:val="none"/>
          <w:vertAlign w:val="baseline"/>
        </w:rPr>
        <w:t>Goon Kwee Phoy</w:t>
      </w:r>
      <w:r>
        <w:rPr>
          <w:rFonts w:ascii="arial" w:eastAsia="arial" w:hAnsi="arial" w:cs="arial"/>
          <w:b w:val="0"/>
          <w:i w:val="0"/>
          <w:strike w:val="0"/>
          <w:noProof w:val="0"/>
          <w:color w:val="000000"/>
          <w:position w:val="0"/>
          <w:sz w:val="24"/>
          <w:u w:val="none"/>
          <w:vertAlign w:val="baseline"/>
        </w:rPr>
        <w:t xml:space="preserve"> cited earlier. The accepted principles in those cases are clear and needs no further elaboration.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The Court feels it would not be prudent to repeat the same and as such, parties are welcome to view the above-mentioned cases for a more complete explanation. The Court’s general duty is to determine whether there was a termination or dismissal, and that the termination or dismissal was just and fair. In this case where the Company terminated the Claimant due to the Claimant’s misconduct, the Court’s duty is to ascertain whether the Company has actually proven the Claimant’s misconduct and whether it was just cause for the Company to terminate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Before venturing further into the Award, the Court would like to highlight first the issue of burden of proof for this case. This is important to ascertain whether the parties have managed to prove their case to this Court.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Burden and Onus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xml:space="preserve">  Similarly, the Court refers to its previous cases with regards the burden of proof as well as adducing evidence in the case. The case of </w:t>
      </w:r>
      <w:r>
        <w:rPr>
          <w:rFonts w:ascii="arial" w:eastAsia="arial" w:hAnsi="arial" w:cs="arial"/>
          <w:b w:val="0"/>
          <w:i/>
          <w:strike w:val="0"/>
          <w:noProof w:val="0"/>
          <w:color w:val="000000"/>
          <w:position w:val="0"/>
          <w:sz w:val="24"/>
          <w:u w:val="none"/>
          <w:vertAlign w:val="baseline"/>
        </w:rPr>
        <w:t xml:space="preserve">Mohamad Suffian Ismail v. Seacera Group Berhad  </w:t>
      </w:r>
      <w:r>
        <w:rPr>
          <w:rFonts w:ascii="arial" w:eastAsia="arial" w:hAnsi="arial" w:cs="arial"/>
          <w:b w:val="0"/>
          <w:i w:val="0"/>
          <w:strike w:val="0"/>
          <w:noProof w:val="0"/>
          <w:color w:val="000000"/>
          <w:position w:val="0"/>
          <w:sz w:val="24"/>
          <w:u w:val="none"/>
          <w:vertAlign w:val="baseline"/>
        </w:rPr>
        <w:t xml:space="preserve">[2023] MELRU 2317 whereby this Court referred to the Court of Appeal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[2002] 3 CLJ 314 and the case of </w:t>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1 MLJ 86</w:t>
      </w:r>
      <w:r>
        <w:rPr>
          <w:rFonts w:ascii="arial" w:eastAsia="arial" w:hAnsi="arial" w:cs="arial"/>
          <w:b/>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Both the cases cited in the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case above are the standard and burden of proof required by the Court and will be used when scrutinising this case. It is important to emphasise these factors because the entire case is beholden to the evidence submitted, the burden and standard of the proof of the case of both parties.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It is encumbered on the parties asserting the facts that it must be proven based on the balance of probabilities. This obligation has to be proven by both parties. Since this is a termination due to misconduct case the Company must prove its case first on the above stated burden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Now that the preliminary issues have been resolved, the Court will now answer the issues raised by the consent judgment which was discussed at length at the beginning of this 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xml:space="preserve">  Succinctly, what is required firstly, the Court should determine whether the Claimant was dismissed for just cause and excuse based on the grounds stated in the Letter of Termination dated 23 April 2018. Secondly, whether there was a misconduct by the Claimant </w:t>
      </w:r>
      <w:r>
        <w:rPr>
          <w:rFonts w:ascii="arial" w:eastAsia="arial" w:hAnsi="arial" w:cs="arial"/>
          <w:b w:val="0"/>
          <w:i/>
          <w:strike w:val="0"/>
          <w:noProof w:val="0"/>
          <w:color w:val="000000"/>
          <w:position w:val="0"/>
          <w:sz w:val="24"/>
          <w:u w:val="none"/>
          <w:vertAlign w:val="baseline"/>
        </w:rPr>
        <w:t>vis-à-vis</w:t>
      </w:r>
      <w:r>
        <w:rPr>
          <w:rFonts w:ascii="arial" w:eastAsia="arial" w:hAnsi="arial" w:cs="arial"/>
          <w:b w:val="0"/>
          <w:i w:val="0"/>
          <w:strike w:val="0"/>
          <w:noProof w:val="0"/>
          <w:color w:val="000000"/>
          <w:position w:val="0"/>
          <w:sz w:val="24"/>
          <w:u w:val="none"/>
          <w:vertAlign w:val="baseline"/>
        </w:rPr>
        <w:t xml:space="preserve"> Kuasakon Sdn Bhd and if proven whether this misconduct will affect the Respondent’s entitlement to remedy (if any). Thirdly and finally, the evidence adduced at the previous Industrial Court Hearing (documentary and oral evidence) including the Notes of Evidence is to remain intact and be referred to in the Re-Hearing before the Industrial Court and parties are at liberty to adduce such further or other oral or documentary evidence as they seen fit.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Letter of Termination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The Letter of Termination or as in this case was entitled “Appointment As Contract Manager” was reproduced in the Award above and there is no reason to repeat the same. Despite the difference in the title, the purpose of the letter is clearly to terminate the services of the Claimant at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What the Court wishes to highlight in the letter is the reasons for the termination. The Letter of Termination has listed eight items that according to the Company were violated by the Claimant. This led the Company losing its trust on the Claimant since the Claimant’s acts of dishonesty which are inconsistent with the continuing existence of a working relationship and essential conditions of the employment contract. Besides that, the Company also claimed that the Claimant was not present to work without permission. The Court will now look at those issues later in this 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The letter gave eight items listed as reasons for the termination, which the Court believes are interrelated. It revolves around the Claimant’s role in the Company, where the Claimant was appointed as the Contract Manager. The summary of the parties’ status in the Company can also be seen in the initial Award and the Court reproduces the gist here: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[3]</w:t>
      </w:r>
      <w:r>
        <w:rPr>
          <w:rFonts w:ascii="arial" w:eastAsia="arial" w:hAnsi="arial" w:cs="arial"/>
          <w:b w:val="0"/>
          <w:i w:val="0"/>
          <w:strike w:val="0"/>
          <w:noProof w:val="0"/>
          <w:color w:val="000000"/>
          <w:position w:val="0"/>
          <w:sz w:val="18"/>
          <w:u w:val="none"/>
          <w:vertAlign w:val="baseline"/>
        </w:rPr>
        <w:t xml:space="preserve"> By the 1</w:t>
      </w:r>
      <w:r>
        <w:rPr>
          <w:rFonts w:ascii="arial" w:eastAsia="arial" w:hAnsi="arial" w:cs="arial"/>
          <w:b w:val="0"/>
          <w:i w:val="0"/>
          <w:strike w:val="0"/>
          <w:noProof w:val="0"/>
          <w:color w:val="000000"/>
          <w:position w:val="0"/>
          <w:sz w:val="18"/>
          <w:u w:val="none"/>
          <w:vertAlign w:val="superscript"/>
        </w:rPr>
        <w:t>st</w:t>
      </w:r>
      <w:r>
        <w:rPr>
          <w:rFonts w:ascii="arial" w:eastAsia="arial" w:hAnsi="arial" w:cs="arial"/>
          <w:b w:val="0"/>
          <w:i w:val="0"/>
          <w:strike w:val="0"/>
          <w:noProof w:val="0"/>
          <w:color w:val="000000"/>
          <w:position w:val="0"/>
          <w:sz w:val="18"/>
          <w:u w:val="none"/>
          <w:vertAlign w:val="baseline"/>
        </w:rPr>
        <w:t xml:space="preserve"> Company’s letter of appointment dated 8.6.2016 the 1</w:t>
      </w:r>
      <w:r>
        <w:rPr>
          <w:rFonts w:ascii="arial" w:eastAsia="arial" w:hAnsi="arial" w:cs="arial"/>
          <w:b w:val="0"/>
          <w:i w:val="0"/>
          <w:strike w:val="0"/>
          <w:noProof w:val="0"/>
          <w:color w:val="000000"/>
          <w:position w:val="0"/>
          <w:sz w:val="18"/>
          <w:u w:val="none"/>
          <w:vertAlign w:val="superscript"/>
        </w:rPr>
        <w:t>st</w:t>
      </w:r>
      <w:r>
        <w:rPr>
          <w:rFonts w:ascii="arial" w:eastAsia="arial" w:hAnsi="arial" w:cs="arial"/>
          <w:b w:val="0"/>
          <w:i w:val="0"/>
          <w:strike w:val="0"/>
          <w:noProof w:val="0"/>
          <w:color w:val="000000"/>
          <w:position w:val="0"/>
          <w:sz w:val="18"/>
          <w:u w:val="none"/>
          <w:vertAlign w:val="baseline"/>
        </w:rPr>
        <w:t xml:space="preserve"> Company appointed the Claimant as its Contract Manager. Clause 12 of the letter required the Claimant to carry out works for the entities associated with the 1</w:t>
      </w:r>
      <w:r>
        <w:rPr>
          <w:rFonts w:ascii="arial" w:eastAsia="arial" w:hAnsi="arial" w:cs="arial"/>
          <w:b w:val="0"/>
          <w:i w:val="0"/>
          <w:strike w:val="0"/>
          <w:noProof w:val="0"/>
          <w:color w:val="000000"/>
          <w:position w:val="0"/>
          <w:sz w:val="18"/>
          <w:u w:val="none"/>
          <w:vertAlign w:val="superscript"/>
        </w:rPr>
        <w:t>st</w:t>
      </w:r>
      <w:r>
        <w:rPr>
          <w:rFonts w:ascii="arial" w:eastAsia="arial" w:hAnsi="arial" w:cs="arial"/>
          <w:b w:val="0"/>
          <w:i w:val="0"/>
          <w:strike w:val="0"/>
          <w:noProof w:val="0"/>
          <w:color w:val="000000"/>
          <w:position w:val="0"/>
          <w:sz w:val="18"/>
          <w:u w:val="none"/>
          <w:vertAlign w:val="baseline"/>
        </w:rPr>
        <w:t xml:space="preserve"> Company, which included the 2</w:t>
      </w:r>
      <w:r>
        <w:rPr>
          <w:rFonts w:ascii="arial" w:eastAsia="arial" w:hAnsi="arial" w:cs="arial"/>
          <w:b w:val="0"/>
          <w:i w:val="0"/>
          <w:strike w:val="0"/>
          <w:noProof w:val="0"/>
          <w:color w:val="000000"/>
          <w:position w:val="0"/>
          <w:sz w:val="18"/>
          <w:u w:val="none"/>
          <w:vertAlign w:val="superscript"/>
        </w:rPr>
        <w:t>nd</w:t>
      </w:r>
      <w:r>
        <w:rPr>
          <w:rFonts w:ascii="arial" w:eastAsia="arial" w:hAnsi="arial" w:cs="arial"/>
          <w:b w:val="0"/>
          <w:i w:val="0"/>
          <w:strike w:val="0"/>
          <w:noProof w:val="0"/>
          <w:color w:val="000000"/>
          <w:position w:val="0"/>
          <w:sz w:val="18"/>
          <w:u w:val="none"/>
          <w:vertAlign w:val="baseline"/>
        </w:rPr>
        <w:t xml:space="preserve"> Company. Mr. KS Au Yong is a common director of both Companies while his son William Au Yong (COW) is a director of the 1</w:t>
      </w:r>
      <w:r>
        <w:rPr>
          <w:rFonts w:ascii="arial" w:eastAsia="arial" w:hAnsi="arial" w:cs="arial"/>
          <w:b w:val="0"/>
          <w:i w:val="0"/>
          <w:strike w:val="0"/>
          <w:noProof w:val="0"/>
          <w:color w:val="000000"/>
          <w:position w:val="0"/>
          <w:sz w:val="18"/>
          <w:u w:val="none"/>
          <w:vertAlign w:val="superscript"/>
        </w:rPr>
        <w:t>st</w:t>
      </w:r>
      <w:r>
        <w:rPr>
          <w:rFonts w:ascii="arial" w:eastAsia="arial" w:hAnsi="arial" w:cs="arial"/>
          <w:b w:val="0"/>
          <w:i w:val="0"/>
          <w:strike w:val="0"/>
          <w:noProof w:val="0"/>
          <w:color w:val="000000"/>
          <w:position w:val="0"/>
          <w:sz w:val="18"/>
          <w:u w:val="none"/>
          <w:vertAlign w:val="baseline"/>
        </w:rPr>
        <w:t xml:space="preserve"> Company and Manager of the 2</w:t>
      </w:r>
      <w:r>
        <w:rPr>
          <w:rFonts w:ascii="arial" w:eastAsia="arial" w:hAnsi="arial" w:cs="arial"/>
          <w:b w:val="0"/>
          <w:i w:val="0"/>
          <w:strike w:val="0"/>
          <w:noProof w:val="0"/>
          <w:color w:val="000000"/>
          <w:position w:val="0"/>
          <w:sz w:val="18"/>
          <w:u w:val="none"/>
          <w:vertAlign w:val="superscript"/>
        </w:rPr>
        <w:t>nd</w:t>
      </w:r>
      <w:r>
        <w:rPr>
          <w:rFonts w:ascii="arial" w:eastAsia="arial" w:hAnsi="arial" w:cs="arial"/>
          <w:b w:val="0"/>
          <w:i w:val="0"/>
          <w:strike w:val="0"/>
          <w:noProof w:val="0"/>
          <w:color w:val="000000"/>
          <w:position w:val="0"/>
          <w:sz w:val="18"/>
          <w:u w:val="none"/>
          <w:vertAlign w:val="baseline"/>
        </w:rPr>
        <w:t xml:space="preserve"> Company. Hereinafter the 1</w:t>
      </w:r>
      <w:r>
        <w:rPr>
          <w:rFonts w:ascii="arial" w:eastAsia="arial" w:hAnsi="arial" w:cs="arial"/>
          <w:b w:val="0"/>
          <w:i w:val="0"/>
          <w:strike w:val="0"/>
          <w:noProof w:val="0"/>
          <w:color w:val="000000"/>
          <w:position w:val="0"/>
          <w:sz w:val="18"/>
          <w:u w:val="none"/>
          <w:vertAlign w:val="superscript"/>
        </w:rPr>
        <w:t>st</w:t>
      </w:r>
      <w:r>
        <w:rPr>
          <w:rFonts w:ascii="arial" w:eastAsia="arial" w:hAnsi="arial" w:cs="arial"/>
          <w:b w:val="0"/>
          <w:i w:val="0"/>
          <w:strike w:val="0"/>
          <w:noProof w:val="0"/>
          <w:color w:val="000000"/>
          <w:position w:val="0"/>
          <w:sz w:val="18"/>
          <w:u w:val="none"/>
          <w:vertAlign w:val="baseline"/>
        </w:rPr>
        <w:t xml:space="preserve"> Company and 2</w:t>
      </w:r>
      <w:r>
        <w:rPr>
          <w:rFonts w:ascii="arial" w:eastAsia="arial" w:hAnsi="arial" w:cs="arial"/>
          <w:b w:val="0"/>
          <w:i w:val="0"/>
          <w:strike w:val="0"/>
          <w:noProof w:val="0"/>
          <w:color w:val="000000"/>
          <w:position w:val="0"/>
          <w:sz w:val="18"/>
          <w:u w:val="none"/>
          <w:vertAlign w:val="superscript"/>
        </w:rPr>
        <w:t>nd</w:t>
      </w:r>
      <w:r>
        <w:rPr>
          <w:rFonts w:ascii="arial" w:eastAsia="arial" w:hAnsi="arial" w:cs="arial"/>
          <w:b w:val="0"/>
          <w:i w:val="0"/>
          <w:strike w:val="0"/>
          <w:noProof w:val="0"/>
          <w:color w:val="000000"/>
          <w:position w:val="0"/>
          <w:sz w:val="18"/>
          <w:u w:val="none"/>
          <w:vertAlign w:val="baseline"/>
        </w:rPr>
        <w:t xml:space="preserve"> Company are collectively referred to as “the Companies”.”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xml:space="preserve">  The above illustrates that the case is between the differences of the top three people of the Company. There was an argument whether the Claimant could also be deemed to be part of the Management of the Company. The Court is of the view that the Claimant was part of the important management team, however his powers were limited as compared to the other two team members. The fact that all the Claimant’s decisions had to be referred to the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xml:space="preserve"> and/or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’s father who was the Chief Executive Officer (“CEO”) of the Company illustrates this.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Coming back to the relevant portion of the Award, the entire case hangs on a meeting or inquiry that was held on 17 April 2018. A meeting or inquiry that was not recorded and no minutes were taken in any shape or form. The Court understands that it was only between three men albeit the three highest positions in the Company as seen in the quote above. Nonetheless, a meeting or inquiry of such magnitude should have been done formally. This would have assisted parties and the Court in trying to ascertain what actually transpired on the 17 April 2018.</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Especially for the Company who is asserting that the meeting was also a form of inquiry against the Claimant. Notwithstanding, the Court can only construe evidence available before it. Since the meeting or inquiry was not recorded, at best it was an informal discussion between the three individuals. All the three individuals being interested and biased parties unable to give a neutral account of the meeting or inquiry without any corroborative evidence.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[53]</w:t>
      </w:r>
      <w:r>
        <w:rPr>
          <w:rFonts w:ascii="arial" w:eastAsia="arial" w:hAnsi="arial" w:cs="arial"/>
          <w:b w:val="0"/>
          <w:i w:val="0"/>
          <w:strike w:val="0"/>
          <w:noProof w:val="0"/>
          <w:color w:val="000000"/>
          <w:position w:val="0"/>
          <w:sz w:val="24"/>
          <w:u w:val="none"/>
          <w:vertAlign w:val="baseline"/>
        </w:rPr>
        <w:t xml:space="preserve">  The veracity of the evidence of the Company is further challenged by the fact that the Claimant had made a police report on 27 April 2018 and provided in page 29 of </w:t>
      </w:r>
      <w:r>
        <w:rPr>
          <w:rFonts w:ascii="arial" w:eastAsia="arial" w:hAnsi="arial" w:cs="arial"/>
          <w:b w:val="0"/>
          <w:i/>
          <w:strike w:val="0"/>
          <w:noProof w:val="0"/>
          <w:color w:val="000000"/>
          <w:position w:val="0"/>
          <w:sz w:val="24"/>
          <w:u w:val="none"/>
          <w:vertAlign w:val="baseline"/>
        </w:rPr>
        <w:t>CLB</w:t>
      </w:r>
      <w:r>
        <w:rPr>
          <w:rFonts w:ascii="arial" w:eastAsia="arial" w:hAnsi="arial" w:cs="arial"/>
          <w:b w:val="0"/>
          <w:i w:val="0"/>
          <w:strike w:val="0"/>
          <w:noProof w:val="0"/>
          <w:color w:val="000000"/>
          <w:position w:val="0"/>
          <w:sz w:val="24"/>
          <w:u w:val="none"/>
          <w:vertAlign w:val="baseline"/>
        </w:rPr>
        <w:t>. The report was made by the Claimant because he felt the Company had made false accusations. Again, the Court emphasises that the actual discussion on 17 April 2028 is only in the knowledge of the three individuals that attended the said meeting, all interested parties in this case. Making confirmation of the versions of both parties rather questionable.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[54]</w:t>
      </w:r>
      <w:r>
        <w:rPr>
          <w:rFonts w:ascii="arial" w:eastAsia="arial" w:hAnsi="arial" w:cs="arial"/>
          <w:b w:val="0"/>
          <w:i w:val="0"/>
          <w:strike w:val="0"/>
          <w:noProof w:val="0"/>
          <w:color w:val="000000"/>
          <w:position w:val="0"/>
          <w:sz w:val="24"/>
          <w:u w:val="none"/>
          <w:vertAlign w:val="baseline"/>
        </w:rPr>
        <w:t xml:space="preserve">  The Court has always approached cases of misconduct in an almost similar pattern. Initially, whether there was ever any notice to show cause given to the employee, and giving the said employee time to reply formally unless the case fell within the ambit of cases that was deemed to be exceptional. This is then followed by a formal domestic inquiry, which is merely optional as decided by the higher Courts. Then, the next course of action would be the disciplinary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by the Company which may or may not lead to the dismissal of the employee.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[55]</w:t>
      </w:r>
      <w:r>
        <w:rPr>
          <w:rFonts w:ascii="arial" w:eastAsia="arial" w:hAnsi="arial" w:cs="arial"/>
          <w:b w:val="0"/>
          <w:i w:val="0"/>
          <w:strike w:val="0"/>
          <w:noProof w:val="0"/>
          <w:color w:val="000000"/>
          <w:position w:val="0"/>
          <w:sz w:val="24"/>
          <w:u w:val="none"/>
          <w:vertAlign w:val="baseline"/>
        </w:rPr>
        <w:t xml:space="preserve">  In this case, there was never any notice to show cause given nor any formal domestic inquiry conducted. The Company was saying that it did not give any prior notice to the Claimant because they wanted to get the Claimant’s emotions in play. The Claimant’s counsel argued that the intention of the Company was to ambush the Claimant. The re-examination of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xml:space="preserve"> during the first trial states clearly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COR</w:t>
      </w:r>
      <w:r>
        <w:rPr>
          <w:rFonts w:ascii="arial" w:eastAsia="arial" w:hAnsi="arial" w:cs="arial"/>
          <w:b w:val="0"/>
          <w:i w:val="0"/>
          <w:strike w:val="0"/>
          <w:noProof w:val="0"/>
          <w:color w:val="000000"/>
          <w:position w:val="0"/>
          <w:sz w:val="18"/>
          <w:u w:val="none"/>
          <w:vertAlign w:val="baseline"/>
        </w:rPr>
        <w:t xml:space="preserve"> : Then there was a question about not giving him notice or that was by ambush that this meeting was held and you said he had asked you about, what the computer and your replies something. We need to meet or something like. Can you just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COW 1</w:t>
      </w:r>
      <w:r>
        <w:rPr>
          <w:rFonts w:ascii="arial" w:eastAsia="arial" w:hAnsi="arial" w:cs="arial"/>
          <w:b w:val="0"/>
          <w:i w:val="0"/>
          <w:strike w:val="0"/>
          <w:noProof w:val="0"/>
          <w:color w:val="000000"/>
          <w:position w:val="0"/>
          <w:sz w:val="18"/>
          <w:u w:val="none"/>
          <w:vertAlign w:val="baseline"/>
        </w:rPr>
        <w:t>: Yes Yang Arif, early morning he was asking everyone where was the computer. Is anyone seen his computer you know but without, the first person he asked was me, William have you seen my computer. I said you know, we need to talk. We need to discuss on this. We did not inform specifically on the detail until the night time because, it is not ambush but we wanted to see from his explanation and his expression you know, it’s human expression. We can’t example if you tell, you know a robber is going to I mean like and a robber you don’t tell the good you restore, I’m gonna rob you tonight. So be careful you know, but it is not an ambush. We did not spell specifically. But it is in regard to the computer</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[56]</w:t>
      </w:r>
      <w:r>
        <w:rPr>
          <w:rFonts w:ascii="arial" w:eastAsia="arial" w:hAnsi="arial" w:cs="arial"/>
          <w:b w:val="0"/>
          <w:i w:val="0"/>
          <w:strike w:val="0"/>
          <w:noProof w:val="0"/>
          <w:color w:val="000000"/>
          <w:position w:val="0"/>
          <w:sz w:val="24"/>
          <w:u w:val="none"/>
          <w:vertAlign w:val="baseline"/>
        </w:rPr>
        <w:t xml:space="preserve">  So the Court reads the notes of proceedings as presented in verbatim. All that this Court wishes to state is that the above is a classic ambush and doubt that it could have been performed better. In the usual circumstance, the Claimant should have been told that there were certain things that the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xml:space="preserve"> and the CEO wanted to discuss regarding the Claimant’s transactions. This would negate the ambush effect and give the Claimant some opportunity to prepare some sort of defence in the so-called inquiry.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[57]</w:t>
      </w:r>
      <w:r>
        <w:rPr>
          <w:rFonts w:ascii="arial" w:eastAsia="arial" w:hAnsi="arial" w:cs="arial"/>
          <w:b w:val="0"/>
          <w:i w:val="0"/>
          <w:strike w:val="0"/>
          <w:noProof w:val="0"/>
          <w:color w:val="000000"/>
          <w:position w:val="0"/>
          <w:sz w:val="24"/>
          <w:u w:val="none"/>
          <w:vertAlign w:val="baseline"/>
        </w:rPr>
        <w:t xml:space="preserve">  Instead, the Company rests its case on the basis that the Claimant had agreed with all that happened and agreed to resign as part of a settled compromise between the parties. The Claimant’s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of refusing to resign was a reneging on the compromised settlement. The Court has mentioned that the Claimant had filed a police report denying all of the allegations. As pointed above, all assertions and facts have to be proven by the party asserting the said fact or facts on a balance of probabilities.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xml:space="preserve">  Since this is a misconduct case, the burden of proof is on the Company to first prove that there was misconduct on the part of the Claimant before the Court looks and weighs the facts as provided by the Claimant. Furthermore, since there was no notice to show cause against the Claimant and no domestic inquiry, the Court will conduct the case as if it was conducting a domestic inquiry as provided in the Federal Court case of </w:t>
      </w:r>
      <w:r>
        <w:rPr>
          <w:rFonts w:ascii="arial" w:eastAsia="arial" w:hAnsi="arial" w:cs="arial"/>
          <w:b w:val="0"/>
          <w:i/>
          <w:strike w:val="0"/>
          <w:noProof w:val="0"/>
          <w:color w:val="000000"/>
          <w:position w:val="0"/>
          <w:sz w:val="24"/>
          <w:u w:val="none"/>
          <w:vertAlign w:val="baseline"/>
        </w:rPr>
        <w:t xml:space="preserve">Wong Yuen Hock v Syarikat Hong Leong Assurance Sdn Bhd and Another Appeal  </w:t>
      </w:r>
      <w:r>
        <w:rPr>
          <w:rFonts w:ascii="arial" w:eastAsia="arial" w:hAnsi="arial" w:cs="arial"/>
          <w:b w:val="0"/>
          <w:i w:val="0"/>
          <w:strike w:val="0"/>
          <w:noProof w:val="0"/>
          <w:color w:val="000000"/>
          <w:position w:val="0"/>
          <w:sz w:val="24"/>
          <w:u w:val="none"/>
          <w:vertAlign w:val="baseline"/>
        </w:rPr>
        <w:t>[1995] 2 MLJ 753. It was held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“(3) The Industrial Court is an independent statutory body capable of reaching a fair result by fair means on all matters referred to it. Therefore, </w:t>
      </w:r>
      <w:r>
        <w:rPr>
          <w:rFonts w:ascii="arial" w:eastAsia="arial" w:hAnsi="arial" w:cs="arial"/>
          <w:b/>
          <w:i w:val="0"/>
          <w:strike w:val="0"/>
          <w:noProof w:val="0"/>
          <w:color w:val="000000"/>
          <w:position w:val="0"/>
          <w:sz w:val="18"/>
          <w:u w:val="none"/>
          <w:vertAlign w:val="baseline"/>
        </w:rPr>
        <w:t>if there had been a breach of natural justice by the employer at the initial stage, it could be cured at the rehearing by the Industrial Court</w:t>
      </w:r>
      <w:r>
        <w:rPr>
          <w:rFonts w:ascii="arial" w:eastAsia="arial" w:hAnsi="arial" w:cs="arial"/>
          <w:b w:val="0"/>
          <w:i w:val="0"/>
          <w:strike w:val="0"/>
          <w:noProof w:val="0"/>
          <w:color w:val="000000"/>
          <w:position w:val="0"/>
          <w:sz w:val="18"/>
          <w:u w:val="none"/>
          <w:vertAlign w:val="baseline"/>
        </w:rPr>
        <w:t>. The Industrial Court had committed jurisdictional error when it held that Wong was dismissed without just cause or excuse purely on the basis of failure to hold a domestic inquiry. The omission to consider whether Wong’s dismissal was with or without just cause or excuse, regardless of the initial breach to hold a domestic inquiry, as fatal.”</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[59]</w:t>
      </w:r>
      <w:r>
        <w:rPr>
          <w:rFonts w:ascii="arial" w:eastAsia="arial" w:hAnsi="arial" w:cs="arial"/>
          <w:b w:val="0"/>
          <w:i w:val="0"/>
          <w:strike w:val="0"/>
          <w:noProof w:val="0"/>
          <w:color w:val="000000"/>
          <w:position w:val="0"/>
          <w:sz w:val="24"/>
          <w:u w:val="none"/>
          <w:vertAlign w:val="baseline"/>
        </w:rPr>
        <w:t>  The Court will look at all the issues raised in the letter of termination and whether there are any documentary evidence to support the Company’s action. The Letter of Termination listed eight reasons for the termination, as well as another paragraph which also claimed that the Claimant was absent from work. The eight items are as follows:</w:t>
      </w:r>
      <w:r>
        <w:t>
</w:t>
      </w:r>
    </w:p>
    <w:p>
      <w:pPr>
        <w:keepNext w:val="0"/>
        <w:numPr>
          <w:numId w:val="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Over recommendation of payment certificates to Sub-Contractors made by the Claimant for four projects, namely Rica Residence, Klinik Kesihatan Jenis 3 (KK3) Gombak, Ain Medicare Kota Bharu and SUKE CA3 Expressway;</w:t>
      </w:r>
    </w:p>
    <w:p>
      <w:pPr>
        <w:keepNext w:val="0"/>
        <w:numPr>
          <w:numId w:val="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above said was recommended by the Claimant via non-up-to-date recoupments of materials supplied by both the Companies;</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Advance payment was recommended by the Claimant to the Sub-contractors without obtaining the approval of the CEO;</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Payment certificates were presented by the Claimant without Quantities or Unit Rates. Only lump sum figures and summary with percentage works done were presented;</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Variation Order rates given by the sub-contractor for EPE Engineering Sdn Bhd for “Open Cut Method” works are very much higher than the rates received by the Company from the client. Payment certificates presented as Variation Order works without any rates approved by the CEO;</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drafted the reply letters on behalf of the Sub-Contractor, EPE Engineering Sdn Bhd, immediately after the Company issued warning letter to the Sub-Contractor;</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is extremely alarming when the Company discovered the Claimant’s working papers that the Claimant had inflated the sub-contracts and awarded to the sub-contractors. Letter of Award was drafted by the Claimant. The Company also listed four projects in a table as can be seen in the letter that is reproduced earlier; and</w:t>
      </w:r>
    </w:p>
    <w:p>
      <w:pPr>
        <w:keepNext w:val="0"/>
        <w:numPr>
          <w:numId w:val="4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emailed the working papers to the sub-contractor.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[60]</w:t>
      </w:r>
      <w:r>
        <w:rPr>
          <w:rFonts w:ascii="arial" w:eastAsia="arial" w:hAnsi="arial" w:cs="arial"/>
          <w:b w:val="0"/>
          <w:i w:val="0"/>
          <w:strike w:val="0"/>
          <w:noProof w:val="0"/>
          <w:color w:val="000000"/>
          <w:position w:val="0"/>
          <w:sz w:val="24"/>
          <w:u w:val="none"/>
          <w:vertAlign w:val="baseline"/>
        </w:rPr>
        <w:t xml:space="preserve">  Bearing in mind that there was no evidence in Court that the Claimant was presented with all these allegations nor were these allegations presented with any evidence to the Claimant. Based on the facts that have been more or less accepted by both parties and mentioned in the Case Synopsis above, the Company, through </w:t>
      </w:r>
      <w:r>
        <w:rPr>
          <w:rFonts w:ascii="arial" w:eastAsia="arial" w:hAnsi="arial" w:cs="arial"/>
          <w:b w:val="0"/>
          <w:i/>
          <w:strike w:val="0"/>
          <w:noProof w:val="0"/>
          <w:color w:val="000000"/>
          <w:position w:val="0"/>
          <w:sz w:val="24"/>
          <w:u w:val="none"/>
          <w:vertAlign w:val="baseline"/>
        </w:rPr>
        <w:t>COW</w:t>
      </w:r>
      <w:r>
        <w:rPr>
          <w:rFonts w:ascii="arial" w:eastAsia="arial" w:hAnsi="arial" w:cs="arial"/>
          <w:b w:val="0"/>
          <w:i w:val="0"/>
          <w:strike w:val="0"/>
          <w:noProof w:val="0"/>
          <w:color w:val="000000"/>
          <w:position w:val="0"/>
          <w:sz w:val="24"/>
          <w:u w:val="none"/>
          <w:vertAlign w:val="baseline"/>
        </w:rPr>
        <w:t xml:space="preserve"> had requested the Claimant to meet on 17 April 2018 on the grounds of a discussion after the Claimant’s assigned personal computer confiscated or more accurately missing because the Company did not state it had taken it. The Claimant came to the meeting which, the Company claims was an inquiry.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[61]</w:t>
      </w:r>
      <w:r>
        <w:rPr>
          <w:rFonts w:ascii="arial" w:eastAsia="arial" w:hAnsi="arial" w:cs="arial"/>
          <w:b w:val="0"/>
          <w:i w:val="0"/>
          <w:strike w:val="0"/>
          <w:noProof w:val="0"/>
          <w:color w:val="000000"/>
          <w:position w:val="0"/>
          <w:sz w:val="24"/>
          <w:u w:val="none"/>
          <w:vertAlign w:val="baseline"/>
        </w:rPr>
        <w:t xml:space="preserve">  As mentioned earlier, the Court does not accept the fact that the meeting was an inquiry, in fact this Court has been rather prescriptive on what constitute as a proper domestic inquiry. This Court has already mentioned it in its decided cases, namely the case of </w:t>
      </w:r>
      <w:r>
        <w:rPr>
          <w:rFonts w:ascii="arial" w:eastAsia="arial" w:hAnsi="arial" w:cs="arial"/>
          <w:b w:val="0"/>
          <w:i/>
          <w:strike w:val="0"/>
          <w:noProof w:val="0"/>
          <w:color w:val="000000"/>
          <w:position w:val="0"/>
          <w:sz w:val="24"/>
          <w:u w:val="none"/>
          <w:vertAlign w:val="baseline"/>
        </w:rPr>
        <w:t xml:space="preserve">Syed Fazal Syed Thajudeen v. Petroliam Nasional Berhad (Petronas)  </w:t>
      </w:r>
      <w:r>
        <w:rPr>
          <w:rFonts w:ascii="arial" w:eastAsia="arial" w:hAnsi="arial" w:cs="arial"/>
          <w:b w:val="0"/>
          <w:i w:val="0"/>
          <w:strike w:val="0"/>
          <w:noProof w:val="0"/>
          <w:color w:val="000000"/>
          <w:position w:val="0"/>
          <w:sz w:val="24"/>
          <w:u w:val="none"/>
          <w:vertAlign w:val="baseline"/>
        </w:rPr>
        <w:t xml:space="preserve">[2024] 1 MELR 622, and the case of </w:t>
      </w:r>
      <w:r>
        <w:rPr>
          <w:rFonts w:ascii="arial" w:eastAsia="arial" w:hAnsi="arial" w:cs="arial"/>
          <w:b w:val="0"/>
          <w:i/>
          <w:strike w:val="0"/>
          <w:noProof w:val="0"/>
          <w:color w:val="000000"/>
          <w:position w:val="0"/>
          <w:sz w:val="24"/>
          <w:u w:val="none"/>
          <w:vertAlign w:val="baseline"/>
        </w:rPr>
        <w:t xml:space="preserve">Mohamad Suffian Ismail v. Seacera Group Berhad  </w:t>
      </w:r>
      <w:r>
        <w:rPr>
          <w:rFonts w:ascii="arial" w:eastAsia="arial" w:hAnsi="arial" w:cs="arial"/>
          <w:b w:val="0"/>
          <w:i w:val="0"/>
          <w:strike w:val="0"/>
          <w:noProof w:val="0"/>
          <w:color w:val="000000"/>
          <w:position w:val="0"/>
          <w:sz w:val="24"/>
          <w:u w:val="none"/>
          <w:vertAlign w:val="baseline"/>
        </w:rPr>
        <w:t>[2023] MELRU 2317. Clearly, the meeting on 17 April 2018 is purely that, a meeting and definitely not an inquiry.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[62]</w:t>
      </w:r>
      <w:r>
        <w:rPr>
          <w:rFonts w:ascii="arial" w:eastAsia="arial" w:hAnsi="arial" w:cs="arial"/>
          <w:b w:val="0"/>
          <w:i w:val="0"/>
          <w:strike w:val="0"/>
          <w:noProof w:val="0"/>
          <w:color w:val="000000"/>
          <w:position w:val="0"/>
          <w:sz w:val="24"/>
          <w:u w:val="none"/>
          <w:vertAlign w:val="baseline"/>
        </w:rPr>
        <w:t>  The Company must now prove to the Court the Claimant’s actions were misconduct. On the face of the evidence there seems to be merit in the claim that the Claimant actually committed a misconduct. Since the Claimant’s replies to the issues were deemed to be non-satisfactory the Company proceeded with the next course of action. However, procedurally, the Company had not given the Claimant reasonable or fair opportunity to rebut the allegations. Especially in the field that is as technical as mechanical and electrical engineering and construction.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[63]</w:t>
      </w:r>
      <w:r>
        <w:rPr>
          <w:rFonts w:ascii="arial" w:eastAsia="arial" w:hAnsi="arial" w:cs="arial"/>
          <w:b w:val="0"/>
          <w:i w:val="0"/>
          <w:strike w:val="0"/>
          <w:noProof w:val="0"/>
          <w:color w:val="000000"/>
          <w:position w:val="0"/>
          <w:sz w:val="24"/>
          <w:u w:val="none"/>
          <w:vertAlign w:val="baseline"/>
        </w:rPr>
        <w:t>  The Court is faced with the dilemma of believing the Company who are run by individuals that may or may not be qualified and experience in the field, as compared to the Claimant who was hired by the same individuals in the Company, for his expertise in the field who was claiming that his actions were normal for the type of business that this case is determining. There also being absolutely no neutral witness in the case, where the witnesses are all interested parties, the Court has to weigh on the balance of probabilities which is nearer to the truth.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[64]</w:t>
      </w:r>
      <w:r>
        <w:rPr>
          <w:rFonts w:ascii="arial" w:eastAsia="arial" w:hAnsi="arial" w:cs="arial"/>
          <w:b w:val="0"/>
          <w:i w:val="0"/>
          <w:strike w:val="0"/>
          <w:noProof w:val="0"/>
          <w:color w:val="000000"/>
          <w:position w:val="0"/>
          <w:sz w:val="24"/>
          <w:u w:val="none"/>
          <w:vertAlign w:val="baseline"/>
        </w:rPr>
        <w:t xml:space="preserve">  The Court will look at all the issues individually, beginning with items (i), (ii), (iii), (iv) and (v) where the Court notes that a huge chunk of the blame must be absorbed by the Company. There are several reasons for this and among them include that all the projects and work was ultimately approved by the CEO and/or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Despite the fact the Claimant was also part of the management group, nonetheless, he does not have any approval power.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[65]</w:t>
      </w:r>
      <w:r>
        <w:rPr>
          <w:rFonts w:ascii="arial" w:eastAsia="arial" w:hAnsi="arial" w:cs="arial"/>
          <w:b w:val="0"/>
          <w:i w:val="0"/>
          <w:strike w:val="0"/>
          <w:noProof w:val="0"/>
          <w:color w:val="000000"/>
          <w:position w:val="0"/>
          <w:sz w:val="24"/>
          <w:u w:val="none"/>
          <w:vertAlign w:val="baseline"/>
        </w:rPr>
        <w:t xml:space="preserve">  Referring to items (i) to (iii) were all for recommending and the approval was still up to the CEO and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xml:space="preserve"> Whereas in items (iv) and (v), the misconduct was for presenting or submitting to the CEO and </w:t>
      </w:r>
      <w:r>
        <w:rPr>
          <w:rFonts w:ascii="arial" w:eastAsia="arial" w:hAnsi="arial" w:cs="arial"/>
          <w:b w:val="0"/>
          <w:i/>
          <w:strike w:val="0"/>
          <w:noProof w:val="0"/>
          <w:color w:val="000000"/>
          <w:position w:val="0"/>
          <w:sz w:val="24"/>
          <w:u w:val="none"/>
          <w:vertAlign w:val="baseline"/>
        </w:rPr>
        <w:t>COW-1.</w:t>
      </w:r>
      <w:r>
        <w:rPr>
          <w:rFonts w:ascii="arial" w:eastAsia="arial" w:hAnsi="arial" w:cs="arial"/>
          <w:b w:val="0"/>
          <w:i w:val="0"/>
          <w:strike w:val="0"/>
          <w:noProof w:val="0"/>
          <w:color w:val="000000"/>
          <w:position w:val="0"/>
          <w:sz w:val="24"/>
          <w:u w:val="none"/>
          <w:vertAlign w:val="baseline"/>
        </w:rPr>
        <w:t xml:space="preserve"> The acts all require the approval by the top two. Surely, there should be some element of curiosity to inquire what was being submitted and recommended. The Court cannot be a means for parties to seek redress for something that the said party’s own omission.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[66]</w:t>
      </w:r>
      <w:r>
        <w:rPr>
          <w:rFonts w:ascii="arial" w:eastAsia="arial" w:hAnsi="arial" w:cs="arial"/>
          <w:b w:val="0"/>
          <w:i w:val="0"/>
          <w:strike w:val="0"/>
          <w:noProof w:val="0"/>
          <w:color w:val="000000"/>
          <w:position w:val="0"/>
          <w:sz w:val="24"/>
          <w:u w:val="none"/>
          <w:vertAlign w:val="baseline"/>
        </w:rPr>
        <w:t>  The Company has to bear the consequences for allowing such a situation to arise within the Company. The corporate environment was surely caused due to the absence of any form of supervision as well as check and balance systems in place. This should be a standard operating procedure for most companies and to simply give the excuse that the Company is small cannot be defended since the projects the Company was undertaking were of high value.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[67]</w:t>
      </w:r>
      <w:r>
        <w:rPr>
          <w:rFonts w:ascii="arial" w:eastAsia="arial" w:hAnsi="arial" w:cs="arial"/>
          <w:b w:val="0"/>
          <w:i w:val="0"/>
          <w:strike w:val="0"/>
          <w:noProof w:val="0"/>
          <w:color w:val="000000"/>
          <w:position w:val="0"/>
          <w:sz w:val="24"/>
          <w:u w:val="none"/>
          <w:vertAlign w:val="baseline"/>
        </w:rPr>
        <w:t>  Whilst item (vi) and (viii) are acts which would be questionable especially for item (viii), with the Claimant holding a high-ranking post within the Company. Similarly, item (vii) does seem rather suspicious but the evidence is not clear. It is true that the Company has shown that the Claimant sent the email with the table showing the price, but the Company had no specific reply to the Claimant’s stand that this is part of normal negotiations within the business.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[68]</w:t>
      </w:r>
      <w:r>
        <w:rPr>
          <w:rFonts w:ascii="arial" w:eastAsia="arial" w:hAnsi="arial" w:cs="arial"/>
          <w:b w:val="0"/>
          <w:i w:val="0"/>
          <w:strike w:val="0"/>
          <w:noProof w:val="0"/>
          <w:color w:val="000000"/>
          <w:position w:val="0"/>
          <w:sz w:val="24"/>
          <w:u w:val="none"/>
          <w:vertAlign w:val="baseline"/>
        </w:rPr>
        <w:t>  The Court leans towards the Company on the possibility that the Claimant was doing the things that the Company had alleged. However, the Court cannot overlook the fact that the Company did not follow any acceptable norms in the entire process to discipline the Claimant. Therefore, though the Court is inclined to agree with the Company that there may have been misconduct by the Claimant, the Company must follow the accepted norms in taking action.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[69]</w:t>
      </w:r>
      <w:r>
        <w:rPr>
          <w:rFonts w:ascii="arial" w:eastAsia="arial" w:hAnsi="arial" w:cs="arial"/>
          <w:b w:val="0"/>
          <w:i w:val="0"/>
          <w:strike w:val="0"/>
          <w:noProof w:val="0"/>
          <w:color w:val="000000"/>
          <w:position w:val="0"/>
          <w:sz w:val="24"/>
          <w:u w:val="none"/>
          <w:vertAlign w:val="baseline"/>
        </w:rPr>
        <w:t>  The Court acknowledges that there are always exceptions to the rule but in this case the facts do not justify the invoking of those exceptions. Based on the above and on the balance of probabilities, it is difficult for the Court to conclusively determine that there was misconduct by the Claimant.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Misconduct with regards to Kuasakon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[70]</w:t>
      </w:r>
      <w:r>
        <w:rPr>
          <w:rFonts w:ascii="arial" w:eastAsia="arial" w:hAnsi="arial" w:cs="arial"/>
          <w:b w:val="0"/>
          <w:i w:val="0"/>
          <w:strike w:val="0"/>
          <w:noProof w:val="0"/>
          <w:color w:val="000000"/>
          <w:position w:val="0"/>
          <w:sz w:val="24"/>
          <w:u w:val="none"/>
          <w:vertAlign w:val="baseline"/>
        </w:rPr>
        <w:t>  The next issue that this Court has to determine is whether there was misconduct by the Claimant with regards to Kuasakon Sdn Bhd. This issue is slightly convoluted because based on all the evidence submitted but perceptively Kuasakon Sdn Bhd was the root cause of all the issues in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[71]</w:t>
      </w:r>
      <w:r>
        <w:rPr>
          <w:rFonts w:ascii="arial" w:eastAsia="arial" w:hAnsi="arial" w:cs="arial"/>
          <w:b w:val="0"/>
          <w:i w:val="0"/>
          <w:strike w:val="0"/>
          <w:noProof w:val="0"/>
          <w:color w:val="000000"/>
          <w:position w:val="0"/>
          <w:sz w:val="24"/>
          <w:u w:val="none"/>
          <w:vertAlign w:val="baseline"/>
        </w:rPr>
        <w:t>  In fact, the Court is of the view that if the matter of Kuasakon Sdn Bhd is proven in law, then the case of misconduct by the Claimant would justify the termination by the Company. However, there is no clarity as to when the Company became aware of Kuasakon Sdn Bhd’s complicity with the Claimant, thus adding to the ambiguity. The Court is in agreement with the Company’s position that based on the terms of employment the Claimant should not be employed at another company as stipulated in the Contract of Employment, specifically Clause 10.4. The clause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“10.4 You are to devote your full time for the interest of the Company and not allowed to be involved directly or indirectly in any other business or occupation.”</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[72]</w:t>
      </w:r>
      <w:r>
        <w:rPr>
          <w:rFonts w:ascii="arial" w:eastAsia="arial" w:hAnsi="arial" w:cs="arial"/>
          <w:b w:val="0"/>
          <w:i w:val="0"/>
          <w:strike w:val="0"/>
          <w:noProof w:val="0"/>
          <w:color w:val="000000"/>
          <w:position w:val="0"/>
          <w:sz w:val="24"/>
          <w:u w:val="none"/>
          <w:vertAlign w:val="baseline"/>
        </w:rPr>
        <w:t>  The Court does not intend to elaborate too much on this issue as the terms are clear in simple English and cannot be construed otherwise. The terms may seem to be harsh and restrictive, but it was accepted by the Claimant and the Claimant had ample opportunities to seek a variation to amend the said provision but did not do so. So clearly, the Claimant was bound to the Company, almost exclusively.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[73]</w:t>
      </w:r>
      <w:r>
        <w:rPr>
          <w:rFonts w:ascii="arial" w:eastAsia="arial" w:hAnsi="arial" w:cs="arial"/>
          <w:b w:val="0"/>
          <w:i w:val="0"/>
          <w:strike w:val="0"/>
          <w:noProof w:val="0"/>
          <w:color w:val="000000"/>
          <w:position w:val="0"/>
          <w:sz w:val="24"/>
          <w:u w:val="none"/>
          <w:vertAlign w:val="baseline"/>
        </w:rPr>
        <w:t>  However, the issue is not about the establishment or incorporation of Kuasakon Sdn Bhd but rather when the Company became aware of the Claimant’s involvement in the said company. Based on documentary evidence, the Court notes that the Company only became aware on 2 May 2018 after filing a police report. There is no evidence that the Company was aware earlier than that.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[74]</w:t>
      </w:r>
      <w:r>
        <w:rPr>
          <w:rFonts w:ascii="arial" w:eastAsia="arial" w:hAnsi="arial" w:cs="arial"/>
          <w:b w:val="0"/>
          <w:i w:val="0"/>
          <w:strike w:val="0"/>
          <w:noProof w:val="0"/>
          <w:color w:val="000000"/>
          <w:position w:val="0"/>
          <w:sz w:val="24"/>
          <w:u w:val="none"/>
          <w:vertAlign w:val="baseline"/>
        </w:rPr>
        <w:t>  This is further supported by the fact that the Company’s witness could not give a straight or direct answer during cross examination or during re-examination on this issue.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COC</w:t>
      </w:r>
      <w:r>
        <w:rPr>
          <w:rFonts w:ascii="arial" w:eastAsia="arial" w:hAnsi="arial" w:cs="arial"/>
          <w:b w:val="0"/>
          <w:i w:val="0"/>
          <w:strike w:val="0"/>
          <w:noProof w:val="0"/>
          <w:color w:val="000000"/>
          <w:position w:val="0"/>
          <w:sz w:val="18"/>
          <w:u w:val="none"/>
          <w:vertAlign w:val="baseline"/>
        </w:rPr>
        <w:t xml:space="preserve"> : Can be earlier. That’s why I ask you question. You’re here, question of, evidence of fact, witness of fact. So I want to know, could you tell this court to your understanding and based on the document’s, when did this allege breaches of his employment contract committed? When it begin?</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COW 1:</w:t>
      </w:r>
      <w:r>
        <w:rPr>
          <w:rFonts w:ascii="arial" w:eastAsia="arial" w:hAnsi="arial" w:cs="arial"/>
          <w:b w:val="0"/>
          <w:i w:val="0"/>
          <w:strike w:val="0"/>
          <w:noProof w:val="0"/>
          <w:color w:val="000000"/>
          <w:position w:val="0"/>
          <w:sz w:val="18"/>
          <w:u w:val="none"/>
          <w:vertAlign w:val="baseline"/>
        </w:rPr>
        <w:t xml:space="preserve"> He established Kuasacon on 29th of May 2017 to deliberately orchestrate this conspiracy. So I suppose his intention were made before 29th of May 2017 before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COC</w:t>
      </w:r>
      <w:r>
        <w:rPr>
          <w:rFonts w:ascii="arial" w:eastAsia="arial" w:hAnsi="arial" w:cs="arial"/>
          <w:b w:val="0"/>
          <w:i w:val="0"/>
          <w:strike w:val="0"/>
          <w:noProof w:val="0"/>
          <w:color w:val="000000"/>
          <w:position w:val="0"/>
          <w:sz w:val="18"/>
          <w:u w:val="none"/>
          <w:vertAlign w:val="baseline"/>
        </w:rPr>
        <w:t xml:space="preserve"> : Can you show the document which relate to 29th May 2017?</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COW 1</w:t>
      </w:r>
      <w:r>
        <w:rPr>
          <w:rFonts w:ascii="arial" w:eastAsia="arial" w:hAnsi="arial" w:cs="arial"/>
          <w:b w:val="0"/>
          <w:i w:val="0"/>
          <w:strike w:val="0"/>
          <w:noProof w:val="0"/>
          <w:color w:val="000000"/>
          <w:position w:val="0"/>
          <w:sz w:val="18"/>
          <w:u w:val="none"/>
          <w:vertAlign w:val="baseline"/>
        </w:rPr>
        <w:t>: Yang Arif, if you could refer to COB 1 page 4</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COC</w:t>
      </w:r>
      <w:r>
        <w:rPr>
          <w:rFonts w:ascii="arial" w:eastAsia="arial" w:hAnsi="arial" w:cs="arial"/>
          <w:b w:val="0"/>
          <w:i w:val="0"/>
          <w:strike w:val="0"/>
          <w:noProof w:val="0"/>
          <w:color w:val="000000"/>
          <w:position w:val="0"/>
          <w:sz w:val="18"/>
          <w:u w:val="none"/>
          <w:vertAlign w:val="baseline"/>
        </w:rPr>
        <w:t xml:space="preserve"> : COB 1 Page 4. ROC search Kuasacon.</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COW 1</w:t>
      </w:r>
      <w:r>
        <w:rPr>
          <w:rFonts w:ascii="arial" w:eastAsia="arial" w:hAnsi="arial" w:cs="arial"/>
          <w:b w:val="0"/>
          <w:i w:val="0"/>
          <w:strike w:val="0"/>
          <w:noProof w:val="0"/>
          <w:color w:val="000000"/>
          <w:position w:val="0"/>
          <w:sz w:val="18"/>
          <w:u w:val="none"/>
          <w:vertAlign w:val="baseline"/>
        </w:rPr>
        <w:t>: Yes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COC</w:t>
      </w:r>
      <w:r>
        <w:rPr>
          <w:rFonts w:ascii="arial" w:eastAsia="arial" w:hAnsi="arial" w:cs="arial"/>
          <w:b w:val="0"/>
          <w:i w:val="0"/>
          <w:strike w:val="0"/>
          <w:noProof w:val="0"/>
          <w:color w:val="000000"/>
          <w:position w:val="0"/>
          <w:sz w:val="18"/>
          <w:u w:val="none"/>
          <w:vertAlign w:val="baseline"/>
        </w:rPr>
        <w:t xml:space="preserve"> : Very good. So you are saying that ROC search on Kuasacon support your allegation in item 1 to 8. Is that your evidence?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COW 1</w:t>
      </w:r>
      <w:r>
        <w:rPr>
          <w:rFonts w:ascii="arial" w:eastAsia="arial" w:hAnsi="arial" w:cs="arial"/>
          <w:b w:val="0"/>
          <w:i w:val="0"/>
          <w:strike w:val="0"/>
          <w:noProof w:val="0"/>
          <w:color w:val="000000"/>
          <w:position w:val="0"/>
          <w:sz w:val="18"/>
          <w:u w:val="none"/>
          <w:vertAlign w:val="baseline"/>
        </w:rPr>
        <w:t>: Yes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COR</w:t>
      </w:r>
      <w:r>
        <w:rPr>
          <w:rFonts w:ascii="arial" w:eastAsia="arial" w:hAnsi="arial" w:cs="arial"/>
          <w:b w:val="0"/>
          <w:i w:val="0"/>
          <w:strike w:val="0"/>
          <w:noProof w:val="0"/>
          <w:color w:val="000000"/>
          <w:position w:val="0"/>
          <w:sz w:val="18"/>
          <w:u w:val="none"/>
          <w:vertAlign w:val="baseline"/>
        </w:rPr>
        <w:t xml:space="preserve"> : So you were asked about the period of time you know, the allegation that you have made and before the discovery, you had said 29th of May 2017 and base on this COB the search, was put it to you that the mere search does not prove conspiracy and you disagree. Can you tell the court what you disagree?</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COW 1</w:t>
      </w:r>
      <w:r>
        <w:rPr>
          <w:rFonts w:ascii="arial" w:eastAsia="arial" w:hAnsi="arial" w:cs="arial"/>
          <w:b w:val="0"/>
          <w:i w:val="0"/>
          <w:strike w:val="0"/>
          <w:noProof w:val="0"/>
          <w:color w:val="000000"/>
          <w:position w:val="0"/>
          <w:sz w:val="18"/>
          <w:u w:val="none"/>
          <w:vertAlign w:val="baseline"/>
        </w:rPr>
        <w:t>: Yang Arif I disagree because the relevancy of it and the fact of that it was not disclosed. W employed Mr. Liew in June 2016. During the employment period. He established a company where he is a major shareholder and a director in 29th May 2017. Thereafter he knows the true cost for Rica Sentul from the sub-contractor on 30th August 2017 and you he knew the true cost but he did not disclose to the company on it and recommended for award as he is major role in the decision-making process, recommended for award on 5th September 2017 from the company to Haryy Best and Harry best further awarded the contract on 19th September 2017. Weeks after that back to Kuasacon. So that is the conspiracy because he did not disclose. If he did disclose, he will say, Mr. CEO look I am, I have already set up my own company okay and I am interested to do the project as a final sub-contractor under Harry Best. If there is any conflict of interest I can resign. If not I will seek your consent and if you consent for me to do it, then I will go ahead. If not I will resign to avoid conflict of interest. But he did not.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[75]</w:t>
      </w:r>
      <w:r>
        <w:rPr>
          <w:rFonts w:ascii="arial" w:eastAsia="arial" w:hAnsi="arial" w:cs="arial"/>
          <w:b w:val="0"/>
          <w:i w:val="0"/>
          <w:strike w:val="0"/>
          <w:noProof w:val="0"/>
          <w:color w:val="000000"/>
          <w:position w:val="0"/>
          <w:sz w:val="24"/>
          <w:u w:val="none"/>
          <w:vertAlign w:val="baseline"/>
        </w:rPr>
        <w:t>  The above is clearly a reply that does not actually answer the question. In fact, the answer pivots to another issue, especially in the re-examination. COW-1 has given an answer that tries to deflect the actual question, when did the Company become aware of the Claimant’s involvement in Kuasakon Sdn. Bhd. However, the Company’s position throughout both trials was consistent which was that the incorporation was proof of the Claimant’s misconduct, which is contradictory with the terms of employment contract.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[76]</w:t>
      </w:r>
      <w:r>
        <w:rPr>
          <w:rFonts w:ascii="arial" w:eastAsia="arial" w:hAnsi="arial" w:cs="arial"/>
          <w:b w:val="0"/>
          <w:i w:val="0"/>
          <w:strike w:val="0"/>
          <w:noProof w:val="0"/>
          <w:color w:val="000000"/>
          <w:position w:val="0"/>
          <w:sz w:val="24"/>
          <w:u w:val="none"/>
          <w:vertAlign w:val="baseline"/>
        </w:rPr>
        <w:t>  The Court does not dispute the fact that the Claimant’s involvement in another company without any authorisation or consent from his employers, in this case the Company, is misconduct actionable under the contract of employment. Then the Company should have made that the charge, simple and concise, that the Claimant had established a company of his own without the Company’s approval. It would have been easier to prove and an obvious misconduct. However, the said action is not retrospective but rather becomes actionable only upon knowledge or discovery of the fact.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[77]</w:t>
      </w:r>
      <w:r>
        <w:rPr>
          <w:rFonts w:ascii="arial" w:eastAsia="arial" w:hAnsi="arial" w:cs="arial"/>
          <w:b w:val="0"/>
          <w:i w:val="0"/>
          <w:strike w:val="0"/>
          <w:noProof w:val="0"/>
          <w:color w:val="000000"/>
          <w:position w:val="0"/>
          <w:sz w:val="24"/>
          <w:u w:val="none"/>
          <w:vertAlign w:val="baseline"/>
        </w:rPr>
        <w:t>  Furthermore, as mentioned earlier and persistently highlighted by the Claimant’s Counsel, the letter of termination never mentioned Kuasakon Sdn Bhd. This could only mean that at the time of termination, the Company was unaware, or at the very least only had suspicions of the Claimant’s involvement in Kuasakon Sdn Bhd. The Court believes that had the Company been aware of that fact, surely that would have been the main reason or grounds for termination. This would have been a much stronger ground for termination than the one proposed by the Company in the letter of termination.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[78]</w:t>
      </w:r>
      <w:r>
        <w:rPr>
          <w:rFonts w:ascii="arial" w:eastAsia="arial" w:hAnsi="arial" w:cs="arial"/>
          <w:b w:val="0"/>
          <w:i w:val="0"/>
          <w:strike w:val="0"/>
          <w:noProof w:val="0"/>
          <w:color w:val="000000"/>
          <w:position w:val="0"/>
          <w:sz w:val="24"/>
          <w:u w:val="none"/>
          <w:vertAlign w:val="baseline"/>
        </w:rPr>
        <w:t>  The fact that the Company had confiscated the personal computer on 16 April 2018 and terminated the Claimant on 23 April 2018 gave the Company ample time to make their case. The Company was under no pressure to terminate, or at the very least according to the evidence that suggested, the Claimant on that date and could have delayed it slightly to accommodate the search of the contents of the personal computer or desktop. The Company could have taken more time to peruse all the documents and after that decide the next cause of action.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[79]</w:t>
      </w:r>
      <w:r>
        <w:rPr>
          <w:rFonts w:ascii="arial" w:eastAsia="arial" w:hAnsi="arial" w:cs="arial"/>
          <w:b w:val="0"/>
          <w:i w:val="0"/>
          <w:strike w:val="0"/>
          <w:noProof w:val="0"/>
          <w:color w:val="000000"/>
          <w:position w:val="0"/>
          <w:sz w:val="24"/>
          <w:u w:val="none"/>
          <w:vertAlign w:val="baseline"/>
        </w:rPr>
        <w:t xml:space="preserve">  Instead, the Company on its own accord, decided to summarily terminate the Claimant without completing the discovery stage of the case. Added to all these factors is the ratio in the </w:t>
      </w:r>
      <w:r>
        <w:rPr>
          <w:rFonts w:ascii="arial" w:eastAsia="arial" w:hAnsi="arial" w:cs="arial"/>
          <w:b/>
          <w:i/>
          <w:strike w:val="0"/>
          <w:noProof w:val="0"/>
          <w:color w:val="000000"/>
          <w:position w:val="0"/>
          <w:sz w:val="24"/>
          <w:u w:val="none"/>
          <w:vertAlign w:val="baseline"/>
        </w:rPr>
        <w:t>Maritime Intelligence</w:t>
      </w:r>
      <w:r>
        <w:rPr>
          <w:rFonts w:ascii="arial" w:eastAsia="arial" w:hAnsi="arial" w:cs="arial"/>
          <w:b w:val="0"/>
          <w:i w:val="0"/>
          <w:strike w:val="0"/>
          <w:noProof w:val="0"/>
          <w:color w:val="000000"/>
          <w:position w:val="0"/>
          <w:sz w:val="24"/>
          <w:u w:val="none"/>
          <w:vertAlign w:val="baseline"/>
        </w:rPr>
        <w:t xml:space="preserve"> case mentioned above. The judgment is clear that the Court should only take cognisance of misdemeanours at the point of issuance of the letter of termination. There can be no after-acquired cause or in other words no after thoughts.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[80]</w:t>
      </w:r>
      <w:r>
        <w:rPr>
          <w:rFonts w:ascii="arial" w:eastAsia="arial" w:hAnsi="arial" w:cs="arial"/>
          <w:b w:val="0"/>
          <w:i w:val="0"/>
          <w:strike w:val="0"/>
          <w:noProof w:val="0"/>
          <w:color w:val="000000"/>
          <w:position w:val="0"/>
          <w:sz w:val="24"/>
          <w:u w:val="none"/>
          <w:vertAlign w:val="baseline"/>
        </w:rPr>
        <w:t xml:space="preserve">  Since the second issue has been answered in the negative, it does not necessarily mean that the Company’s termination of the Claimant was without just cause and excuse. The Company had raised the principles of equity in its submission in the initial case. Since this is a court of equity, one cannot go astray from the principles. This Court has highlighted equitable principles before, and one of those cases was the case of </w:t>
      </w:r>
      <w:r>
        <w:rPr>
          <w:rFonts w:ascii="arial" w:eastAsia="arial" w:hAnsi="arial" w:cs="arial"/>
          <w:b/>
          <w:i/>
          <w:strike w:val="0"/>
          <w:noProof w:val="0"/>
          <w:color w:val="000000"/>
          <w:position w:val="0"/>
          <w:sz w:val="24"/>
          <w:u w:val="none"/>
          <w:vertAlign w:val="baseline"/>
        </w:rPr>
        <w:t>Syed Fazal</w:t>
      </w:r>
      <w:r>
        <w:rPr>
          <w:rFonts w:ascii="arial" w:eastAsia="arial" w:hAnsi="arial" w:cs="arial"/>
          <w:b w:val="0"/>
          <w:i w:val="0"/>
          <w:strike w:val="0"/>
          <w:noProof w:val="0"/>
          <w:color w:val="000000"/>
          <w:position w:val="0"/>
          <w:sz w:val="24"/>
          <w:u w:val="none"/>
          <w:vertAlign w:val="baseline"/>
        </w:rPr>
        <w:t xml:space="preserve"> mentioned above.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Principles of Equity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[81]</w:t>
      </w:r>
      <w:r>
        <w:rPr>
          <w:rFonts w:ascii="arial" w:eastAsia="arial" w:hAnsi="arial" w:cs="arial"/>
          <w:b w:val="0"/>
          <w:i w:val="0"/>
          <w:strike w:val="0"/>
          <w:noProof w:val="0"/>
          <w:color w:val="000000"/>
          <w:position w:val="0"/>
          <w:sz w:val="24"/>
          <w:u w:val="none"/>
          <w:vertAlign w:val="baseline"/>
        </w:rPr>
        <w:t xml:space="preserve">  This Court has illustrated the principle of clean hands of equity in the </w:t>
      </w:r>
      <w:r>
        <w:rPr>
          <w:rFonts w:ascii="arial" w:eastAsia="arial" w:hAnsi="arial" w:cs="arial"/>
          <w:b/>
          <w:i/>
          <w:strike w:val="0"/>
          <w:noProof w:val="0"/>
          <w:color w:val="000000"/>
          <w:position w:val="0"/>
          <w:sz w:val="24"/>
          <w:u w:val="none"/>
          <w:vertAlign w:val="baseline"/>
        </w:rPr>
        <w:t>Syed Fazal</w:t>
      </w:r>
      <w:r>
        <w:rPr>
          <w:rFonts w:ascii="arial" w:eastAsia="arial" w:hAnsi="arial" w:cs="arial"/>
          <w:b w:val="0"/>
          <w:i w:val="0"/>
          <w:strike w:val="0"/>
          <w:noProof w:val="0"/>
          <w:color w:val="000000"/>
          <w:position w:val="0"/>
          <w:sz w:val="24"/>
          <w:u w:val="none"/>
          <w:vertAlign w:val="baseline"/>
        </w:rPr>
        <w:t xml:space="preserve"> case. The relevant portion is reproduced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“The Clean Hands of Equity</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[24]</w:t>
      </w:r>
      <w:r>
        <w:rPr>
          <w:rFonts w:ascii="arial" w:eastAsia="arial" w:hAnsi="arial" w:cs="arial"/>
          <w:b w:val="0"/>
          <w:i w:val="0"/>
          <w:strike w:val="0"/>
          <w:noProof w:val="0"/>
          <w:color w:val="000000"/>
          <w:position w:val="0"/>
          <w:sz w:val="18"/>
          <w:u w:val="none"/>
          <w:vertAlign w:val="baseline"/>
        </w:rPr>
        <w:t xml:space="preserve"> The Industrial Court is an arbitration court applying principles of equity, amongst others and one of the most important legal maxims is that he who comes to equity must come with clean hands. Both parties are seeking equitable remedies whenever there is a proceeding in the Industrial Court. The Court refers to the Federal Court case of </w:t>
      </w:r>
      <w:r>
        <w:rPr>
          <w:rFonts w:ascii="arial" w:eastAsia="arial" w:hAnsi="arial" w:cs="arial"/>
          <w:b w:val="0"/>
          <w:i/>
          <w:strike w:val="0"/>
          <w:noProof w:val="0"/>
          <w:color w:val="000000"/>
          <w:position w:val="0"/>
          <w:sz w:val="18"/>
          <w:u w:val="none"/>
          <w:vertAlign w:val="baseline"/>
        </w:rPr>
        <w:t xml:space="preserve">Boo Are Ngor v. Chua Mee Liang  </w:t>
      </w:r>
      <w:r>
        <w:rPr>
          <w:rFonts w:ascii="arial" w:eastAsia="arial" w:hAnsi="arial" w:cs="arial"/>
          <w:b w:val="0"/>
          <w:i w:val="0"/>
          <w:strike w:val="0"/>
          <w:noProof w:val="0"/>
          <w:color w:val="000000"/>
          <w:position w:val="0"/>
          <w:sz w:val="18"/>
          <w:u w:val="none"/>
          <w:vertAlign w:val="baseline"/>
        </w:rPr>
        <w:t>[2009] 6 CLJ 617. Although the Federal Court was referring to the doctrine of estoppel, it nevertheless touched on the maxim of clean hands in equity. The Federal Court stated as follows:</w:t>
      </w:r>
    </w:p>
    <w:p>
      <w:pPr>
        <w:keepNext w:val="0"/>
        <w:spacing w:before="0" w:after="0" w:line="240" w:lineRule="atLeast"/>
        <w:ind w:left="800" w:right="0" w:firstLine="0"/>
        <w:jc w:val="both"/>
      </w:pPr>
      <w:r>
        <w:br/>
      </w:r>
      <w:r>
        <w:rPr>
          <w:rFonts w:ascii="arial" w:eastAsia="arial" w:hAnsi="arial" w:cs="arial"/>
          <w:b/>
          <w:i w:val="0"/>
          <w:strike w:val="0"/>
          <w:noProof w:val="0"/>
          <w:color w:val="000000"/>
          <w:position w:val="0"/>
          <w:sz w:val="18"/>
          <w:u w:val="none"/>
          <w:vertAlign w:val="baseline"/>
        </w:rPr>
        <w:t>“[5]</w:t>
      </w:r>
      <w:r>
        <w:rPr>
          <w:rFonts w:ascii="arial" w:eastAsia="arial" w:hAnsi="arial" w:cs="arial"/>
          <w:b w:val="0"/>
          <w:i w:val="0"/>
          <w:strike w:val="0"/>
          <w:noProof w:val="0"/>
          <w:color w:val="000000"/>
          <w:position w:val="0"/>
          <w:sz w:val="18"/>
          <w:u w:val="none"/>
          <w:vertAlign w:val="baseline"/>
        </w:rPr>
        <w:t xml:space="preserve"> We would like to state here that </w:t>
      </w:r>
      <w:r>
        <w:rPr>
          <w:rFonts w:ascii="arial" w:eastAsia="arial" w:hAnsi="arial" w:cs="arial"/>
          <w:b/>
          <w:i w:val="0"/>
          <w:strike w:val="0"/>
          <w:noProof w:val="0"/>
          <w:color w:val="000000"/>
          <w:position w:val="0"/>
          <w:sz w:val="18"/>
          <w:u w:val="none"/>
          <w:vertAlign w:val="baseline"/>
        </w:rPr>
        <w:t>estoppel is an equitable doctrine</w:t>
      </w:r>
      <w:r>
        <w:rPr>
          <w:rFonts w:ascii="arial" w:eastAsia="arial" w:hAnsi="arial" w:cs="arial"/>
          <w:b w:val="0"/>
          <w:i w:val="0"/>
          <w:strike w:val="0"/>
          <w:noProof w:val="0"/>
          <w:color w:val="000000"/>
          <w:position w:val="0"/>
          <w:sz w:val="18"/>
          <w:u w:val="none"/>
          <w:vertAlign w:val="baseline"/>
        </w:rPr>
        <w:t xml:space="preserve">. Whatever description, whether estoppel by election, estoppel </w:t>
      </w:r>
      <w:r>
        <w:rPr>
          <w:rFonts w:ascii="arial" w:eastAsia="arial" w:hAnsi="arial" w:cs="arial"/>
          <w:b w:val="0"/>
          <w:i/>
          <w:strike w:val="0"/>
          <w:noProof w:val="0"/>
          <w:color w:val="000000"/>
          <w:position w:val="0"/>
          <w:sz w:val="18"/>
          <w:u w:val="none"/>
          <w:vertAlign w:val="baseline"/>
        </w:rPr>
        <w:t>in pais</w:t>
      </w:r>
      <w:r>
        <w:rPr>
          <w:rFonts w:ascii="arial" w:eastAsia="arial" w:hAnsi="arial" w:cs="arial"/>
          <w:b w:val="0"/>
          <w:i w:val="0"/>
          <w:strike w:val="0"/>
          <w:noProof w:val="0"/>
          <w:color w:val="000000"/>
          <w:position w:val="0"/>
          <w:sz w:val="18"/>
          <w:u w:val="none"/>
          <w:vertAlign w:val="baseline"/>
        </w:rPr>
        <w:t xml:space="preserve">, or promissory estoppels or quasi estoppels, it </w:t>
      </w:r>
      <w:r>
        <w:rPr>
          <w:rFonts w:ascii="arial" w:eastAsia="arial" w:hAnsi="arial" w:cs="arial"/>
          <w:b/>
          <w:i w:val="0"/>
          <w:strike w:val="0"/>
          <w:noProof w:val="0"/>
          <w:color w:val="000000"/>
          <w:position w:val="0"/>
          <w:sz w:val="18"/>
          <w:u w:val="none"/>
          <w:vertAlign w:val="baseline"/>
        </w:rPr>
        <w:t>could only be invoked by a party who comes to court with clean hands</w:t>
      </w:r>
      <w:r>
        <w:rPr>
          <w:rFonts w:ascii="arial" w:eastAsia="arial" w:hAnsi="arial" w:cs="arial"/>
          <w:b w:val="0"/>
          <w:i w:val="0"/>
          <w:strike w:val="0"/>
          <w:noProof w:val="0"/>
          <w:color w:val="000000"/>
          <w:position w:val="0"/>
          <w:sz w:val="18"/>
          <w:u w:val="none"/>
          <w:vertAlign w:val="baseline"/>
        </w:rPr>
        <w:t>. The plaintiff when relying on the equity of estoppel by election, must show that she has an equity to enforce against the defendant.”</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240" w:lineRule="atLeast"/>
        <w:ind w:left="400" w:right="0" w:firstLine="0"/>
        <w:jc w:val="both"/>
      </w:pPr>
      <w:r>
        <w:rPr>
          <w:rFonts w:ascii="arial" w:eastAsia="arial" w:hAnsi="arial" w:cs="arial"/>
          <w:b/>
          <w:i w:val="0"/>
          <w:strike w:val="0"/>
          <w:noProof w:val="0"/>
          <w:color w:val="000000"/>
          <w:position w:val="0"/>
          <w:sz w:val="18"/>
          <w:u w:val="none"/>
          <w:vertAlign w:val="baseline"/>
        </w:rPr>
        <w:t>[25]</w:t>
      </w:r>
      <w:r>
        <w:rPr>
          <w:rFonts w:ascii="arial" w:eastAsia="arial" w:hAnsi="arial" w:cs="arial"/>
          <w:b w:val="0"/>
          <w:i w:val="0"/>
          <w:strike w:val="0"/>
          <w:noProof w:val="0"/>
          <w:color w:val="000000"/>
          <w:position w:val="0"/>
          <w:sz w:val="18"/>
          <w:u w:val="none"/>
          <w:vertAlign w:val="baseline"/>
        </w:rPr>
        <w:t xml:space="preserve"> There is also the case of </w:t>
      </w:r>
      <w:r>
        <w:rPr>
          <w:rFonts w:ascii="arial" w:eastAsia="arial" w:hAnsi="arial" w:cs="arial"/>
          <w:b w:val="0"/>
          <w:i/>
          <w:strike w:val="0"/>
          <w:noProof w:val="0"/>
          <w:color w:val="000000"/>
          <w:position w:val="0"/>
          <w:sz w:val="18"/>
          <w:u w:val="none"/>
          <w:vertAlign w:val="baseline"/>
        </w:rPr>
        <w:t xml:space="preserve">MRK Nayar v. Ponnusamy &amp; Ors  </w:t>
      </w:r>
      <w:r>
        <w:rPr>
          <w:rFonts w:ascii="arial" w:eastAsia="arial" w:hAnsi="arial" w:cs="arial"/>
          <w:b w:val="0"/>
          <w:i w:val="0"/>
          <w:strike w:val="0"/>
          <w:noProof w:val="0"/>
          <w:color w:val="000000"/>
          <w:position w:val="0"/>
          <w:sz w:val="18"/>
          <w:u w:val="none"/>
          <w:vertAlign w:val="baseline"/>
        </w:rPr>
        <w:t>[1982] 1 LNS 7 where the Federal Court had stated the use of an equitable remedy may be estopped due to the actions of the party claiming the equitable remedy. The Federal Court stated as follows:</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 xml:space="preserve">“It is true that injunction can be applied in addition to caveat. See </w:t>
      </w:r>
      <w:r>
        <w:rPr>
          <w:rFonts w:ascii="arial" w:eastAsia="arial" w:hAnsi="arial" w:cs="arial"/>
          <w:b w:val="0"/>
          <w:i/>
          <w:strike w:val="0"/>
          <w:noProof w:val="0"/>
          <w:color w:val="000000"/>
          <w:position w:val="0"/>
          <w:sz w:val="18"/>
          <w:u w:val="none"/>
          <w:vertAlign w:val="baseline"/>
        </w:rPr>
        <w:t xml:space="preserve">Stables &amp; Co Ltd v Corby  </w:t>
      </w:r>
      <w:r>
        <w:rPr>
          <w:rFonts w:ascii="arial" w:eastAsia="arial" w:hAnsi="arial" w:cs="arial"/>
          <w:b w:val="0"/>
          <w:i w:val="0"/>
          <w:strike w:val="0"/>
          <w:noProof w:val="0"/>
          <w:color w:val="000000"/>
          <w:position w:val="0"/>
          <w:sz w:val="18"/>
          <w:u w:val="none"/>
          <w:vertAlign w:val="baseline"/>
        </w:rPr>
        <w:t xml:space="preserve">(1900) 19 NCLR 517, 519; </w:t>
      </w:r>
      <w:r>
        <w:rPr>
          <w:rFonts w:ascii="arial" w:eastAsia="arial" w:hAnsi="arial" w:cs="arial"/>
          <w:b w:val="0"/>
          <w:i/>
          <w:strike w:val="0"/>
          <w:noProof w:val="0"/>
          <w:color w:val="000000"/>
          <w:position w:val="0"/>
          <w:sz w:val="18"/>
          <w:u w:val="none"/>
          <w:vertAlign w:val="baseline"/>
        </w:rPr>
        <w:t xml:space="preserve">Public Trustee v Murray  </w:t>
      </w:r>
      <w:r>
        <w:rPr>
          <w:rFonts w:ascii="arial" w:eastAsia="arial" w:hAnsi="arial" w:cs="arial"/>
          <w:b w:val="0"/>
          <w:i w:val="0"/>
          <w:strike w:val="0"/>
          <w:noProof w:val="0"/>
          <w:color w:val="000000"/>
          <w:position w:val="0"/>
          <w:sz w:val="18"/>
          <w:u w:val="none"/>
          <w:vertAlign w:val="baseline"/>
        </w:rPr>
        <w:t xml:space="preserve">(1922) 22 SRNSW 555; and </w:t>
      </w:r>
      <w:r>
        <w:rPr>
          <w:rFonts w:ascii="arial" w:eastAsia="arial" w:hAnsi="arial" w:cs="arial"/>
          <w:b w:val="0"/>
          <w:i/>
          <w:strike w:val="0"/>
          <w:noProof w:val="0"/>
          <w:color w:val="000000"/>
          <w:position w:val="0"/>
          <w:sz w:val="18"/>
          <w:u w:val="none"/>
          <w:vertAlign w:val="baseline"/>
        </w:rPr>
        <w:t xml:space="preserve">Walsh v Alexander  </w:t>
      </w:r>
      <w:r>
        <w:rPr>
          <w:rFonts w:ascii="arial" w:eastAsia="arial" w:hAnsi="arial" w:cs="arial"/>
          <w:b w:val="0"/>
          <w:i w:val="0"/>
          <w:strike w:val="0"/>
          <w:noProof w:val="0"/>
          <w:color w:val="000000"/>
          <w:position w:val="0"/>
          <w:sz w:val="18"/>
          <w:u w:val="none"/>
          <w:vertAlign w:val="baseline"/>
        </w:rPr>
        <w:t>(1913) 16 CLR 293, 306. But, as the learned Judge said in concluding his judgment that:</w:t>
      </w:r>
    </w:p>
    <w:p>
      <w:pPr>
        <w:keepNext w:val="0"/>
        <w:spacing w:before="0" w:after="0" w:line="240" w:lineRule="atLeast"/>
        <w:ind w:left="1200" w:right="0" w:firstLine="0"/>
        <w:jc w:val="both"/>
      </w:pPr>
      <w:r>
        <w:br/>
      </w:r>
      <w:r>
        <w:rPr>
          <w:rFonts w:ascii="arial" w:eastAsia="arial" w:hAnsi="arial" w:cs="arial"/>
          <w:b w:val="0"/>
          <w:i w:val="0"/>
          <w:strike w:val="0"/>
          <w:noProof w:val="0"/>
          <w:color w:val="000000"/>
          <w:position w:val="0"/>
          <w:sz w:val="18"/>
          <w:u w:val="none"/>
          <w:vertAlign w:val="baseline"/>
        </w:rPr>
        <w:t xml:space="preserve">“It has been held that the granting of an injunction is a discretion of the court. It is essential that the party seeking such a relief makes available to the court all facts material to the court before exercising its discretion. In my view, </w:t>
      </w:r>
      <w:r>
        <w:rPr>
          <w:rFonts w:ascii="arial" w:eastAsia="arial" w:hAnsi="arial" w:cs="arial"/>
          <w:b/>
          <w:i w:val="0"/>
          <w:strike w:val="0"/>
          <w:noProof w:val="0"/>
          <w:color w:val="000000"/>
          <w:position w:val="0"/>
          <w:sz w:val="18"/>
          <w:u w:val="none"/>
          <w:vertAlign w:val="baseline"/>
        </w:rPr>
        <w:t>the plaintiff in suppressing facts</w:t>
      </w:r>
      <w:r>
        <w:rPr>
          <w:rFonts w:ascii="arial" w:eastAsia="arial" w:hAnsi="arial" w:cs="arial"/>
          <w:b w:val="0"/>
          <w:i w:val="0"/>
          <w:strike w:val="0"/>
          <w:noProof w:val="0"/>
          <w:color w:val="000000"/>
          <w:position w:val="0"/>
          <w:sz w:val="18"/>
          <w:u w:val="none"/>
          <w:vertAlign w:val="baseline"/>
        </w:rPr>
        <w:t xml:space="preserve"> at 1, 2 and 3 above </w:t>
      </w:r>
      <w:r>
        <w:rPr>
          <w:rFonts w:ascii="arial" w:eastAsia="arial" w:hAnsi="arial" w:cs="arial"/>
          <w:b/>
          <w:i w:val="0"/>
          <w:strike w:val="0"/>
          <w:noProof w:val="0"/>
          <w:color w:val="000000"/>
          <w:position w:val="0"/>
          <w:sz w:val="18"/>
          <w:u w:val="none"/>
          <w:vertAlign w:val="baseline"/>
        </w:rPr>
        <w:t>had not come to court with clean hands</w:t>
      </w:r>
      <w:r>
        <w:rPr>
          <w:rFonts w:ascii="arial" w:eastAsia="arial" w:hAnsi="arial" w:cs="arial"/>
          <w:b w:val="0"/>
          <w:i w:val="0"/>
          <w:strike w:val="0"/>
          <w:noProof w:val="0"/>
          <w:color w:val="000000"/>
          <w:position w:val="0"/>
          <w:sz w:val="18"/>
          <w:u w:val="none"/>
          <w:vertAlign w:val="baseline"/>
        </w:rPr>
        <w:t xml:space="preserve">. In principle, an injunction being </w:t>
      </w:r>
      <w:r>
        <w:rPr>
          <w:rFonts w:ascii="arial" w:eastAsia="arial" w:hAnsi="arial" w:cs="arial"/>
          <w:b/>
          <w:i w:val="0"/>
          <w:strike w:val="0"/>
          <w:noProof w:val="0"/>
          <w:color w:val="000000"/>
          <w:position w:val="0"/>
          <w:sz w:val="18"/>
          <w:u w:val="none"/>
          <w:vertAlign w:val="baseline"/>
        </w:rPr>
        <w:t>an equitable remedy may not be extended</w:t>
      </w:r>
      <w:r>
        <w:rPr>
          <w:rFonts w:ascii="arial" w:eastAsia="arial" w:hAnsi="arial" w:cs="arial"/>
          <w:b w:val="0"/>
          <w:i w:val="0"/>
          <w:strike w:val="0"/>
          <w:noProof w:val="0"/>
          <w:color w:val="000000"/>
          <w:position w:val="0"/>
          <w:sz w:val="18"/>
          <w:u w:val="none"/>
          <w:vertAlign w:val="baseline"/>
        </w:rPr>
        <w:t xml:space="preserve"> to the plaintiff </w:t>
      </w:r>
      <w:r>
        <w:rPr>
          <w:rFonts w:ascii="arial" w:eastAsia="arial" w:hAnsi="arial" w:cs="arial"/>
          <w:b/>
          <w:i w:val="0"/>
          <w:strike w:val="0"/>
          <w:noProof w:val="0"/>
          <w:color w:val="000000"/>
          <w:position w:val="0"/>
          <w:sz w:val="18"/>
          <w:u w:val="none"/>
          <w:vertAlign w:val="baseline"/>
        </w:rPr>
        <w:t>under those circumstances</w:t>
      </w:r>
      <w:r>
        <w:rPr>
          <w:rFonts w:ascii="arial" w:eastAsia="arial" w:hAnsi="arial" w:cs="arial"/>
          <w:b w:val="0"/>
          <w:i w:val="0"/>
          <w:strike w:val="0"/>
          <w:noProof w:val="0"/>
          <w:color w:val="000000"/>
          <w:position w:val="0"/>
          <w:sz w:val="18"/>
          <w:u w:val="none"/>
          <w:vertAlign w:val="baseline"/>
        </w:rPr>
        <w:t>.”</w:t>
      </w:r>
      <w:r>
        <w:t>
</w:t>
      </w:r>
    </w:p>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240" w:lineRule="atLeast"/>
        <w:ind w:left="400" w:right="0" w:firstLine="0"/>
        <w:jc w:val="both"/>
      </w:pPr>
      <w:r>
        <w:rPr>
          <w:rFonts w:ascii="arial" w:eastAsia="arial" w:hAnsi="arial" w:cs="arial"/>
          <w:b/>
          <w:i w:val="0"/>
          <w:strike w:val="0"/>
          <w:noProof w:val="0"/>
          <w:color w:val="000000"/>
          <w:position w:val="0"/>
          <w:sz w:val="18"/>
          <w:u w:val="none"/>
          <w:vertAlign w:val="baseline"/>
        </w:rPr>
        <w:t>[26]</w:t>
      </w:r>
      <w:r>
        <w:rPr>
          <w:rFonts w:ascii="arial" w:eastAsia="arial" w:hAnsi="arial" w:cs="arial"/>
          <w:b w:val="0"/>
          <w:i w:val="0"/>
          <w:strike w:val="0"/>
          <w:noProof w:val="0"/>
          <w:color w:val="000000"/>
          <w:position w:val="0"/>
          <w:sz w:val="18"/>
          <w:u w:val="none"/>
          <w:vertAlign w:val="baseline"/>
        </w:rPr>
        <w:t xml:space="preserve"> The Court raises this maxim because the actions of the Claimant are not exactly, as described in the two cases above, clean. Surely, the Claimant being a person with the experience and seniority of his tenure, would have understood that there was more that he could have done to clarify the issue.”.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[82]</w:t>
      </w:r>
      <w:r>
        <w:rPr>
          <w:rFonts w:ascii="arial" w:eastAsia="arial" w:hAnsi="arial" w:cs="arial"/>
          <w:b w:val="0"/>
          <w:i w:val="0"/>
          <w:strike w:val="0"/>
          <w:noProof w:val="0"/>
          <w:color w:val="000000"/>
          <w:position w:val="0"/>
          <w:sz w:val="24"/>
          <w:u w:val="none"/>
          <w:vertAlign w:val="baseline"/>
        </w:rPr>
        <w:t>  The case at hand shares some similarity to the above case, in that the Claimant cannot claim to be a bastion of virtue himself. The clean hands of equity maxim, is also the maxim raised by the Company. The Court notes that the Company would have every right to invoke this maxim had it not been for the fact that the Court must also abide by another maxim; namely equity follows the law.</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[83]</w:t>
      </w:r>
      <w:r>
        <w:rPr>
          <w:rFonts w:ascii="arial" w:eastAsia="arial" w:hAnsi="arial" w:cs="arial"/>
          <w:b w:val="0"/>
          <w:i w:val="0"/>
          <w:strike w:val="0"/>
          <w:noProof w:val="0"/>
          <w:color w:val="000000"/>
          <w:position w:val="0"/>
          <w:sz w:val="24"/>
          <w:u w:val="none"/>
          <w:vertAlign w:val="baseline"/>
        </w:rPr>
        <w:t>  The Court has referred to the Oxford Reference website which provides the definition of the maxim as “equity follows the law (</w:t>
      </w:r>
      <w:r>
        <w:rPr>
          <w:rFonts w:ascii="arial" w:eastAsia="arial" w:hAnsi="arial" w:cs="arial"/>
          <w:b w:val="0"/>
          <w:i/>
          <w:strike w:val="0"/>
          <w:noProof w:val="0"/>
          <w:color w:val="000000"/>
          <w:position w:val="0"/>
          <w:sz w:val="24"/>
          <w:u w:val="none"/>
          <w:vertAlign w:val="baseline"/>
        </w:rPr>
        <w:t>i.e.</w:t>
      </w:r>
      <w:r>
        <w:rPr>
          <w:rFonts w:ascii="arial" w:eastAsia="arial" w:hAnsi="arial" w:cs="arial"/>
          <w:b w:val="0"/>
          <w:i w:val="0"/>
          <w:strike w:val="0"/>
          <w:noProof w:val="0"/>
          <w:color w:val="000000"/>
          <w:position w:val="0"/>
          <w:sz w:val="24"/>
          <w:u w:val="none"/>
          <w:vertAlign w:val="baseline"/>
        </w:rPr>
        <w:t xml:space="preserve"> equity follows the rules of common law unless there is a good reason to the contrary)”. The common law includes precedents. So, applying this doctrine in this case, despite the fact the Court has seen on the face of the case there are merits to this argument. Nevertheless, the fact that the Company wants to use it to justify the involvement of the Claimant and Kuasakon Sdn Bhd, cannot proceed due to the decision of the </w:t>
      </w:r>
      <w:r>
        <w:rPr>
          <w:rFonts w:ascii="arial" w:eastAsia="arial" w:hAnsi="arial" w:cs="arial"/>
          <w:b/>
          <w:i/>
          <w:strike w:val="0"/>
          <w:noProof w:val="0"/>
          <w:color w:val="000000"/>
          <w:position w:val="0"/>
          <w:sz w:val="24"/>
          <w:u w:val="none"/>
          <w:vertAlign w:val="baseline"/>
        </w:rPr>
        <w:t>Maritime</w:t>
      </w:r>
      <w:r>
        <w:rPr>
          <w:rFonts w:ascii="arial" w:eastAsia="arial" w:hAnsi="arial" w:cs="arial"/>
          <w:b w:val="0"/>
          <w:i w:val="0"/>
          <w:strike w:val="0"/>
          <w:noProof w:val="0"/>
          <w:color w:val="000000"/>
          <w:position w:val="0"/>
          <w:sz w:val="24"/>
          <w:u w:val="none"/>
          <w:vertAlign w:val="baseline"/>
        </w:rPr>
        <w:t xml:space="preserve">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[84]</w:t>
      </w:r>
      <w:r>
        <w:rPr>
          <w:rFonts w:ascii="arial" w:eastAsia="arial" w:hAnsi="arial" w:cs="arial"/>
          <w:b w:val="0"/>
          <w:i w:val="0"/>
          <w:strike w:val="0"/>
          <w:noProof w:val="0"/>
          <w:color w:val="000000"/>
          <w:position w:val="0"/>
          <w:sz w:val="24"/>
          <w:u w:val="none"/>
          <w:vertAlign w:val="baseline"/>
        </w:rPr>
        <w:t xml:space="preserve">  The Company’s actions in terminating the Claimant without having the full and entire facts of the case would have been detrimental in any case. The Company is estopped from using the aft-acquired cause or post termination findings to justify its case due to the </w:t>
      </w:r>
      <w:r>
        <w:rPr>
          <w:rFonts w:ascii="arial" w:eastAsia="arial" w:hAnsi="arial" w:cs="arial"/>
          <w:b w:val="0"/>
          <w:i/>
          <w:strike w:val="0"/>
          <w:noProof w:val="0"/>
          <w:color w:val="000000"/>
          <w:position w:val="0"/>
          <w:sz w:val="24"/>
          <w:u w:val="none"/>
          <w:vertAlign w:val="baseline"/>
        </w:rPr>
        <w:t>ratio</w:t>
      </w:r>
      <w:r>
        <w:rPr>
          <w:rFonts w:ascii="arial" w:eastAsia="arial" w:hAnsi="arial" w:cs="arial"/>
          <w:b w:val="0"/>
          <w:i w:val="0"/>
          <w:strike w:val="0"/>
          <w:noProof w:val="0"/>
          <w:color w:val="000000"/>
          <w:position w:val="0"/>
          <w:sz w:val="24"/>
          <w:u w:val="none"/>
          <w:vertAlign w:val="baseline"/>
        </w:rPr>
        <w:t xml:space="preserve"> in the </w:t>
      </w:r>
      <w:r>
        <w:rPr>
          <w:rFonts w:ascii="arial" w:eastAsia="arial" w:hAnsi="arial" w:cs="arial"/>
          <w:b/>
          <w:i/>
          <w:strike w:val="0"/>
          <w:noProof w:val="0"/>
          <w:color w:val="000000"/>
          <w:position w:val="0"/>
          <w:sz w:val="24"/>
          <w:u w:val="none"/>
          <w:vertAlign w:val="baseline"/>
        </w:rPr>
        <w:t>Maritime</w:t>
      </w:r>
      <w:r>
        <w:rPr>
          <w:rFonts w:ascii="arial" w:eastAsia="arial" w:hAnsi="arial" w:cs="arial"/>
          <w:b w:val="0"/>
          <w:i w:val="0"/>
          <w:strike w:val="0"/>
          <w:noProof w:val="0"/>
          <w:color w:val="000000"/>
          <w:position w:val="0"/>
          <w:sz w:val="24"/>
          <w:u w:val="none"/>
          <w:vertAlign w:val="baseline"/>
        </w:rPr>
        <w:t xml:space="preserve">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[85]</w:t>
      </w:r>
      <w:r>
        <w:rPr>
          <w:rFonts w:ascii="arial" w:eastAsia="arial" w:hAnsi="arial" w:cs="arial"/>
          <w:b w:val="0"/>
          <w:i w:val="0"/>
          <w:strike w:val="0"/>
          <w:noProof w:val="0"/>
          <w:color w:val="000000"/>
          <w:position w:val="0"/>
          <w:sz w:val="24"/>
          <w:u w:val="none"/>
          <w:vertAlign w:val="baseline"/>
        </w:rPr>
        <w:t>  Based on all the above, the Court believes that on the principles of equity, the Claimant did not come with clean hands and should bear some of the blame for this entire scenario. This is important when the Court decides for the Claimant and will then discuss the issue of 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[86]</w:t>
      </w:r>
      <w:r>
        <w:rPr>
          <w:rFonts w:ascii="arial" w:eastAsia="arial" w:hAnsi="arial" w:cs="arial"/>
          <w:b w:val="0"/>
          <w:i w:val="0"/>
          <w:strike w:val="0"/>
          <w:noProof w:val="0"/>
          <w:color w:val="000000"/>
          <w:position w:val="0"/>
          <w:sz w:val="24"/>
          <w:u w:val="none"/>
          <w:vertAlign w:val="baseline"/>
        </w:rPr>
        <w:t xml:space="preserve">  Therefore, based on all the and the principles in subsection 30(5),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namely equity, good conscience and substantial merits of the case without regard to technicalities and legal form and all the evidence adduced in this Court, on the balance of probabilities this Court finds that the Company has not proven there was misconduct at the point of termination by the Claimant and the therefore the termination was not done with just cause and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[87]</w:t>
      </w:r>
      <w:r>
        <w:rPr>
          <w:rFonts w:ascii="arial" w:eastAsia="arial" w:hAnsi="arial" w:cs="arial"/>
          <w:b w:val="0"/>
          <w:i w:val="0"/>
          <w:strike w:val="0"/>
          <w:noProof w:val="0"/>
          <w:color w:val="000000"/>
          <w:position w:val="0"/>
          <w:sz w:val="24"/>
          <w:u w:val="none"/>
          <w:vertAlign w:val="baseline"/>
        </w:rPr>
        <w:t>  Since it has been determined above that the Claimant was terminated without just cause or excuse and the Company has to pay for compensation. One of those remedies has already been provided by the High Court and the Court of Appeal. The Court of Appeal consent order was clear that the Company must pay the Claimant the amount of RM4,000.00 is to be made if the Claimant was dismissed without just cause or excuse. This is now confirmed since this Court has made the finding that the Claimant was dismissed without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[88]</w:t>
      </w:r>
      <w:r>
        <w:rPr>
          <w:rFonts w:ascii="arial" w:eastAsia="arial" w:hAnsi="arial" w:cs="arial"/>
          <w:b w:val="0"/>
          <w:i w:val="0"/>
          <w:strike w:val="0"/>
          <w:noProof w:val="0"/>
          <w:color w:val="000000"/>
          <w:position w:val="0"/>
          <w:sz w:val="24"/>
          <w:u w:val="none"/>
          <w:vertAlign w:val="baseline"/>
        </w:rPr>
        <w:t xml:space="preserve">  The Court of Appeal’s order that varied the High Court’s order specifically paragraph 1 (ii) (b) of the Court of Appeal order, which is whether there was a misconduct by the Claimant </w:t>
      </w:r>
      <w:r>
        <w:rPr>
          <w:rFonts w:ascii="arial" w:eastAsia="arial" w:hAnsi="arial" w:cs="arial"/>
          <w:b w:val="0"/>
          <w:i/>
          <w:strike w:val="0"/>
          <w:noProof w:val="0"/>
          <w:color w:val="000000"/>
          <w:position w:val="0"/>
          <w:sz w:val="24"/>
          <w:u w:val="none"/>
          <w:vertAlign w:val="baseline"/>
        </w:rPr>
        <w:t>vis-à-vis</w:t>
      </w:r>
      <w:r>
        <w:rPr>
          <w:rFonts w:ascii="arial" w:eastAsia="arial" w:hAnsi="arial" w:cs="arial"/>
          <w:b w:val="0"/>
          <w:i w:val="0"/>
          <w:strike w:val="0"/>
          <w:noProof w:val="0"/>
          <w:color w:val="000000"/>
          <w:position w:val="0"/>
          <w:sz w:val="24"/>
          <w:u w:val="none"/>
          <w:vertAlign w:val="baseline"/>
        </w:rPr>
        <w:t xml:space="preserve"> Kuasakon Sdn Bhd and if proven whether this misconduct will affect the Claimant’s entitlement to remedy (if any). The Court has decided that there were merits to the argument that the Claimant had committed misconduct but the Company did not know of the said misconduct at the time of the termination or dismissal. This was evident from the Notes of Proceedings, but the Claimant was equally as evasive based on the Notes.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[89]</w:t>
      </w:r>
      <w:r>
        <w:rPr>
          <w:rFonts w:ascii="arial" w:eastAsia="arial" w:hAnsi="arial" w:cs="arial"/>
          <w:b w:val="0"/>
          <w:i w:val="0"/>
          <w:strike w:val="0"/>
          <w:noProof w:val="0"/>
          <w:color w:val="000000"/>
          <w:position w:val="0"/>
          <w:sz w:val="24"/>
          <w:u w:val="none"/>
          <w:vertAlign w:val="baseline"/>
        </w:rPr>
        <w:t>  The Court is clearly of the view that the Company did not come to the Court cleanly as required by equity, but neither did the Claimant. Therefore, based on the doctrine of proportionality the Claimant must bear some of the burden of this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[90]</w:t>
      </w:r>
      <w:r>
        <w:rPr>
          <w:rFonts w:ascii="arial" w:eastAsia="arial" w:hAnsi="arial" w:cs="arial"/>
          <w:b w:val="0"/>
          <w:i w:val="0"/>
          <w:strike w:val="0"/>
          <w:noProof w:val="0"/>
          <w:color w:val="000000"/>
          <w:position w:val="0"/>
          <w:sz w:val="24"/>
          <w:u w:val="none"/>
          <w:vertAlign w:val="baseline"/>
        </w:rPr>
        <w:t xml:space="preserve">  This Court refers to another of its earlier cases that has referred to the doctrine of proportionality namely the cases of </w:t>
      </w:r>
      <w:r>
        <w:rPr>
          <w:rFonts w:ascii="arial" w:eastAsia="arial" w:hAnsi="arial" w:cs="arial"/>
          <w:b/>
          <w:i/>
          <w:strike w:val="0"/>
          <w:noProof w:val="0"/>
          <w:color w:val="000000"/>
          <w:position w:val="0"/>
          <w:sz w:val="24"/>
          <w:u w:val="none"/>
          <w:vertAlign w:val="baseline"/>
        </w:rPr>
        <w:t>Badariah</w:t>
      </w:r>
      <w:r>
        <w:rPr>
          <w:rFonts w:ascii="arial" w:eastAsia="arial" w:hAnsi="arial" w:cs="arial"/>
          <w:b w:val="0"/>
          <w:i w:val="0"/>
          <w:strike w:val="0"/>
          <w:noProof w:val="0"/>
          <w:color w:val="000000"/>
          <w:position w:val="0"/>
          <w:sz w:val="24"/>
          <w:u w:val="none"/>
          <w:vertAlign w:val="baseline"/>
        </w:rPr>
        <w:t xml:space="preserve"> (mentioned above) and </w:t>
      </w:r>
      <w:r>
        <w:rPr>
          <w:rFonts w:ascii="arial" w:eastAsia="arial" w:hAnsi="arial" w:cs="arial"/>
          <w:b w:val="0"/>
          <w:i/>
          <w:strike w:val="0"/>
          <w:noProof w:val="0"/>
          <w:color w:val="000000"/>
          <w:position w:val="0"/>
          <w:sz w:val="24"/>
          <w:u w:val="none"/>
          <w:vertAlign w:val="baseline"/>
        </w:rPr>
        <w:t xml:space="preserve">Syed Fazal Syed Thajudeen v. Petroliam Nasional Berhad (Petronas)  </w:t>
      </w:r>
      <w:r>
        <w:rPr>
          <w:rFonts w:ascii="arial" w:eastAsia="arial" w:hAnsi="arial" w:cs="arial"/>
          <w:b w:val="0"/>
          <w:i w:val="0"/>
          <w:strike w:val="0"/>
          <w:noProof w:val="0"/>
          <w:color w:val="000000"/>
          <w:position w:val="0"/>
          <w:sz w:val="24"/>
          <w:u w:val="none"/>
          <w:vertAlign w:val="baseline"/>
        </w:rPr>
        <w:t xml:space="preserve">[2023] 4 ILR 401; ; [2023] MELRU 2126 stands by its position in the above case which quoted the Federal Court case of </w:t>
      </w:r>
      <w:r>
        <w:rPr>
          <w:rFonts w:ascii="arial" w:eastAsia="arial" w:hAnsi="arial" w:cs="arial"/>
          <w:b w:val="0"/>
          <w:i/>
          <w:strike w:val="0"/>
          <w:noProof w:val="0"/>
          <w:color w:val="000000"/>
          <w:position w:val="0"/>
          <w:sz w:val="24"/>
          <w:u w:val="none"/>
          <w:vertAlign w:val="baseline"/>
        </w:rPr>
        <w:t xml:space="preserve">Norizan bin Baker v Panzana Enterprise Sdn Bhd  </w:t>
      </w:r>
      <w:r>
        <w:rPr>
          <w:rFonts w:ascii="arial" w:eastAsia="arial" w:hAnsi="arial" w:cs="arial"/>
          <w:b w:val="0"/>
          <w:i w:val="0"/>
          <w:strike w:val="0"/>
          <w:noProof w:val="0"/>
          <w:color w:val="000000"/>
          <w:position w:val="0"/>
          <w:sz w:val="24"/>
          <w:u w:val="none"/>
          <w:vertAlign w:val="baseline"/>
        </w:rPr>
        <w:t>[2013] 6 MLJ 605.</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[91]</w:t>
      </w:r>
      <w:r>
        <w:rPr>
          <w:rFonts w:ascii="arial" w:eastAsia="arial" w:hAnsi="arial" w:cs="arial"/>
          <w:b w:val="0"/>
          <w:i w:val="0"/>
          <w:strike w:val="0"/>
          <w:noProof w:val="0"/>
          <w:color w:val="000000"/>
          <w:position w:val="0"/>
          <w:sz w:val="24"/>
          <w:u w:val="none"/>
          <w:vertAlign w:val="baseline"/>
        </w:rPr>
        <w:t>  The Court need not go into the details of the said case, suffice to state that this Court has the authority to invoke the doctrine of proportionality. In this case, taking the doctrine and the Court of Appeal’s order together, the Court construes the actions of the Claimant as being inequitable. The Claimant’s misconduct is crystal clear but, the law states that the Company must be aware of the said misconduct at the time of the dismissal, something which the Company could not prove.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[92]</w:t>
      </w:r>
      <w:r>
        <w:rPr>
          <w:rFonts w:ascii="arial" w:eastAsia="arial" w:hAnsi="arial" w:cs="arial"/>
          <w:b w:val="0"/>
          <w:i w:val="0"/>
          <w:strike w:val="0"/>
          <w:noProof w:val="0"/>
          <w:color w:val="000000"/>
          <w:position w:val="0"/>
          <w:sz w:val="24"/>
          <w:u w:val="none"/>
          <w:vertAlign w:val="baseline"/>
        </w:rPr>
        <w:t>  The establishment of Kuasakon Sdn Bhd on 29 May 2017 has been proven with the submission of the Suruhanjaya Syarikat Malaysia’s search. It is also irrefutable that the Claimant was the main shareholder. No amount of denial during the trial through oral evidence could change that fact. So, the Claimant was clearly in breach of his employment terms.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[93]</w:t>
      </w:r>
      <w:r>
        <w:rPr>
          <w:rFonts w:ascii="arial" w:eastAsia="arial" w:hAnsi="arial" w:cs="arial"/>
          <w:b w:val="0"/>
          <w:i w:val="0"/>
          <w:strike w:val="0"/>
          <w:noProof w:val="0"/>
          <w:color w:val="000000"/>
          <w:position w:val="0"/>
          <w:sz w:val="24"/>
          <w:u w:val="none"/>
          <w:vertAlign w:val="baseline"/>
        </w:rPr>
        <w:t>  Therefore, the Court believes that despite the Claimant was dismissed without just cause or excuse at the time of termination, the Claimant was actually in violation of his employment terms and would be against equity and good conscience to be allowed any form of compensation.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[94]</w:t>
      </w:r>
      <w:r>
        <w:rPr>
          <w:rFonts w:ascii="arial" w:eastAsia="arial" w:hAnsi="arial" w:cs="arial"/>
          <w:b w:val="0"/>
          <w:i w:val="0"/>
          <w:strike w:val="0"/>
          <w:noProof w:val="0"/>
          <w:color w:val="000000"/>
          <w:position w:val="0"/>
          <w:sz w:val="24"/>
          <w:u w:val="none"/>
          <w:vertAlign w:val="baseline"/>
        </w:rPr>
        <w:t xml:space="preserve">  Furthermore, the Court is also guided by subsection 30(4)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which states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“(4) In making its award in respect of a trade dispute, the Court shall have regard to the public interest, financial implications and the effect of the award on the economy of the country, and on the industry concerned, and also to the probable effect in related or similar industries.”</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[95]</w:t>
      </w:r>
      <w:r>
        <w:rPr>
          <w:rFonts w:ascii="arial" w:eastAsia="arial" w:hAnsi="arial" w:cs="arial"/>
          <w:b w:val="0"/>
          <w:i w:val="0"/>
          <w:strike w:val="0"/>
          <w:noProof w:val="0"/>
          <w:color w:val="000000"/>
          <w:position w:val="0"/>
          <w:sz w:val="24"/>
          <w:u w:val="none"/>
          <w:vertAlign w:val="baseline"/>
        </w:rPr>
        <w:t xml:space="preserve">  It would not be in the public interest to allow the Claimant to gain from an inequitable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that could have been proven had the Company been more diligent. The parties are reminded that this is an arbitrational tribunal and a court of equity upholding social principles. It should not used misused or abused on merely technicalities. Besides, the social principle was always to assist the lower spectrum of the working class from the abuses of the higher echelons of the corporate world.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[96]</w:t>
      </w:r>
      <w:r>
        <w:rPr>
          <w:rFonts w:ascii="arial" w:eastAsia="arial" w:hAnsi="arial" w:cs="arial"/>
          <w:b w:val="0"/>
          <w:i w:val="0"/>
          <w:strike w:val="0"/>
          <w:noProof w:val="0"/>
          <w:color w:val="000000"/>
          <w:position w:val="0"/>
          <w:sz w:val="24"/>
          <w:u w:val="none"/>
          <w:vertAlign w:val="baseline"/>
        </w:rPr>
        <w:t xml:space="preserve">  The Court has come across several cases where the top management has applied for redress when the said parties could have afforded the services of professional lawyers in a civil court of law. Whilst the Court will not deny the said parties their right under the law but, this is a category of claimants where the Court must via equally without the social inclination placed by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[97]</w:t>
      </w:r>
      <w:r>
        <w:rPr>
          <w:rFonts w:ascii="arial" w:eastAsia="arial" w:hAnsi="arial" w:cs="arial"/>
          <w:b w:val="0"/>
          <w:i w:val="0"/>
          <w:strike w:val="0"/>
          <w:noProof w:val="0"/>
          <w:color w:val="000000"/>
          <w:position w:val="0"/>
          <w:sz w:val="24"/>
          <w:u w:val="none"/>
          <w:vertAlign w:val="baseline"/>
        </w:rPr>
        <w:t xml:space="preserve">  Besides the above, the Court is also drawn to the fact that the Claimant would not be entitled to any of the usual remedies in this Court. There are two common remedies namely back wages and reinstatement or 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[98]</w:t>
      </w:r>
      <w:r>
        <w:rPr>
          <w:rFonts w:ascii="arial" w:eastAsia="arial" w:hAnsi="arial" w:cs="arial"/>
          <w:b w:val="0"/>
          <w:i w:val="0"/>
          <w:strike w:val="0"/>
          <w:noProof w:val="0"/>
          <w:color w:val="000000"/>
          <w:position w:val="0"/>
          <w:sz w:val="24"/>
          <w:u w:val="none"/>
          <w:vertAlign w:val="baseline"/>
        </w:rPr>
        <w:t xml:space="preserve">  There can be no reinstatement in this case nor 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 There relationship between the parties have gone past the point of no return, without any probable chances of redemption. There can only be the question of back wages.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[99]</w:t>
      </w:r>
      <w:r>
        <w:rPr>
          <w:rFonts w:ascii="arial" w:eastAsia="arial" w:hAnsi="arial" w:cs="arial"/>
          <w:b w:val="0"/>
          <w:i w:val="0"/>
          <w:strike w:val="0"/>
          <w:noProof w:val="0"/>
          <w:color w:val="000000"/>
          <w:position w:val="0"/>
          <w:sz w:val="24"/>
          <w:u w:val="none"/>
          <w:vertAlign w:val="baseline"/>
        </w:rPr>
        <w:t>  The issue of back wages is rather complicated. In this case, it is quite clear that the Claimant is already in gainful employment or has a source of income from his business. The concept of back wages is too commensurate a claimant that has no source of income or revenue to utilise during the time immediately after the dismissal. Therefore, there cannot be any back wages due to the Claimant not receiving any form remuneration at that time.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[100]</w:t>
      </w:r>
      <w:r>
        <w:rPr>
          <w:rFonts w:ascii="arial" w:eastAsia="arial" w:hAnsi="arial" w:cs="arial"/>
          <w:b w:val="0"/>
          <w:i w:val="0"/>
          <w:strike w:val="0"/>
          <w:noProof w:val="0"/>
          <w:color w:val="000000"/>
          <w:position w:val="0"/>
          <w:sz w:val="24"/>
          <w:u w:val="none"/>
          <w:vertAlign w:val="baseline"/>
        </w:rPr>
        <w:t>  The Court also agrees that this ruling is out of the norm, but one this Court feels is well justified. Therefore, the Court feels that on the balance of probabilities that despite the fact the Claimant dismissed without just cause or excuse, nonetheless the Claimant’s actions in establishing Kuasakon Sdn Bhd during his tenure in the Company was inequitable and should not be rewarded for should misconduct.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[101]</w:t>
      </w:r>
      <w:r>
        <w:rPr>
          <w:rFonts w:ascii="arial" w:eastAsia="arial" w:hAnsi="arial" w:cs="arial"/>
          <w:b w:val="0"/>
          <w:i w:val="0"/>
          <w:strike w:val="0"/>
          <w:noProof w:val="0"/>
          <w:color w:val="000000"/>
          <w:position w:val="0"/>
          <w:sz w:val="24"/>
          <w:u w:val="none"/>
          <w:vertAlign w:val="baseline"/>
        </w:rPr>
        <w:t xml:space="preserve">  Due to the factors above, the Court believes that the Claimant is not entitled to any of the remedies provided under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However, when there are no longer any social, equitable and good conscience issues, the Court will fall back on the contract between the parties. The terms of the Contract are clear and the specific provision is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8. Notice of Termination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This employment contract may be terminated by either one party, giving one (1) month notice in writing or pay one (1) month salary in lieu of such notice.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[102]</w:t>
      </w:r>
      <w:r>
        <w:rPr>
          <w:rFonts w:ascii="arial" w:eastAsia="arial" w:hAnsi="arial" w:cs="arial"/>
          <w:b w:val="0"/>
          <w:i w:val="0"/>
          <w:strike w:val="0"/>
          <w:noProof w:val="0"/>
          <w:color w:val="000000"/>
          <w:position w:val="0"/>
          <w:sz w:val="24"/>
          <w:u w:val="none"/>
          <w:vertAlign w:val="baseline"/>
        </w:rPr>
        <w:t>  The provision above is clear and needs no further elaboration. Despite all else, the rule of law must be observed and the terms between the parties must be followed, so long as it is not against the law. Notwithstanding the fact that the Company failed to show just cause and excuse in the dismissal as well as the Claimant inequitably being enriched if back wages was granted, the Court feels that the parties must fulfil the terms of the employment contract.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[103]</w:t>
      </w:r>
      <w:r>
        <w:rPr>
          <w:rFonts w:ascii="arial" w:eastAsia="arial" w:hAnsi="arial" w:cs="arial"/>
          <w:b w:val="0"/>
          <w:i w:val="0"/>
          <w:strike w:val="0"/>
          <w:noProof w:val="0"/>
          <w:color w:val="000000"/>
          <w:position w:val="0"/>
          <w:sz w:val="24"/>
          <w:u w:val="none"/>
          <w:vertAlign w:val="baseline"/>
        </w:rPr>
        <w:t>  The employment contract states that any termination notice by either party must be given a month before the actual date of termination or else the said party must pay one month salary for waiving the said notice. Usually there are exceptions to the rule and although the contract is silent on this issue, the practice remains that in exceptional cases, there can be no notices. These exceptional cases have been mentioned by this Court in regards to certain cases of misconduct. Suffice to state here that the Company did not raise anything to justify the immediate dismissal of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[104]</w:t>
      </w:r>
      <w:r>
        <w:rPr>
          <w:rFonts w:ascii="arial" w:eastAsia="arial" w:hAnsi="arial" w:cs="arial"/>
          <w:b w:val="0"/>
          <w:i w:val="0"/>
          <w:strike w:val="0"/>
          <w:noProof w:val="0"/>
          <w:color w:val="000000"/>
          <w:position w:val="0"/>
          <w:sz w:val="24"/>
          <w:u w:val="none"/>
          <w:vertAlign w:val="baseline"/>
        </w:rPr>
        <w:t>  Therefore, the Court is of the view that the Company has to pay the Claimant one month salary for failure to provide one month notice of termination. This amounts to RM13,000.00 and add to the sum provided by the High Court and the Court of Appeal consented to of RM4,000.00 would bring the total amount due to the Claimant is RM17,000.00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[105]</w:t>
      </w:r>
      <w:r>
        <w:rPr>
          <w:rFonts w:ascii="arial" w:eastAsia="arial" w:hAnsi="arial" w:cs="arial"/>
          <w:b w:val="0"/>
          <w:i w:val="0"/>
          <w:strike w:val="0"/>
          <w:noProof w:val="0"/>
          <w:color w:val="000000"/>
          <w:position w:val="0"/>
          <w:sz w:val="24"/>
          <w:u w:val="none"/>
          <w:vertAlign w:val="baseline"/>
        </w:rPr>
        <w:t>  The Court hereby orders that the Company pay the Claimant the total sum of Ringgit Malaysia Seventeen thousand (RM17,000.00) only within 30 days from the date of this Award and 8% per annum after thirty one days from the date of this Award if the amount has not been settled.</w:t>
      </w:r>
      <w:r>
        <w:t>
</w:t>
      </w:r>
    </w:p>
    <w:p/>
    <w:p>
      <w:pPr>
        <w:ind w:left="200"/>
      </w:pPr>
      <w:r>
        <w:br/>
      </w:r>
      <w:r>
        <w:pict>
          <v:line id="_x0000_s1028"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Liew Lit Yeu v SKH M &amp; E Sdn Bhd  [2024] ILJU 373</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1480"/>
        </w:tabs>
        <w:ind w:left="148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3"/>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x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x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x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x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x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x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x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x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x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x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xx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xx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xx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xx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xx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xx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jpeg" /><Relationship Id="rId8" Type="http://schemas.openxmlformats.org/officeDocument/2006/relationships/image" Target="media/image2.jpeg"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Liew Lit Yeu v SKH M &amp; E Sdn Bhd  [2024] ILJU 373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4N-XC43-MBMG-J1RF-00000-00">
    <vt:lpwstr>Doc::/shared/document|contextualFeaturePermID::1522468</vt:lpwstr>
  </property>
  <property fmtid="{D5CDD505-2E9C-101B-9397-08002B2CF9AE}" pid="4" name="LNDeliveryID">
    <vt:lpwstr>283274858</vt:lpwstr>
  </property>
  <property fmtid="{D5CDD505-2E9C-101B-9397-08002B2CF9AE}" pid="5" name="UserPermID">
    <vt:lpwstr>urn:user:PA196491919</vt:lpwstr>
  </property>
</Properties>
</file>