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Lim Kar Wee v Urban Mobility Asia Sdn Bhd  [2022] ILJU 83</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NOOR AZZAH ABDUL AZIZ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952 OF 2022</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24 May 2022</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The claimant self-represented.</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Muhammad Hasanuddin bin Mohd Yusoff (Hasanuddin Shafarin &amp; Ghazali)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36"/>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oor Azzah Abdul Aziz C"/>
            <w:bookmarkEnd w:id="1"/>
            <w:r>
              <w:rPr>
                <w:rFonts w:ascii="arial" w:eastAsia="arial" w:hAnsi="arial" w:cs="arial"/>
                <w:b/>
                <w:i w:val="0"/>
                <w:strike w:val="0"/>
                <w:noProof w:val="0"/>
                <w:color w:val="000000"/>
                <w:position w:val="0"/>
                <w:sz w:val="30"/>
                <w:u w:val="none"/>
                <w:vertAlign w:val="baseline"/>
              </w:rPr>
              <w:t>Noor Azzah Abdul Aziz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made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 xml:space="preserve">Lim Kar Wee </w:t>
      </w:r>
      <w:r>
        <w:rPr>
          <w:rFonts w:ascii="arial" w:eastAsia="arial" w:hAnsi="arial" w:cs="arial"/>
          <w:b w:val="0"/>
          <w:i w:val="0"/>
          <w:strike w:val="0"/>
          <w:noProof w:val="0"/>
          <w:color w:val="000000"/>
          <w:position w:val="0"/>
          <w:sz w:val="24"/>
          <w:u w:val="none"/>
          <w:vertAlign w:val="baseline"/>
        </w:rPr>
        <w:t xml:space="preserve">(hereinafter referred to as “the Claimant”) by </w:t>
      </w:r>
      <w:r>
        <w:rPr>
          <w:rFonts w:ascii="arial" w:eastAsia="arial" w:hAnsi="arial" w:cs="arial"/>
          <w:b/>
          <w:i w:val="0"/>
          <w:strike w:val="0"/>
          <w:noProof w:val="0"/>
          <w:color w:val="000000"/>
          <w:position w:val="0"/>
          <w:sz w:val="24"/>
          <w:u w:val="none"/>
          <w:vertAlign w:val="baseline"/>
        </w:rPr>
        <w:t xml:space="preserve">Urban Mobility Asia Sdn. Bhd. </w:t>
      </w:r>
      <w:r>
        <w:rPr>
          <w:rFonts w:ascii="arial" w:eastAsia="arial" w:hAnsi="arial" w:cs="arial"/>
          <w:b w:val="0"/>
          <w:i w:val="0"/>
          <w:strike w:val="0"/>
          <w:noProof w:val="0"/>
          <w:color w:val="000000"/>
          <w:position w:val="0"/>
          <w:sz w:val="24"/>
          <w:u w:val="none"/>
          <w:vertAlign w:val="baseline"/>
        </w:rPr>
        <w:t>(hereinafter referred to as “the Company”) on 17 June 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Ministerial reference in this case required the Court to hear and determine the Claimant’s complaint of dismissal by the Company on 17 June 2020 and was received by the Industrial Court on 3 May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Hearing of this case commenced on 6 January 2022 and concluded on the same day. In this trial, the following witnesses have been called by the parties: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witness:</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COW-1 : Encik Nik Muhammad Amin bin Nik Muhammad Kamil, Chief Executive Officer of the Company.</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COW-2 : Cik Nur Sybilareysha binti Sybilibra, Operation Executive of the Company.</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CLW : The Claimant, former Senior Full Stack Developer of the Company.</w:t>
      </w:r>
      <w:r>
        <w:t>
</w:t>
      </w:r>
    </w:p>
    <w:p/>
    <w:p>
      <w:pPr>
        <w:keepNext w:val="0"/>
        <w:spacing w:before="120" w:after="0" w:line="300" w:lineRule="atLeast"/>
        <w:ind w:left="0" w:right="0" w:firstLine="0"/>
        <w:jc w:val="both"/>
      </w:pP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This Court had considered all the notes of proceedings in this matter, and the following documents in handing down this Award:</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Pleadings</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Statement of Case (not dated);</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Statement in Reply dated 20 September 2021;</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Rejoinder dated 27 October 2021.</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Bundles of Documents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Documents marked as “CLB-1”;</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Documents marked as “CLB-2”;</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Documents marked as “COB-1”.</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Witness Statements</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Witness Statement of Nik Muhammad Amin bin</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Nik Muhammad Kamil marked as “COWS-1”; (iii) Company’s Witness Statement of Nur Sybilareysha binti Sybilibra marked as “COWS-2”.</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Submissions</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dated 9 February 2022;</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 (not dated);</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“My Reply (Claimant’s) To The Company’s Written Submission” dated 22 February 2022;</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Reply Written Submission dated 23 February 2022.</w:t>
      </w:r>
    </w:p>
    <w:p/>
    <w:p>
      <w:pPr>
        <w:keepNext w:val="0"/>
        <w:spacing w:before="120" w:after="0" w:line="300" w:lineRule="atLeast"/>
        <w:ind w:left="0" w:right="0" w:firstLine="0"/>
        <w:jc w:val="left"/>
      </w:pPr>
      <w:r>
        <w:rPr>
          <w:rFonts w:ascii="arial" w:eastAsia="arial" w:hAnsi="arial" w:cs="arial"/>
          <w:b/>
          <w:i w:val="0"/>
          <w:strike w:val="0"/>
          <w:noProof w:val="0"/>
          <w:color w:val="000000"/>
          <w:position w:val="0"/>
          <w:sz w:val="24"/>
          <w:u w:val="none"/>
          <w:vertAlign w:val="baseline"/>
        </w:rPr>
        <w:t>A. FACTUAL MATRIX</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dispute before this Court is the claim by the Claimant that he had been dismissed from his employment without just cause or excuse by the Company on 17 June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Claimant was employed by the Company as a Senior Full Stack Developer on 1 August 2019 with basic salary of RM6,000.00 per month. As a Senior Full Stack Developer, the Claimant was responsible for the Web development for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Company issued a warning letter dated 20 May 2020 via e-mail to the Claimant on the grounds that the Claimant’s performance was not on par with the acceptable level, the Claimant has been neglecting his duties and the Claimant has been fallen behind in many of his assigned tasks.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Claimant via e-mails dated 27 May 2020 and 15 June 2020 replied to the Company whereby the Claimant disagreed to the contents of the letter, and highlighted on no clarification or further updates with regard to the warning letter.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Company then issued an Employment Contract Termination Letter dated 16 June 2020 via e-mail dated 17 June 2020 to the Claimant terminating his employment with the Company with 24 hours termination.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 THE COMPANY’S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Company submits that the Company was justified in terminating the Claimant on the ground of misconduct, namely negligent in performing duties and poor performance, as stated in the Statement in Reply, as follows:</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colleagues and clients had problem in communicating with the Claimant;</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delayed in responding and/or did not respond to messages from colleagues and clients. There were times where the Claimant did not even read the messages from the colleagues;</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could not be contacted during working hours via phone call, WhatsApp, Slacks and other available platforms;</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did not lead the technical team as required and had resulted the team members left hanging without a leader and the Company suffered loss of business and opportunity;</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Clients and strategic/technical partners complained of not receiving cooperation from the Claimant;</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Projects done by the Claimant needed to be reworked and this resulted extra expenses incurred;</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lost an investment of RM300,000.00 from a company known as Accelerating Asia one of which is caused due to the lack of commitment and participation from the Claimant;</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did not comply with the Company’s instruction to resume work at office and in June 2020 alone the Claimant had been absent to work for more than 10 days;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acted unprofessionally in making decision for Accelerator CLLA and HUBBA Thailand without prior consent of the management and halfway through the projects he abandoned the projects and other employees had to take over the projects from him.</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Claimant commenced employment with the Company on 1 August 2019 as a Senior Full Stack Developer with his basic salary was RM6,000.00 per month. The terms and conditions of his employment are as stated in Annexure A of the letter of appointment dated 28 June 2019. As a Senior Full Stack Developer, the Claimant was responsible for the Web development for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It is expressly stated in paragraph 7 of Annexure A of the letter of appointment dated 28 June 2019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“7. You are expected to conduct yourself with utmost professionalism in dealing with your manager, team members, colleagues, clients and customers and treat everyone with due respect.”.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Company issued a warning letter dated 20 May 2020 via e-mail to the Claimant on the grounds that the Claimant’s performance was not on par with the acceptable level, continuous complaints from colleagues, the Claimant have been neglecting his duties and the Claimant have been fallen behind in many of his assigned tasks.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Company submits that during this time the Claimant should already been working in the office as the Company had instructed all employees to resume work back in the office but the Claimant did not comply with the instruction until termination letter was issued on him.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The Claimant via e-mails dated 27 May 2020 and 15 June 2020 to the Company disagreed to the contents of the letter and highlighted on no clarification or further updates with regard to the warning letter.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Company then issued an Employment Contract Termination Letter dated 16 June 2020 via e-mail dated 17 June 2020 to the Claimant terminating his employment with the Company with 24 hours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The Company submits that the Company could no longer repose the necessary trust and confidence on the Claimant to effectively discharge his duties in compliance with the Company’s requirements. Therefore the Company decided to dismiss the Claimant with effect from 17 June 2020 as it is no longer tenable to continue the Claimant’s employment with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Company further submits that it is a general and reasonable expectation for a Company to expect its employees to be responsible, attend to office and contactable. The same were expected from the Claimant as an employee of the Company at that material time. However, the Claimant failed to live up to this expectation.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If the Company condones to the Claimant’s action of not coming to the office, not responding to the text, it consequently amounts to the Company condoning to the quality of disrespectful amongst the employees. This would inevitably lead to an atmosphere of mistrust and erode confidence in employees.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The Company reiterates that the Claimant’s acts of misconduct constituted just cause and excuse for the Company to terminate the Claimant’s employment. Hence, the Company prays that this Court upholds the termination of the Claimant’s employment and prays that reference and claims by the Claimant herein be dismissed.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 THE CLAIMANT’S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Claimant commenced employment with the Company as a Senior Full Stack Developer on 1 August 2019 as per the letter of appointment dated 28 June 2019.</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The Claimant states that he received an e-mail titled Warning Letter on 20 May 2020. Attached in the e-mail was a warning letter in PDF format dated the same. In the e-mail, it was written that the Claimant’s performance was not on par with the acceptable level and the Claimant was neglecting his duties and fallen behind in many of the tasks, despite his solid track record and past exemplary efforts in the Company going above and beyond the requirements of his role.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The Claimant further states that he responded to the Warning Letter and sent his reply on 27 May 2020 citing his confusion, concerns, and posed several unresolved issues/ questions with regards to the initial e-mail. The Claimant did not receive any feedback or answers as to his enquiries.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Due to lack of response and no clear answers despite the queries in his reply to the initial e-mail as well as questions he raised in their daily online meetings, the Claimant followed up with another e-mail on 15 June 2020 to highlight the lack of updates, no clarification with regards to the warning letter, and security/ access concerns he has discovered.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On 17 June 2020, the Claimant received an e-mail titled Employment Contract Termination Letter informing of his 24 hour termination. In this e-mail was an attachment of the Claimant’s termination letter in PDF but it was dated 16 June 2020. The Claimants states that this 24 hour notice period is a breach of contract and the termination letter issued to him is a childishly crafted afterthought, clearly unjust, and without valid cause or reason.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The Claimant avers that the false accusations in the warning letter about his performance and negligence issues are false, untrue and clearly, an afterthought to replace/ fire him via unscrupulous and unethical means with no substantiated reasons in order to hire the CEO’s friend, Nokman.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The Claimant submits that the reasons for termination and his 24 hour termination was unjust, without valid cause or excuse, and the reasons given for his termination are an obvious afterthought on the part of the CEO and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Hence, the Claimant prays for reinstatement to his former position in the Company and back wages, retraction of the warning letter and termination letter, a letter of apology for the false allegations and injustice caused, compensation and payment in lieu of leave not taken, contractual bonuses, other contractual benefits and other statutory contributions.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D. THE LAW ON DISMISSAL ON GROUNDS OF MISCONDUCT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It is established law that the function of the Industrial Court pertaining to a reference under subsection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is to determine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misconduct of the employee alleged by the employer has been established; and</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proven misconduct constitute just cause or excuse for the dismissal.</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Wong Yuen Hock v. Syarikat Hong Leong Assurance Sdn Bhd &amp; Anor Appeal </w:t>
      </w:r>
      <w:r>
        <w:rPr>
          <w:rFonts w:ascii="arial" w:eastAsia="arial" w:hAnsi="arial" w:cs="arial"/>
          <w:b w:val="0"/>
          <w:i w:val="0"/>
          <w:strike w:val="0"/>
          <w:noProof w:val="0"/>
          <w:color w:val="000000"/>
          <w:position w:val="0"/>
          <w:sz w:val="24"/>
          <w:u w:val="none"/>
          <w:vertAlign w:val="baseline"/>
        </w:rPr>
        <w:t xml:space="preserve"> [1995] 3 CLJ 344; ; [1995] 1 MLRA 412 the Federal Court held: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“On the authorities, we were of the view that the main and only function of the Industrial Court in dealing with a reference under</w:t>
      </w:r>
      <w:r>
        <w:rPr>
          <w:rFonts w:ascii="arial" w:eastAsia="arial" w:hAnsi="arial" w:cs="arial"/>
          <w:b w:val="0"/>
          <w:i w:val="0"/>
          <w:strike w:val="0"/>
          <w:noProof w:val="0"/>
          <w:color w:val="000000"/>
          <w:position w:val="0"/>
          <w:sz w:val="18"/>
          <w:u w:val="none"/>
          <w:vertAlign w:val="baseline"/>
        </w:rPr>
        <w:t xml:space="preserve"> section 20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(unless otherwise lawfully provided by the terms of the reference),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is to determine whether the misconduct or irregularities complained of by the Management as the grounds of dismissal were in fact committed by the workman, and if so, whether such grounds constitute just cause or excuse for the dismissal</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His Lordship Raja Azlan Shah CJ (Malaya) (as His Royal Highness then was) in a Federal Court Case of </w:t>
      </w:r>
      <w:r>
        <w:rPr>
          <w:rFonts w:ascii="arial" w:eastAsia="arial" w:hAnsi="arial" w:cs="arial"/>
          <w:b w:val="0"/>
          <w:i/>
          <w:strike w:val="0"/>
          <w:noProof w:val="0"/>
          <w:color w:val="000000"/>
          <w:position w:val="0"/>
          <w:sz w:val="24"/>
          <w:u w:val="none"/>
          <w:vertAlign w:val="baseline"/>
        </w:rPr>
        <w:t xml:space="preserve">Goon Kwee Phoy v. J&amp;P Coats (M) Bhd. </w:t>
      </w:r>
      <w:r>
        <w:rPr>
          <w:rFonts w:ascii="arial" w:eastAsia="arial" w:hAnsi="arial" w:cs="arial"/>
          <w:b w:val="0"/>
          <w:i w:val="0"/>
          <w:strike w:val="0"/>
          <w:noProof w:val="0"/>
          <w:color w:val="000000"/>
          <w:position w:val="0"/>
          <w:sz w:val="24"/>
          <w:u w:val="none"/>
          <w:vertAlign w:val="baseline"/>
        </w:rPr>
        <w:t xml:space="preserve"> [1981] 1 LNS 30; ; [1981] 2 MLJ 129 at page 136 held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representations are made and are referred to the Industrial Court for enquiry,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it is the duty of that court to determine whether the termination or dismissal is with or without just cause or excuse</w:t>
      </w:r>
      <w:r>
        <w:rPr>
          <w:rFonts w:ascii="arial" w:eastAsia="arial" w:hAnsi="arial" w:cs="arial"/>
          <w:b w:val="0"/>
          <w:i/>
          <w:strike w:val="0"/>
          <w:noProof w:val="0"/>
          <w:color w:val="000000"/>
          <w:position w:val="0"/>
          <w:sz w:val="18"/>
          <w:u w:val="none"/>
          <w:vertAlign w:val="baseline"/>
        </w:rPr>
        <w:t>. If the employer chooses to give a reason for the action taken by him,</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duty of the Industrial Court will be to enquire whether the excuse or reason has or has not been made out</w:t>
      </w:r>
      <w:r>
        <w:rPr>
          <w:rFonts w:ascii="arial" w:eastAsia="arial" w:hAnsi="arial" w:cs="arial"/>
          <w:b w:val="0"/>
          <w:i/>
          <w:strike w:val="0"/>
          <w:noProof w:val="0"/>
          <w:color w:val="000000"/>
          <w:position w:val="0"/>
          <w:sz w:val="18"/>
          <w:u w:val="none"/>
          <w:vertAlign w:val="baseline"/>
        </w:rPr>
        <w:t>. If it finds as a fact that it has not been proved, then the inevitable conclusion must be the termination or dismissal was without just cause or excuse. The proper enquiry of the court is the reason advanced by it and that court or the High Court cannot go into another reason not relied on by the employer or find one for it.”.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Plaat Rubber Sdn. Bhd. v Goh Chok Guan </w:t>
      </w:r>
      <w:r>
        <w:rPr>
          <w:rFonts w:ascii="arial" w:eastAsia="arial" w:hAnsi="arial" w:cs="arial"/>
          <w:b w:val="0"/>
          <w:i w:val="0"/>
          <w:strike w:val="0"/>
          <w:noProof w:val="0"/>
          <w:color w:val="000000"/>
          <w:position w:val="0"/>
          <w:sz w:val="24"/>
          <w:u w:val="none"/>
          <w:vertAlign w:val="baseline"/>
        </w:rPr>
        <w:t xml:space="preserve"> [1995] 1 ILR 79</w:t>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the Industrial Court defined misconduct as -</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Such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or conduct as adversely affects employees’ duties toward the employer.</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misconduct complained of must have the same relations with the employees’ duties or the work entrusted to him by the employer or his competency to perform the same.</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Any breach of an express or implied duty on the party of the employee, unless it be of a trifling nature, would amount to misconduct.</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E. BURDEN OF PROOF AND 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As the fact of dismissal was not disputed, the Court has to consider on a balance of probabilities whether the dismissal was with just cause or excuse. The burden of proof is on the Company to discharge as stated in the case of </w:t>
      </w:r>
      <w:r>
        <w:rPr>
          <w:rFonts w:ascii="arial" w:eastAsia="arial" w:hAnsi="arial" w:cs="arial"/>
          <w:b w:val="0"/>
          <w:i/>
          <w:strike w:val="0"/>
          <w:noProof w:val="0"/>
          <w:color w:val="000000"/>
          <w:position w:val="0"/>
          <w:sz w:val="24"/>
          <w:u w:val="none"/>
          <w:vertAlign w:val="baseline"/>
        </w:rPr>
        <w:t xml:space="preserve">Stamford Executive Centre v. Dharsini Ganesan </w:t>
      </w:r>
      <w:r>
        <w:rPr>
          <w:rFonts w:ascii="arial" w:eastAsia="arial" w:hAnsi="arial" w:cs="arial"/>
          <w:b w:val="0"/>
          <w:i w:val="0"/>
          <w:strike w:val="0"/>
          <w:noProof w:val="0"/>
          <w:color w:val="000000"/>
          <w:position w:val="0"/>
          <w:sz w:val="24"/>
          <w:u w:val="none"/>
          <w:vertAlign w:val="baseline"/>
        </w:rPr>
        <w:t xml:space="preserve"> [1986] 1 ILR 101</w:t>
      </w:r>
      <w:r>
        <w:rPr>
          <w:rFonts w:ascii="arial" w:eastAsia="arial" w:hAnsi="arial" w:cs="arial"/>
          <w:b/>
          <w:i w:val="0"/>
          <w:strike w:val="0"/>
          <w:noProof w:val="0"/>
          <w:color w:val="000000"/>
          <w:position w:val="0"/>
          <w:sz w:val="24"/>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may further be emphasised here that in a dismissal case the employer must produce convincing evidence that the workman committed the offence or offences the workman is alleged to have committed for which he has been dismissed.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burden of proof lies on the employer. He must prove the workman guilty and it is not the workman who must prove himself not guilty</w:t>
      </w:r>
      <w:r>
        <w:rPr>
          <w:rFonts w:ascii="arial" w:eastAsia="arial" w:hAnsi="arial" w:cs="arial"/>
          <w:b w:val="0"/>
          <w:i/>
          <w:strike w:val="0"/>
          <w:noProof w:val="0"/>
          <w:color w:val="000000"/>
          <w:position w:val="0"/>
          <w:sz w:val="18"/>
          <w:u w:val="none"/>
          <w:vertAlign w:val="baseline"/>
        </w:rPr>
        <w:t>. This is so basic a principle of industrial jurisprudence that no employer is expected to come to this Court in ignorance of it.”.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 [2002] 3 CLJ 314 the Court of Appeal had laid down the principle that the standard of proof that is required to prove a case in the Industrial Court is one that is on the balance of probabilities.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In order to successfully defend an unfair dismissal claim, the burden of proof is on the employer to show that the reason for dismissing the employee falls into one of the two categories set out in subsection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The termination of the employee will be deemed to have been unjust unless an employer can prove that the employee was dismissed for a just cause or excuse. Even if the employer succeeded in proving that there was a reason for the dismissal of the employee, it is for the Industrial Court to decide whether the dismissal was warranted or not in accordance with, inter alia, the principles of equity, good conscience and the substantial merits of the case.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F. ISSUES TO BE DECIDED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issues to be determined in this case are -</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had sufficiently proved the charges preferred against the Claimant; and</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so, whether the said grounds constitute just cause or excuse for the Claimant’s dismissal.</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G. EVALUATION OF EVIDENCE AND FINDINGS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The Company’s grounds for the Claimant’s dismissal as per the Employment Contract Termination Letter dated 16 June 2020 was based on the allegation of misconduct whereby the Claimant was negligent in performing duties and poor performance, namely -</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colleagues and clients had problem in communicating with the Claimant;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delayed in responding and/or did not respond to messages from colleagues and clients;</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could not be contacted during working hours;</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failed to lead or manage the technical team as expected, caused unclear directions to those under his supervision, and caused major delay for technical deliverables.</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This charge was levelled against the Claimant in a Warning Letter dated 20 May 2020 to which the Claimant replied via e-mails dated 27 May 2020 and 15 June 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Claimant’s communication problem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The learned Counsel for the Company submits that the Company, colleagues and clients had communication problem with the Claimant. The Claimant also delayed in responding and sometimes did not even read the conversation.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The Company’s witnesses in their Witness Statements had testified the followings: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Encik Nik Muhammad Amin bin Nik Muhammad Kamil (COW-1) in his Witness Statement (COWS-1):</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“Q: Do you know why the Claimant is dismissed from the Company? A: Yes, the Claimant was dismissed from the Company for his action as follows:</w:t>
      </w:r>
    </w:p>
    <w:p>
      <w:pPr>
        <w:keepNext w:val="0"/>
        <w:numPr>
          <w:numId w:val="33"/>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Company, colleagues &amp; clients had problem in communicating with the Claimant;</w:t>
      </w:r>
    </w:p>
    <w:p>
      <w:pPr>
        <w:keepNext w:val="0"/>
        <w:numPr>
          <w:numId w:val="34"/>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Claimant delayed in responding and/or did not respond to messages from colleagues and clients. There were times where the Claimant did not even read the messages from the colleagues;</w:t>
      </w:r>
    </w:p>
    <w:p>
      <w:pPr>
        <w:keepNext w:val="0"/>
        <w:spacing w:before="120" w:after="0" w:line="240" w:lineRule="atLeast"/>
        <w:ind w:left="1920" w:right="0"/>
        <w:jc w:val="both"/>
      </w:pPr>
      <w:r>
        <w:br/>
      </w:r>
      <w:r>
        <w:rPr>
          <w:rFonts w:ascii="arial" w:eastAsia="arial" w:hAnsi="arial" w:cs="arial"/>
          <w:b w:val="0"/>
          <w:i/>
          <w:strike w:val="0"/>
          <w:noProof w:val="0"/>
          <w:color w:val="000000"/>
          <w:position w:val="0"/>
          <w:sz w:val="18"/>
          <w:u w:val="none"/>
          <w:vertAlign w:val="baseline"/>
        </w:rPr>
        <w:t>As enclosed in the COB, there were messages that were sent in the whatsapp group known as Pomen x Moovby on 4</w:t>
      </w:r>
      <w:r>
        <w:rPr>
          <w:rFonts w:ascii="arial" w:eastAsia="arial" w:hAnsi="arial" w:cs="arial"/>
          <w:b w:val="0"/>
          <w:i/>
          <w:strike w:val="0"/>
          <w:noProof w:val="0"/>
          <w:color w:val="000000"/>
          <w:position w:val="0"/>
          <w:sz w:val="18"/>
          <w:u w:val="none"/>
          <w:vertAlign w:val="superscript"/>
        </w:rPr>
        <w:t>th</w:t>
      </w:r>
      <w:r>
        <w:rPr>
          <w:rFonts w:ascii="arial" w:eastAsia="arial" w:hAnsi="arial" w:cs="arial"/>
          <w:b w:val="0"/>
          <w:i/>
          <w:strike w:val="0"/>
          <w:noProof w:val="0"/>
          <w:color w:val="000000"/>
          <w:position w:val="0"/>
          <w:sz w:val="18"/>
          <w:u w:val="none"/>
          <w:vertAlign w:val="baseline"/>
        </w:rPr>
        <w:t xml:space="preserve"> June 2020. The Claimant did not read nor reply to the messages even though the Claimant was responsible for the technical discussion and integration.</w:t>
      </w:r>
    </w:p>
    <w:p>
      <w:pPr>
        <w:keepNext w:val="0"/>
        <w:spacing w:before="120" w:after="0" w:line="240" w:lineRule="atLeast"/>
        <w:ind w:left="1920" w:right="0"/>
        <w:jc w:val="both"/>
      </w:pPr>
      <w:r>
        <w:br/>
      </w:r>
      <w:r>
        <w:rPr>
          <w:rFonts w:ascii="arial" w:eastAsia="arial" w:hAnsi="arial" w:cs="arial"/>
          <w:b w:val="0"/>
          <w:i/>
          <w:strike w:val="0"/>
          <w:noProof w:val="0"/>
          <w:color w:val="000000"/>
          <w:position w:val="0"/>
          <w:sz w:val="18"/>
          <w:u w:val="none"/>
          <w:vertAlign w:val="baseline"/>
        </w:rPr>
        <w:t>As also enclosed in the COB, there were messages that were sent in the whatsapp group known as Moovby x CLLA on 17 th April 2020. The Claimant did not read nor reply to the messages even though the Claimant was responsible to CLLA. Committee from CLLA was not happy with the Claimant’s response and participations.</w:t>
      </w:r>
    </w:p>
    <w:p>
      <w:pPr>
        <w:keepNext w:val="0"/>
        <w:spacing w:before="120" w:after="0" w:line="240" w:lineRule="atLeast"/>
        <w:ind w:left="1920" w:right="0"/>
        <w:jc w:val="both"/>
      </w:pPr>
      <w:r>
        <w:br/>
      </w:r>
      <w:r>
        <w:rPr>
          <w:rFonts w:ascii="arial" w:eastAsia="arial" w:hAnsi="arial" w:cs="arial"/>
          <w:b w:val="0"/>
          <w:i w:val="0"/>
          <w:strike w:val="0"/>
          <w:noProof w:val="0"/>
          <w:color w:val="000000"/>
          <w:position w:val="0"/>
          <w:sz w:val="18"/>
          <w:u w:val="none"/>
          <w:vertAlign w:val="baseline"/>
        </w:rPr>
        <w:t>(Refer to page 4 of The Company’s Bundle of Documents (COB-1) for the Whatsapp conversation).</w:t>
      </w:r>
      <w:r>
        <w:t>
</w:t>
      </w:r>
    </w:p>
    <w:p>
      <w:pPr>
        <w:keepNext w:val="0"/>
        <w:numPr>
          <w:numId w:val="35"/>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Claimant could not be contacted during working hours via phone call, WhatsApp, Slacks and other available platforms. I, as the CEO had to personally text the Claimant and beg the Claimant to do what the Claimant was supposed to do.</w:t>
      </w:r>
    </w:p>
    <w:p>
      <w:pPr>
        <w:keepNext w:val="0"/>
        <w:spacing w:before="120" w:after="0" w:line="240" w:lineRule="atLeast"/>
        <w:ind w:left="1920" w:right="0"/>
        <w:jc w:val="both"/>
      </w:pPr>
      <w:r>
        <w:br/>
      </w:r>
      <w:r>
        <w:rPr>
          <w:rFonts w:ascii="arial" w:eastAsia="arial" w:hAnsi="arial" w:cs="arial"/>
          <w:b w:val="0"/>
          <w:i/>
          <w:strike w:val="0"/>
          <w:noProof w:val="0"/>
          <w:color w:val="000000"/>
          <w:position w:val="0"/>
          <w:sz w:val="18"/>
          <w:u w:val="none"/>
          <w:vertAlign w:val="baseline"/>
        </w:rPr>
        <w:t>The Claimant in fact delayed in replying to most of my texts and I needed to follow up every time just to get the Claimant to reply to my text. The Claimant had created an unpleasant communication situation. He was very unresponsive. His response was sometimes very disrespectful and as though I was his employee.</w:t>
      </w:r>
      <w:r>
        <w:t>
</w:t>
      </w:r>
    </w:p>
    <w:p/>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(Refer to page 5 and 6 of The Company’s Bundle of Documents (COB-1) for the Whatsapp conversation).”.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Cik Nur Sybilareysha binti Sybilibra (COW-2) in her Witness Statement (COWS-2):</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“Q: Adakah mana-mana tindakan Penuntut ketika di dalam pekerjaan bersama syarikat telah menyebabkan masalah operasi di dalam pengetahuan anda?</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A: Ya, saya tahu masalah wujud apabila Penuntut kerap kali tidak memberi kerjasama di dalam whatsapp group syarikat. Penuntut tidak membaca, tidak menjawab dan jika ada pun Penuntut akan membalas mesej-mesej tersebut dalam satu jangka masa yang lama walaupun pertanyaan atau perbincangan yang dibuat adalah dalam tempoh waktu bekerja.</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Selain daripada itu, saya juga maklum ada pelanggan-pelanggan syarikat yang mengadu bahawa susah mendapat kerjasama daripada Penuntut.”.</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This fact was further supported by COW-1 and COW-2 during cross-examination by the Claimant.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COW-1 in cross-examination: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Refer to page 8 of COB-1. When was this e-mail forwarded to me?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Not forwarded to you. This e-mail was from client from UK because he cannot contact you. No reply from you. The client contacted me after you did not respond.”.</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COW-2 in cross-examination: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Rujuk jawapan no. 5 dalam COWS-2. Apa maksud “tidak memberi kerjasama? A: Dalam group Whatsapp tiada jawapan atau reply atau lambat reply.”.</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This Court had referred to page 8 of COB-1, that is an e-mail dated 13 May 2020 from the Company’s client (Jez Strong) to COW-1 whereby the client had stated his communication problem with the Claimant,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It is now about a month since we spoke and we moved your vehicle onto our bespoke Pro Platform with full API capability and immobilisation. It seems that the platform is yet to be accessed though 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 have had no joy getting in touch with Alan. Please can you update me on situation at Moovby</w:t>
      </w:r>
      <w:r>
        <w:rPr>
          <w:rFonts w:ascii="arial" w:eastAsia="arial" w:hAnsi="arial" w:cs="arial"/>
          <w:b w:val="0"/>
          <w:i/>
          <w:strike w:val="0"/>
          <w:noProof w:val="0"/>
          <w:color w:val="000000"/>
          <w:position w:val="0"/>
          <w:sz w:val="18"/>
          <w:u w:val="none"/>
          <w:vertAlign w:val="baseline"/>
        </w:rPr>
        <w:t>. I am obviously a little concerned as have a lot vested in the relationship with you!.”.</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Company issued a warning letter dated 20 May 2020 to the Claimant via e-mail. The Claimant replied via e-mail dated 27 May 2020 and 15 June 2020 whereby the Claimant denied any misconduct on his part.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Based on the facts, surrounding circumstances and evidence in relation to the charge, the Company concluded that the Claimant was guilty of the charge preferred. Therefore, the Claimant was dismissed from his employment with the Company with immediate effects.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The Company then issued an Employment Contract Termination Letter dated 16 June 2020 via e-mail dated 17 June 2020 to the Claimant terminating his employment with the Company with 24 hours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This Court views that the Claimant’s failure to be contacted, did not respond and delayed in responding to office’s messages is an insolent behaviour which is detrimental to the Company’s discipline, and eventually affected in the Company’s business.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Therefore, based on facts of this case, this Court finds on a balance of probabilities that the Company has proved the charges levelled against the Claimant as stated in the Warning Letter dated 20 May 2020 and Employment Contract Termination Letter dated 17 June 2020, namely -</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colleagues and clients had problem in communicating with the Claimant;</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delayed in responding and/or did not respond to messages from colleagues and clients; and</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could not be contacted during working hours.</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Claimant’s failure to manage the technical team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The Company in its Employment Contract Termination Letter dated 17 June 2020 alleged failure of the Claimant to lead or manage the technical team as expected, caused unclear directions to those under the Claimant’s supervision, and caused major delay for technical deliverables.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Nevertheless, this charge was not stated in the Warning Letter dated 20 May 2020. Nor did any evidence being adduced by the Company on this matter. Therefore, this Court is of the opinion that the Company has failed to establish the Claimant’s misconduct on this charge.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Claimant’s absenteeism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The Company in its Statement of Reply alleged that the Claimant had failed to comply with the instructions of the Company to return back to office and to resume the normal practice or working from office. Even though the Company tendered evidence during trial through its witnesses, however, this allegation was not stated in the Warning Letter to the Claimant, nor was it stated in the Employment Contract Termination Letter dated 17 June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As such, the Claimant is not guilty of this allegation of absenteeism.</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Domestic inquiry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The Claimant in his Written Submission submits that the domestic inquiry was not done by the Company and that he should be accorded with all basic rights of every human being, namely the duty of care and the presumption of innocence.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It is not disputed in this case that the Company did not hold a domestic inquiry. Regardless of that fact, this Court is not bound by the decision of the domestic inquiry panel as the case is heard </w:t>
      </w:r>
      <w:r>
        <w:rPr>
          <w:rFonts w:ascii="arial" w:eastAsia="arial" w:hAnsi="arial" w:cs="arial"/>
          <w:b w:val="0"/>
          <w:i/>
          <w:strike w:val="0"/>
          <w:noProof w:val="0"/>
          <w:color w:val="000000"/>
          <w:position w:val="0"/>
          <w:sz w:val="24"/>
          <w:u w:val="none"/>
          <w:vertAlign w:val="baseline"/>
        </w:rPr>
        <w:t>de novo</w:t>
      </w:r>
      <w:r>
        <w:rPr>
          <w:rFonts w:ascii="arial" w:eastAsia="arial" w:hAnsi="arial" w:cs="arial"/>
          <w:b w:val="0"/>
          <w:i w:val="0"/>
          <w:strike w:val="0"/>
          <w:noProof w:val="0"/>
          <w:color w:val="000000"/>
          <w:position w:val="0"/>
          <w:sz w:val="24"/>
          <w:u w:val="none"/>
          <w:vertAlign w:val="baseline"/>
        </w:rPr>
        <w:t xml:space="preserve"> when it is referred to the Industrial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xml:space="preserve">  The case of </w:t>
      </w:r>
      <w:r>
        <w:rPr>
          <w:rFonts w:ascii="arial" w:eastAsia="arial" w:hAnsi="arial" w:cs="arial"/>
          <w:b w:val="0"/>
          <w:i/>
          <w:strike w:val="0"/>
          <w:noProof w:val="0"/>
          <w:color w:val="000000"/>
          <w:position w:val="0"/>
          <w:sz w:val="24"/>
          <w:u w:val="none"/>
          <w:vertAlign w:val="baseline"/>
        </w:rPr>
        <w:t xml:space="preserve">Hong Leong Equipment Sdn. Bhd. v. Liew Fook Chuan &amp; Other Appeal </w:t>
      </w:r>
      <w:r>
        <w:rPr>
          <w:rFonts w:ascii="arial" w:eastAsia="arial" w:hAnsi="arial" w:cs="arial"/>
          <w:b w:val="0"/>
          <w:i w:val="0"/>
          <w:strike w:val="0"/>
          <w:noProof w:val="0"/>
          <w:color w:val="000000"/>
          <w:position w:val="0"/>
          <w:sz w:val="24"/>
          <w:u w:val="none"/>
          <w:vertAlign w:val="baseline"/>
        </w:rPr>
        <w:t xml:space="preserve"> [1997] 1 CLJ 665 at page 716 highlights the point that the findings of a domestic inquiry panel are not binding on the Court and that the Court will hear a case </w:t>
      </w:r>
      <w:r>
        <w:rPr>
          <w:rFonts w:ascii="arial" w:eastAsia="arial" w:hAnsi="arial" w:cs="arial"/>
          <w:b w:val="0"/>
          <w:i/>
          <w:strike w:val="0"/>
          <w:noProof w:val="0"/>
          <w:color w:val="000000"/>
          <w:position w:val="0"/>
          <w:sz w:val="24"/>
          <w:u w:val="none"/>
          <w:vertAlign w:val="baseline"/>
        </w:rPr>
        <w:t>de novo</w:t>
      </w:r>
      <w:r>
        <w:rPr>
          <w:rFonts w:ascii="arial" w:eastAsia="arial" w:hAnsi="arial" w:cs="arial"/>
          <w:b w:val="0"/>
          <w:i w:val="0"/>
          <w:strike w:val="0"/>
          <w:noProof w:val="0"/>
          <w:color w:val="000000"/>
          <w:position w:val="0"/>
          <w:sz w:val="24"/>
          <w:u w:val="none"/>
          <w:vertAlign w:val="baseline"/>
        </w:rPr>
        <w:t xml:space="preserve"> despite the findings of a domestic inquiry panel:</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fact that an employer has conducted a domestic inquiry against his workman is, in my judgment, an entirely irrelevant consideration to the issue whether the latter had been dismissed without just cause or excuse.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findings of a domestic inquiry are not binding upon the Industrial Court which rehears the matter afresh</w:t>
      </w:r>
      <w:r>
        <w:rPr>
          <w:rFonts w:ascii="arial" w:eastAsia="arial" w:hAnsi="arial" w:cs="arial"/>
          <w:b w:val="0"/>
          <w:i/>
          <w:strike w:val="0"/>
          <w:noProof w:val="0"/>
          <w:color w:val="000000"/>
          <w:position w:val="0"/>
          <w:sz w:val="18"/>
          <w:u w:val="none"/>
          <w:vertAlign w:val="baseline"/>
        </w:rPr>
        <w:t>. However, it may take into account the fact that a domestic inquiry had been held when determining whether the particular workman was justly dismissed”.”</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Claimant’s allegation of false accusation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The Claimant in his Statement of Case alleged that the false accusations by the Company in the warning letter about his performance and negligence issues are false, untrue and an afterthought to replace/ fire him in order to hire the CEO’s friend, Nokman.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Nevertheless, the Claimant had failed to prove this allegation and failed to call or subpoena Nokman before this Court as a witness to answer and respond to the said allegation.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Claimant’s 24 hour notice of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The Claimant in his statement of case states that the Company by issuing him a 24 hour notice of termination is a breach of the contract of employment. However, COW-1 in his cross examination had denied this suggestion by the Claimant. The Company had in fact referred to paragraph 6 of Annexure A of the letter of appointment dated 28 June 2019, which provides: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“Under normal circumstances either the company or you may terminate this association by providing a notice of 30 days without assigning any reason. However, the company may terminate this agreement forthwith under situations of in-disciplinary behaviours.”.</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Additional facts and further documents adduced in the Claimant’s Written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The Claimant in his Written Submission had adduced additional facts and included additional documents which were not tendered during the hearing and were not marked as evidence before the Court. Therefore, this Court views that these additional facts and additional documents are inadmissible for the purposes of the trial of issues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xml:space="preserve">  It is trite law that </w:t>
      </w:r>
      <w:r>
        <w:rPr>
          <w:rFonts w:ascii="arial" w:eastAsia="arial" w:hAnsi="arial" w:cs="arial"/>
          <w:b w:val="0"/>
          <w:i w:val="0"/>
          <w:strike w:val="0"/>
          <w:noProof w:val="0"/>
          <w:color w:val="000000"/>
          <w:position w:val="0"/>
          <w:sz w:val="24"/>
          <w:u w:val="single"/>
          <w:vertAlign w:val="baseline"/>
        </w:rPr>
        <w:t>parties are bound by their pleadings.</w:t>
      </w:r>
      <w:r>
        <w:rPr>
          <w:rFonts w:ascii="arial" w:eastAsia="arial" w:hAnsi="arial" w:cs="arial"/>
          <w:b w:val="0"/>
          <w:i w:val="0"/>
          <w:strike w:val="0"/>
          <w:noProof w:val="0"/>
          <w:color w:val="000000"/>
          <w:position w:val="0"/>
          <w:sz w:val="24"/>
          <w:u w:val="none"/>
          <w:vertAlign w:val="baseline"/>
        </w:rPr>
        <w:t xml:space="preserve"> This Court is in agreement with YA Puan Anna Ng Fui Choo in the case of </w:t>
      </w:r>
      <w:r>
        <w:rPr>
          <w:rFonts w:ascii="arial" w:eastAsia="arial" w:hAnsi="arial" w:cs="arial"/>
          <w:b/>
          <w:i w:val="0"/>
          <w:strike w:val="0"/>
          <w:noProof w:val="0"/>
          <w:color w:val="000000"/>
          <w:position w:val="0"/>
          <w:sz w:val="24"/>
          <w:u w:val="none"/>
          <w:vertAlign w:val="baseline"/>
        </w:rPr>
        <w:t xml:space="preserve">Nadiah Zee binti Abdullah v TT Electrical Electronics Corporation (M) Sdn. Bhd. and Akira Sales &amp; Services (M) Sdn. Bhd. </w:t>
      </w:r>
      <w:r>
        <w:rPr>
          <w:rFonts w:ascii="arial" w:eastAsia="arial" w:hAnsi="arial" w:cs="arial"/>
          <w:b w:val="0"/>
          <w:i w:val="0"/>
          <w:strike w:val="0"/>
          <w:noProof w:val="0"/>
          <w:color w:val="000000"/>
          <w:position w:val="0"/>
          <w:sz w:val="24"/>
          <w:u w:val="none"/>
          <w:vertAlign w:val="baseline"/>
        </w:rPr>
        <w:t>(Award No.: 976 of 2012) where she states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that: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“[24]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It was emphatically stated in the Federal Court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 Ramachandran v. Industrial Court of Malaysia &amp; Anor. </w:t>
      </w:r>
      <w:r>
        <w:rPr>
          <w:rFonts w:ascii="arial" w:eastAsia="arial" w:hAnsi="arial" w:cs="arial"/>
          <w:b w:val="0"/>
          <w:i w:val="0"/>
          <w:strike w:val="0"/>
          <w:noProof w:val="0"/>
          <w:color w:val="000000"/>
          <w:position w:val="0"/>
          <w:sz w:val="18"/>
          <w:u w:val="none"/>
          <w:vertAlign w:val="baseline"/>
        </w:rPr>
        <w:t xml:space="preserve"> [1997] 1 CLJ 147 </w:t>
      </w:r>
      <w:r>
        <w:rPr>
          <w:rFonts w:ascii="arial" w:eastAsia="arial" w:hAnsi="arial" w:cs="arial"/>
          <w:b w:val="0"/>
          <w:i/>
          <w:strike w:val="0"/>
          <w:noProof w:val="0"/>
          <w:color w:val="000000"/>
          <w:position w:val="0"/>
          <w:sz w:val="18"/>
          <w:u w:val="none"/>
          <w:vertAlign w:val="baseline"/>
        </w:rPr>
        <w:t>in which his Lordship Tun Eusoff Chin, Chief Justice said at page 162:</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single"/>
          <w:vertAlign w:val="baseline"/>
        </w:rPr>
        <w:t>“It is trite law that a party is bound by its pleadings</w:t>
      </w:r>
      <w:r>
        <w:rPr>
          <w:rFonts w:ascii="arial" w:eastAsia="arial" w:hAnsi="arial" w:cs="arial"/>
          <w:b w:val="0"/>
          <w:i/>
          <w:strike w:val="0"/>
          <w:noProof w:val="0"/>
          <w:color w:val="000000"/>
          <w:position w:val="0"/>
          <w:sz w:val="18"/>
          <w:u w:val="none"/>
          <w:vertAlign w:val="baseline"/>
        </w:rPr>
        <w:t>. The Industrial Court must scrutinize the pleadings and identify the issues, take evidence, hear the parties’ arguments and finally pronounce its judgement having strict regards to the issues. It is true that the Industrial Court is not bound by all the technicalities of a Civil Court</w:t>
      </w:r>
      <w:r>
        <w:rPr>
          <w:rFonts w:ascii="arial" w:eastAsia="arial" w:hAnsi="arial" w:cs="arial"/>
          <w:b w:val="0"/>
          <w:i w:val="0"/>
          <w:strike w:val="0"/>
          <w:noProof w:val="0"/>
          <w:color w:val="000000"/>
          <w:position w:val="0"/>
          <w:sz w:val="18"/>
          <w:u w:val="none"/>
          <w:vertAlign w:val="baseline"/>
        </w:rPr>
        <w:t xml:space="preserve"> (s. 30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w:t>
      </w:r>
      <w:r>
        <w:rPr>
          <w:rFonts w:ascii="arial" w:eastAsia="arial" w:hAnsi="arial" w:cs="arial"/>
          <w:b w:val="0"/>
          <w:i/>
          <w:strike w:val="0"/>
          <w:noProof w:val="0"/>
          <w:color w:val="000000"/>
          <w:position w:val="0"/>
          <w:sz w:val="18"/>
          <w:u w:val="none"/>
          <w:vertAlign w:val="baseline"/>
        </w:rPr>
        <w:t>) but it must follow the same general pattern.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object of pleadings is to determine what are the issues and to narrow the area of conflict.</w:t>
      </w:r>
      <w:r>
        <w:rPr>
          <w:rFonts w:ascii="arial" w:eastAsia="arial" w:hAnsi="arial" w:cs="arial"/>
          <w:b w:val="0"/>
          <w:i/>
          <w:strike w:val="0"/>
          <w:noProof w:val="0"/>
          <w:color w:val="000000"/>
          <w:position w:val="0"/>
          <w:sz w:val="18"/>
          <w:u w:val="none"/>
          <w:vertAlign w:val="baseline"/>
        </w:rPr>
        <w:t xml:space="preserve"> The Industrial Court cannot ignore the pleadings and treat them as mere pedantry or formalism, because if it does so, it may lose sight of the issues, admit evidence irrelevant to the issues or reject evidence relevant to the issues and come to the wrong conclusion. The Industrial Court must at all times keep itself alert to the issues and attend to matters it is bound to consider..”.</w:t>
      </w:r>
      <w:r>
        <w:t>
</w:t>
      </w:r>
    </w:p>
    <w:p/>
    <w:p>
      <w:pPr>
        <w:keepNext w:val="0"/>
        <w:spacing w:after="0" w:line="240" w:lineRule="atLeast"/>
        <w:ind w:left="400" w:right="0" w:firstLine="0"/>
        <w:jc w:val="both"/>
      </w:pPr>
      <w:r>
        <w:rPr>
          <w:rFonts w:ascii="arial" w:eastAsia="arial" w:hAnsi="arial" w:cs="arial"/>
          <w:b/>
          <w:i/>
          <w:strike w:val="0"/>
          <w:noProof w:val="0"/>
          <w:color w:val="000000"/>
          <w:position w:val="0"/>
          <w:sz w:val="18"/>
          <w:u w:val="none"/>
          <w:vertAlign w:val="baseline"/>
        </w:rPr>
        <w:t>[25]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In the more recent Federal Court decision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Ranjit Kaur a/p S Gopal Singh v. Hotel Excelsior (M) Sdn Bhd </w:t>
      </w:r>
      <w:r>
        <w:rPr>
          <w:rFonts w:ascii="arial" w:eastAsia="arial" w:hAnsi="arial" w:cs="arial"/>
          <w:b w:val="0"/>
          <w:i w:val="0"/>
          <w:strike w:val="0"/>
          <w:noProof w:val="0"/>
          <w:color w:val="000000"/>
          <w:position w:val="0"/>
          <w:sz w:val="18"/>
          <w:u w:val="none"/>
          <w:vertAlign w:val="baseline"/>
        </w:rPr>
        <w:t xml:space="preserve"> [2010] 6 MLJ 1</w:t>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the appellant had failed to plead victimisation in her statement of case. It was not a ground advanced by her. It was held that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1967 could not be used to override or circumvent the basic rules of pleadings.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Industrial Court, like the Civil Court must confine itself to the four corners of the pleadings. Pleadings in the Industrial Court are as important as in the Civil Courts. The claimant must plead his case and the Industrial Court must decide on the claimant’s pleaded case</w:t>
      </w:r>
      <w:r>
        <w:rPr>
          <w:rFonts w:ascii="arial" w:eastAsia="arial" w:hAnsi="arial" w:cs="arial"/>
          <w:b w:val="0"/>
          <w:i/>
          <w:strike w:val="0"/>
          <w:noProof w:val="0"/>
          <w:color w:val="000000"/>
          <w:position w:val="0"/>
          <w:sz w:val="18"/>
          <w:u w:val="none"/>
          <w:vertAlign w:val="baseline"/>
        </w:rPr>
        <w:t xml:space="preserve">. This is important in order to prevent the element of surprise and provide room for the other party to adduce evidence once the fact or an issue is pleaded. The Industrial Court’s duty to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according to equity, good conscience and substantial merits of the case without regard to technicalities and legal form under</w:t>
      </w:r>
      <w:r>
        <w:rPr>
          <w:rFonts w:ascii="arial" w:eastAsia="arial" w:hAnsi="arial" w:cs="arial"/>
          <w:b w:val="0"/>
          <w:i w:val="0"/>
          <w:strike w:val="0"/>
          <w:noProof w:val="0"/>
          <w:color w:val="000000"/>
          <w:position w:val="0"/>
          <w:sz w:val="18"/>
          <w:u w:val="none"/>
          <w:vertAlign w:val="baseline"/>
        </w:rPr>
        <w:t xml:space="preserve"> s 30(5)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does not give the Industrial Court the right to ignore the Industrial Court Rules 1967 made under the principal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In conclusion, based on the facts of this case and evidence adduced before the Court, this Court has found on a balance of probabilities that the Company has proved the following charges against the Claimant, and that the Claimant was guilty of the charges; that means there was just cause or excuse for his dismissal:</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colleagues and clients had problem in communicating with the Claimant;</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delayed in responding and/or did not respond to messages from colleagues and clients; and</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could not be contacted during working hours.</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Proportionality of the punishment of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This Court has found on a balance of probabilities that the Company has proved the charges against the Claimant and that the Claimant was guilty of the misconduct charged; that is, there was just cause or excuse for their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i w:val="0"/>
          <w:strike w:val="0"/>
          <w:noProof w:val="0"/>
          <w:color w:val="000000"/>
          <w:position w:val="0"/>
          <w:sz w:val="24"/>
          <w:u w:val="none"/>
          <w:vertAlign w:val="baseline"/>
        </w:rPr>
        <w:t>OP Malhotra</w:t>
      </w:r>
      <w:r>
        <w:rPr>
          <w:rFonts w:ascii="arial" w:eastAsia="arial" w:hAnsi="arial" w:cs="arial"/>
          <w:b w:val="0"/>
          <w:i w:val="0"/>
          <w:strike w:val="0"/>
          <w:noProof w:val="0"/>
          <w:color w:val="000000"/>
          <w:position w:val="0"/>
          <w:sz w:val="24"/>
          <w:u w:val="none"/>
          <w:vertAlign w:val="baseline"/>
        </w:rPr>
        <w:t xml:space="preserve"> in his book </w:t>
      </w:r>
      <w:r>
        <w:rPr>
          <w:rFonts w:ascii="arial" w:eastAsia="arial" w:hAnsi="arial" w:cs="arial"/>
          <w:b/>
          <w:i/>
          <w:strike w:val="0"/>
          <w:noProof w:val="0"/>
          <w:color w:val="000000"/>
          <w:position w:val="0"/>
          <w:sz w:val="24"/>
          <w:u w:val="none"/>
          <w:vertAlign w:val="baseline"/>
        </w:rPr>
        <w:t>The Law of Industrial Disputes, 6</w:t>
      </w:r>
      <w:r>
        <w:rPr>
          <w:rFonts w:ascii="arial" w:eastAsia="arial" w:hAnsi="arial" w:cs="arial"/>
          <w:b/>
          <w:i/>
          <w:strike w:val="0"/>
          <w:noProof w:val="0"/>
          <w:color w:val="000000"/>
          <w:position w:val="0"/>
          <w:sz w:val="24"/>
          <w:u w:val="none"/>
          <w:vertAlign w:val="superscript"/>
        </w:rPr>
        <w:t>th</w:t>
      </w:r>
      <w:r>
        <w:rPr>
          <w:rFonts w:ascii="arial" w:eastAsia="arial" w:hAnsi="arial" w:cs="arial"/>
          <w:b/>
          <w:i/>
          <w:strike w:val="0"/>
          <w:noProof w:val="0"/>
          <w:color w:val="000000"/>
          <w:position w:val="0"/>
          <w:sz w:val="24"/>
          <w:u w:val="none"/>
          <w:vertAlign w:val="baseline"/>
        </w:rPr>
        <w:t xml:space="preserve"> Edition</w:t>
      </w:r>
      <w:r>
        <w:rPr>
          <w:rFonts w:ascii="arial" w:eastAsia="arial" w:hAnsi="arial" w:cs="arial"/>
          <w:b w:val="0"/>
          <w:i w:val="0"/>
          <w:strike w:val="0"/>
          <w:noProof w:val="0"/>
          <w:color w:val="000000"/>
          <w:position w:val="0"/>
          <w:sz w:val="24"/>
          <w:u w:val="none"/>
          <w:vertAlign w:val="baseline"/>
        </w:rPr>
        <w:t xml:space="preserve"> at page 1116 defined “misconduct”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“Any conduct on the part of an employee inconsistent with the faithful discharge of his duties towards his employer would be a misconduct.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Any breach of the express or implied duties of an employee towards his employer, therefore, unless it be of trifling nature, would constitute an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of misconduct</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Holiday Inn Kuching, Sarawak v. Puan Elizabeth Lee Chai Siok, Sarawak </w:t>
      </w:r>
      <w:r>
        <w:rPr>
          <w:rFonts w:ascii="arial" w:eastAsia="arial" w:hAnsi="arial" w:cs="arial"/>
          <w:b w:val="0"/>
          <w:i w:val="0"/>
          <w:strike w:val="0"/>
          <w:noProof w:val="0"/>
          <w:color w:val="000000"/>
          <w:position w:val="0"/>
          <w:sz w:val="24"/>
          <w:u w:val="none"/>
          <w:vertAlign w:val="baseline"/>
        </w:rPr>
        <w:t xml:space="preserve"> [1990] 2 ILR 262</w:t>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xml:space="preserve">the word “misconduct” was defined as any conduct inconsistent with the faithful discharge of his duties or any breach of the express or implied duties of an employee towards his employer. In </w:t>
      </w:r>
      <w:r>
        <w:rPr>
          <w:rFonts w:ascii="arial" w:eastAsia="arial" w:hAnsi="arial" w:cs="arial"/>
          <w:b w:val="0"/>
          <w:i/>
          <w:strike w:val="0"/>
          <w:noProof w:val="0"/>
          <w:color w:val="000000"/>
          <w:position w:val="0"/>
          <w:sz w:val="24"/>
          <w:u w:val="none"/>
          <w:vertAlign w:val="baseline"/>
        </w:rPr>
        <w:t xml:space="preserve">Syarikat Kenderaan Melayu Kelantan Sdn. Bhd. v. Transport Workers Union </w:t>
      </w:r>
      <w:r>
        <w:rPr>
          <w:rFonts w:ascii="arial" w:eastAsia="arial" w:hAnsi="arial" w:cs="arial"/>
          <w:b w:val="0"/>
          <w:i w:val="0"/>
          <w:strike w:val="0"/>
          <w:noProof w:val="0"/>
          <w:color w:val="000000"/>
          <w:position w:val="0"/>
          <w:sz w:val="24"/>
          <w:u w:val="none"/>
          <w:vertAlign w:val="baseline"/>
        </w:rPr>
        <w:t xml:space="preserve"> [1988] 1 LNS 234</w:t>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the term “misconduct” was defined as “conduct so seriously in breach of the accepted practice that by standard of fairness and justice the employer should not be bound to continue the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Pearce v. Foster &amp; Others </w:t>
      </w:r>
      <w:r>
        <w:rPr>
          <w:rFonts w:ascii="arial" w:eastAsia="arial" w:hAnsi="arial" w:cs="arial"/>
          <w:b w:val="0"/>
          <w:i w:val="0"/>
          <w:strike w:val="0"/>
          <w:noProof w:val="0"/>
          <w:color w:val="000000"/>
          <w:position w:val="0"/>
          <w:sz w:val="24"/>
          <w:u w:val="none"/>
          <w:vertAlign w:val="baseline"/>
        </w:rPr>
        <w:t xml:space="preserve"> [1886] 17 QBD 536</w:t>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the Court of Appeal held the following:</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rule of law is, that where a person has entered into the position of servant, if he does anything incompatible with the due or faithful discharge of his duty to his master, the latter has a right to dismiss him.”.</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[64]</w:t>
      </w:r>
      <w:r>
        <w:rPr>
          <w:rFonts w:ascii="arial" w:eastAsia="arial" w:hAnsi="arial" w:cs="arial"/>
          <w:b w:val="0"/>
          <w:i w:val="0"/>
          <w:strike w:val="0"/>
          <w:noProof w:val="0"/>
          <w:color w:val="000000"/>
          <w:position w:val="0"/>
          <w:sz w:val="24"/>
          <w:u w:val="none"/>
          <w:vertAlign w:val="baseline"/>
        </w:rPr>
        <w:t xml:space="preserve">  This Court will now go on to consider the proportionality of the punishment of dismissal on the Claimant. Reference is made to the case of </w:t>
      </w:r>
      <w:r>
        <w:rPr>
          <w:rFonts w:ascii="arial" w:eastAsia="arial" w:hAnsi="arial" w:cs="arial"/>
          <w:b w:val="0"/>
          <w:i/>
          <w:strike w:val="0"/>
          <w:noProof w:val="0"/>
          <w:color w:val="000000"/>
          <w:position w:val="0"/>
          <w:sz w:val="24"/>
          <w:u w:val="none"/>
          <w:vertAlign w:val="baseline"/>
        </w:rPr>
        <w:t xml:space="preserve">British Leyland UK Ltd v. Swift </w:t>
      </w:r>
      <w:r>
        <w:rPr>
          <w:rFonts w:ascii="arial" w:eastAsia="arial" w:hAnsi="arial" w:cs="arial"/>
          <w:b w:val="0"/>
          <w:i w:val="0"/>
          <w:strike w:val="0"/>
          <w:noProof w:val="0"/>
          <w:color w:val="000000"/>
          <w:position w:val="0"/>
          <w:sz w:val="24"/>
          <w:u w:val="none"/>
          <w:vertAlign w:val="baseline"/>
        </w:rPr>
        <w:t xml:space="preserve"> [1981] IRLR 91 which had been applied in the case of </w:t>
      </w:r>
      <w:r>
        <w:rPr>
          <w:rFonts w:ascii="arial" w:eastAsia="arial" w:hAnsi="arial" w:cs="arial"/>
          <w:b w:val="0"/>
          <w:i/>
          <w:strike w:val="0"/>
          <w:noProof w:val="0"/>
          <w:color w:val="000000"/>
          <w:position w:val="0"/>
          <w:sz w:val="24"/>
          <w:u w:val="none"/>
          <w:vertAlign w:val="baseline"/>
        </w:rPr>
        <w:t xml:space="preserve">Norizan Bakar v. Panzana Enterprise Sdn. Bhd. </w:t>
      </w:r>
      <w:r>
        <w:rPr>
          <w:rFonts w:ascii="arial" w:eastAsia="arial" w:hAnsi="arial" w:cs="arial"/>
          <w:b w:val="0"/>
          <w:i w:val="0"/>
          <w:strike w:val="0"/>
          <w:noProof w:val="0"/>
          <w:color w:val="000000"/>
          <w:position w:val="0"/>
          <w:sz w:val="24"/>
          <w:u w:val="none"/>
          <w:vertAlign w:val="baseline"/>
        </w:rPr>
        <w:t xml:space="preserve"> [2013] 4 ILR 477 which is a Federal Court decision: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“There is a band of reasonableness within which one employer may reasonably take one view: another quite reasonably take a different view. One would quite reasonably dismiss the man. The other would quite reasonably keep him on. Both views may be quite reasonable. If it was quite reasonable to dismiss him then the dismissal must be upheld as fair; even though some other employers may not have dismissed him.”.</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[65]</w:t>
      </w:r>
      <w:r>
        <w:rPr>
          <w:rFonts w:ascii="arial" w:eastAsia="arial" w:hAnsi="arial" w:cs="arial"/>
          <w:b w:val="0"/>
          <w:i w:val="0"/>
          <w:strike w:val="0"/>
          <w:noProof w:val="0"/>
          <w:color w:val="000000"/>
          <w:position w:val="0"/>
          <w:sz w:val="24"/>
          <w:u w:val="none"/>
          <w:vertAlign w:val="baseline"/>
        </w:rPr>
        <w:t xml:space="preserve">  Applying the case of </w:t>
      </w:r>
      <w:r>
        <w:rPr>
          <w:rFonts w:ascii="arial" w:eastAsia="arial" w:hAnsi="arial" w:cs="arial"/>
          <w:b/>
          <w:i w:val="0"/>
          <w:strike w:val="0"/>
          <w:noProof w:val="0"/>
          <w:color w:val="000000"/>
          <w:position w:val="0"/>
          <w:sz w:val="24"/>
          <w:u w:val="none"/>
          <w:vertAlign w:val="baseline"/>
        </w:rPr>
        <w:t xml:space="preserve">Norizan Bakar </w:t>
      </w:r>
      <w:r>
        <w:rPr>
          <w:rFonts w:ascii="arial" w:eastAsia="arial" w:hAnsi="arial" w:cs="arial"/>
          <w:b w:val="0"/>
          <w:i w:val="0"/>
          <w:strike w:val="0"/>
          <w:noProof w:val="0"/>
          <w:color w:val="000000"/>
          <w:position w:val="0"/>
          <w:sz w:val="24"/>
          <w:u w:val="none"/>
          <w:vertAlign w:val="baseline"/>
        </w:rPr>
        <w:t>above, the issue of whether it was reasonable for the Company to dismiss the Claimant would depend on the seriousness of the allegation of misconduct. The principle in that case is, if the Court is of the view that it was fair for the company to dismiss a claimant, then the dismissal must be upheld as fair. Would a reasonable company have retained the Claimant in the circumstances of the case? It is noted that on the facts of that case too, the claimant’s dismissal was upheld by the Federal Court due to the gravity of the misconduct committed which had destroyed the trust and confidence that the company in that case would have placed on him.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[66]</w:t>
      </w:r>
      <w:r>
        <w:rPr>
          <w:rFonts w:ascii="arial" w:eastAsia="arial" w:hAnsi="arial" w:cs="arial"/>
          <w:b w:val="0"/>
          <w:i w:val="0"/>
          <w:strike w:val="0"/>
          <w:noProof w:val="0"/>
          <w:color w:val="000000"/>
          <w:position w:val="0"/>
          <w:sz w:val="24"/>
          <w:u w:val="none"/>
          <w:vertAlign w:val="baseline"/>
        </w:rPr>
        <w:t>  In the present case, it is evident from the facts that the Claimant had committed multiple acts of misconducts and this Court has found that all misconducts were serious in nature.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H. 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[67]</w:t>
      </w:r>
      <w:r>
        <w:rPr>
          <w:rFonts w:ascii="arial" w:eastAsia="arial" w:hAnsi="arial" w:cs="arial"/>
          <w:b w:val="0"/>
          <w:i w:val="0"/>
          <w:strike w:val="0"/>
          <w:noProof w:val="0"/>
          <w:color w:val="000000"/>
          <w:position w:val="0"/>
          <w:sz w:val="24"/>
          <w:u w:val="none"/>
          <w:vertAlign w:val="baseline"/>
        </w:rPr>
        <w:t>  In this case, it is a finding of fact by this Court on the facts and evidence made available to it that the Company had proved its case on a balance of probabilities in respect of the charges as stated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[68]</w:t>
      </w:r>
      <w:r>
        <w:rPr>
          <w:rFonts w:ascii="arial" w:eastAsia="arial" w:hAnsi="arial" w:cs="arial"/>
          <w:b w:val="0"/>
          <w:i w:val="0"/>
          <w:strike w:val="0"/>
          <w:noProof w:val="0"/>
          <w:color w:val="000000"/>
          <w:position w:val="0"/>
          <w:sz w:val="24"/>
          <w:u w:val="none"/>
          <w:vertAlign w:val="baseline"/>
        </w:rPr>
        <w:t xml:space="preserve">  In conclusion, the Court finds that, having considered all evidence available before it and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according to equity, good conscience and the substantial merits of the case without regard to technicalities and legal form, the dismissal was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[69]</w:t>
      </w:r>
      <w:r>
        <w:rPr>
          <w:rFonts w:ascii="arial" w:eastAsia="arial" w:hAnsi="arial" w:cs="arial"/>
          <w:b w:val="0"/>
          <w:i w:val="0"/>
          <w:strike w:val="0"/>
          <w:noProof w:val="0"/>
          <w:color w:val="000000"/>
          <w:position w:val="0"/>
          <w:sz w:val="24"/>
          <w:u w:val="none"/>
          <w:vertAlign w:val="baseline"/>
        </w:rPr>
        <w:t>  Accordingly, the Claimant’s claim is hereby dismissed.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Lim Kar Wee v Urban Mobility Asia Sdn Bhd  [2022] ILJU 83</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Roman"/>
      <w:lvlText w:val=" %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 Kar Wee v Urban Mobility Asia Sdn Bhd  [2022] ILJU 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95-K173-MD0F-C2Y5-00000-00">
    <vt:lpwstr>Doc::/shared/document|contextualFeaturePermID::1522468</vt:lpwstr>
  </property>
  <property fmtid="{D5CDD505-2E9C-101B-9397-08002B2CF9AE}" pid="4" name="LNDeliveryID">
    <vt:lpwstr>283274897</vt:lpwstr>
  </property>
  <property fmtid="{D5CDD505-2E9C-101B-9397-08002B2CF9AE}" pid="5" name="UserPermID">
    <vt:lpwstr>urn:user:PA196491919</vt:lpwstr>
  </property>
</Properties>
</file>