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keepNext w:val="0"/>
        <w:spacing w:after="0" w:line="34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7" o:title=""/>
          </v:shape>
        </w:pict>
      </w:r>
      <w:r>
        <w:t xml:space="preserve">  </w:t>
      </w:r>
      <w:r>
        <w:t> </w:t>
      </w:r>
      <w:r>
        <w:rPr>
          <w:rFonts w:ascii="arial" w:eastAsia="arial" w:hAnsi="arial" w:cs="arial"/>
          <w:b w:val="0"/>
          <w:i w:val="0"/>
          <w:strike w:val="0"/>
          <w:noProof w:val="0"/>
          <w:color w:val="000000"/>
          <w:position w:val="0"/>
          <w:sz w:val="28"/>
          <w:u w:val="none"/>
          <w:vertAlign w:val="baseline"/>
        </w:rPr>
        <w:t xml:space="preserve">               MASYUR MUTIARA SDN BHD v PENDAKWA RAYA</w:t>
      </w:r>
    </w:p>
    <w:p>
      <w:pPr>
        <w:spacing w:line="240" w:lineRule="exact"/>
      </w:pPr>
    </w:p>
    <w:p>
      <w:pPr>
        <w:keepNext w:val="0"/>
        <w:spacing w:after="0" w:line="240" w:lineRule="atLeast"/>
        <w:ind w:right="0"/>
        <w:jc w:val="center"/>
      </w:pPr>
      <w:r>
        <w:rPr>
          <w:rFonts w:ascii="arial" w:eastAsia="arial" w:hAnsi="arial" w:cs="arial"/>
          <w:b/>
          <w:i w:val="0"/>
          <w:strike w:val="0"/>
          <w:noProof w:val="0"/>
          <w:color w:val="BE161D"/>
          <w:position w:val="0"/>
          <w:sz w:val="24"/>
          <w:u w:val="none"/>
          <w:vertAlign w:val="baseline"/>
        </w:rPr>
        <w:t>CaseAnalysis</w:t>
      </w:r>
      <w:r>
        <w:rPr>
          <w:rFonts w:ascii="arial" w:eastAsia="arial" w:hAnsi="arial" w:cs="arial"/>
          <w:b w:val="0"/>
          <w:i w:val="0"/>
          <w:strike w:val="0"/>
          <w:noProof w:val="0"/>
          <w:color w:val="000000"/>
          <w:position w:val="0"/>
          <w:sz w:val="24"/>
          <w:u w:val="none"/>
          <w:vertAlign w:val="baseline"/>
        </w:rPr>
        <w:t xml:space="preserve">                                                                                                                                                                                                                                                                                                                                                                                                                                                                                    </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[2025] 9 MLJ 715</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 xml:space="preserve">[2024] MLJU 3009                                                                  </w:t>
      </w:r>
      <w:r>
        <w:cr/>
      </w:r>
    </w:p>
    <w:p>
      <w:r>
        <w:pict>
          <v:line id="_x0000_s1026" style="position:absolute;z-index:251658240" from="0,2pt" to="512pt,2pt" strokecolor="gray">
            <v:stroke linestyle="single"/>
          </v:line>
        </w:pict>
      </w:r>
    </w:p>
    <w:p>
      <w:pPr>
        <w:pStyle w:val="Heading1"/>
        <w:keepNext w:val="0"/>
        <w:spacing w:before="0" w:after="60" w:line="340" w:lineRule="atLeast"/>
        <w:ind w:left="120" w:right="0" w:firstLine="0"/>
        <w:jc w:val="center"/>
      </w:pPr>
      <w:r>
        <w:br/>
      </w:r>
      <w:r>
        <w:pict>
          <v:shape id="_x0000_i1027" type="#_x0000_t75" style="width:12.75pt;height:12.75pt">
            <v:imagedata r:id="rId7" o:title=""/>
          </v:shape>
        </w:pict>
      </w:r>
      <w:r>
        <w:rPr>
          <w:rFonts w:ascii="arial" w:eastAsia="arial" w:hAnsi="arial" w:cs="arial"/>
          <w:b/>
          <w:i w:val="0"/>
          <w:strike w:val="0"/>
          <w:noProof w:val="0"/>
          <w:color w:val="0077CC"/>
          <w:position w:val="0"/>
          <w:sz w:val="28"/>
          <w:u w:val="none"/>
          <w:vertAlign w:val="baseline"/>
        </w:rPr>
        <w:t xml:space="preserve">               MASYUR MUTIARA SDN BHD v PENDAKWA RAYA</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 xml:space="preserve">                                                                                                                                                                                                                                                                                                                                                                                                                                                                                    [2025] 9 MLJ 715;                         [2024] MLJU 3009                                                                  </w:t>
      </w:r>
    </w:p>
    <w:p/>
    <w:p>
      <w:pPr>
        <w:spacing w:line="200" w:lineRule="exact"/>
      </w:pP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Court:</w:t>
      </w:r>
      <w:r>
        <w:rPr>
          <w:rFonts w:ascii="arial" w:eastAsia="arial" w:hAnsi="arial" w:cs="arial"/>
          <w:b w:val="0"/>
          <w:i w:val="0"/>
          <w:strike w:val="0"/>
          <w:noProof w:val="0"/>
          <w:color w:val="000000"/>
          <w:position w:val="0"/>
          <w:sz w:val="24"/>
          <w:u w:val="none"/>
          <w:vertAlign w:val="baseline"/>
        </w:rPr>
        <w:t> MALAYSIA HIGH COURT</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Judges:</w:t>
      </w:r>
      <w:r>
        <w:rPr>
          <w:rFonts w:ascii="arial" w:eastAsia="arial" w:hAnsi="arial" w:cs="arial"/>
          <w:b w:val="0"/>
          <w:i w:val="0"/>
          <w:strike w:val="0"/>
          <w:noProof w:val="0"/>
          <w:color w:val="000000"/>
          <w:position w:val="0"/>
          <w:sz w:val="24"/>
          <w:u w:val="none"/>
          <w:vertAlign w:val="baseline"/>
        </w:rPr>
        <w:t xml:space="preserve">                   MOHAMAD ABAZAFREE H               </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Judgment Date:</w:t>
      </w:r>
      <w:r>
        <w:rPr>
          <w:rFonts w:ascii="arial" w:eastAsia="arial" w:hAnsi="arial" w:cs="arial"/>
          <w:b w:val="0"/>
          <w:i w:val="0"/>
          <w:strike w:val="0"/>
          <w:noProof w:val="0"/>
          <w:color w:val="000000"/>
          <w:position w:val="0"/>
          <w:sz w:val="24"/>
          <w:u w:val="none"/>
          <w:vertAlign w:val="baseline"/>
        </w:rPr>
        <w:t xml:space="preserve">                   14/8/2024               </w:t>
      </w:r>
    </w:p>
    <w:p>
      <w:pPr>
        <w:keepNext/>
        <w:spacing w:before="120" w:after="0" w:line="340" w:lineRule="atLeast"/>
        <w:ind w:left="0" w:right="0" w:firstLine="0"/>
        <w:jc w:val="left"/>
      </w:pPr>
      <w:bookmarkStart w:id="0" w:name="Catchwords &amp; Digest"/>
      <w:bookmarkEnd w:id="0"/>
      <w:r>
        <w:rPr>
          <w:rFonts w:ascii="arial" w:eastAsia="arial" w:hAnsi="arial" w:cs="arial"/>
          <w:b/>
          <w:i w:val="0"/>
          <w:strike w:val="0"/>
          <w:noProof w:val="0"/>
          <w:color w:val="000000"/>
          <w:position w:val="0"/>
          <w:sz w:val="28"/>
          <w:u w:val="none"/>
          <w:vertAlign w:val="baseline"/>
        </w:rPr>
        <w:t>Catchwords &amp; Digest</w:t>
      </w:r>
    </w:p>
    <w:p>
      <w:pPr>
        <w:spacing w:line="60" w:lineRule="exact"/>
      </w:pPr>
      <w:r>
        <w:pict>
          <v:line id="_x0000_s1028" style="position:absolute;z-index:251659264" from="0,2pt" to="512pt,2pt" strokecolor="#009ddb" strokeweight="2pt">
            <v:stroke linestyle="single"/>
          </v:line>
        </w:pict>
      </w:r>
    </w:p>
    <w:p>
      <w:pPr>
        <w:spacing w:line="240" w:lineRule="exact"/>
      </w:pPr>
    </w:p>
    <w:p>
      <w:pPr>
        <w:keepNext w:val="0"/>
        <w:pBdr>
          <w:top w:val="single" w:sz="8" w:space="5" w:color="DCDCDC"/>
          <w:left w:val="single" w:sz="8" w:space="2" w:color="DCDCDC"/>
          <w:right w:val="single" w:sz="8" w:space="2" w:color="DCDCDC"/>
        </w:pBdr>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 xml:space="preserve">Prosedur Sivil — Mahkamah — Bidang kuasa — Mahkamah majistret — Pertuduhan di bawah s 56(3) Akta Perhubungan Perusahaan 1967 (Akta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yang dibaca bersama-sama dengan s 51F(a) Akta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 Kesalahan ketakpatuhan award Mahkamah Perusahaan — Sama ada majistret bertindak melebihi bidang kuasa yang diperuntukkan apabila menjatuhkan hukuman denda melebihi RM10,000 — Akta Mahkamah Rendah 1948 s 87(1)(c)</w:t>
      </w:r>
    </w:p>
    <w:p>
      <w:pPr>
        <w:keepNext w:val="0"/>
        <w:spacing w:before="240" w:after="0" w:line="300" w:lineRule="atLeast"/>
        <w:ind w:left="0" w:right="0" w:firstLine="0"/>
        <w:jc w:val="left"/>
      </w:pPr>
      <w:r>
        <w:rPr>
          <w:rFonts w:ascii="arial" w:eastAsia="arial" w:hAnsi="arial" w:cs="arial"/>
          <w:b/>
          <w:i w:val="0"/>
          <w:strike w:val="0"/>
          <w:noProof w:val="0"/>
          <w:color w:val="000000"/>
          <w:position w:val="0"/>
          <w:sz w:val="24"/>
          <w:u w:val="none"/>
          <w:vertAlign w:val="baseline"/>
        </w:rPr>
        <w:t>Prosedur Jenayah — Izin — Kegagalan mendapatkan izin pendakwa raya — Sama ada terdapat kekhilafan dalam pemulaan pendakwaan terhadap perayu</w:t>
      </w:r>
    </w:p>
    <w:p>
      <w:pPr>
        <w:keepNext w:val="0"/>
        <w:spacing w:before="240"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Undang-Undang Buruh — Mahkamah Perusahaan — Award — Kegagalan mematuhi — Pertuduhan di bawah s 56(3) Akta Perhubungan Perusahaan 1967 (Akta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yang dibaca bersama-sama dengan s 51F(a) Akta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 Majistret menjatuhkan hukuman denda dan denda tambahan — Jumlah denda yang dijatuhkan melebihi RM10,000 — Sama ada majistret bertindak melebihi bidang kuasa yang diperuntukkan bawah Akta Mahkamah Rendah 1948 apabila menjatuhkan hukuman denda melebihi RM10,000</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menolak rayuan; mengekalkan keputusan mahkamah majistret:</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Kedua-dua pertuduhan menyatakan berkenaan kesalahan yang dilakukan oleh perayu iaitu satu kesalahan yang boleh dihukum di bawah s 56(3) dan dibaca bersama dengan s 51F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Di dalam kedua-dua pertuduhan, turut dinyatakan di bahagian hukuman bahawa perayu boleh dikenakan denda tambahan sebanyak RM500 bagi setiap hari kesalahan tersebut berterusan. Seksyen 56(3)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menyatakan dengan jelas bahawa hukuman yang boleh dikenakan adalah ‘be liable to a fine not exceeding two thousand ringgit or to imprisonment for a term not exceeding one year or to both and a further fine of five hundred ringgit for every day during which such offence continues’. Oleh itu, hukuman asal yang boleh dikenakan adalah tidak melebihi RM2,000 namun peruntukan tersebut memberikan budi bicara kepada Tuan majistret untuk mengenakan denda lanjut (</w:t>
      </w:r>
      <w:r>
        <w:rPr>
          <w:rFonts w:ascii="arial" w:eastAsia="arial" w:hAnsi="arial" w:cs="arial"/>
          <w:b w:val="0"/>
          <w:i/>
          <w:strike w:val="0"/>
          <w:noProof w:val="0"/>
          <w:color w:val="000000"/>
          <w:position w:val="0"/>
          <w:sz w:val="24"/>
          <w:u w:val="none"/>
          <w:vertAlign w:val="baseline"/>
        </w:rPr>
        <w:t>further fine</w:t>
      </w:r>
      <w:r>
        <w:rPr>
          <w:rFonts w:ascii="arial" w:eastAsia="arial" w:hAnsi="arial" w:cs="arial"/>
          <w:b w:val="0"/>
          <w:i w:val="0"/>
          <w:strike w:val="0"/>
          <w:noProof w:val="0"/>
          <w:color w:val="000000"/>
          <w:position w:val="0"/>
          <w:sz w:val="24"/>
          <w:u w:val="none"/>
          <w:vertAlign w:val="baseline"/>
        </w:rPr>
        <w:t xml:space="preserve">) sebanyak RM500 untuk setiap hari kesalahan tersebut berterusan (lihat perenggan 20–23).                  </w:t>
      </w:r>
      <w:r>
        <w:rPr>
          <w:rFonts w:ascii="arial" w:eastAsia="arial" w:hAnsi="arial" w:cs="arial"/>
          <w:b w:val="0"/>
          <w:i w:val="0"/>
          <w:strike w:val="0"/>
          <w:noProof w:val="0"/>
          <w:color w:val="000000"/>
          <w:position w:val="0"/>
          <w:sz w:val="24"/>
          <w:u w:val="none"/>
          <w:vertAlign w:val="baseline"/>
        </w:rPr>
        <w:t xml:space="preserve">                  </w:t>
      </w:r>
    </w:p>
    <w:p>
      <w:pPr>
        <w:keepNext w:val="0"/>
        <w:numPr>
          <w:numId w:val="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Kesalahan yang dilakukan oleh perayu adalah masih berterusan dilakukan walaupun pertuduhan telah difailkan dan dibacakan. Kesalahan hanya berhenti apabila perayu mematuhi kedua-dua award tersebut. Sehubungan dengan itu, denda atau penalti lanjutan yang dikenakan oleh Tuan majistret tersebut bukanlah merupakan satu kesalahan lanjutan yang memerlukan satu pertuduhan berasingan dikenakan. Selanjutnya, denda lanjutan ini adalah merupakan peruntukan khusus yang diperuntukkan oleh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kepada kesalahan khusus di bawah Akta ini. Maka ia adalah merupakan satu peruntukan khusus yang dibenarkan sepertimana proviso di bawah s 87(1) Akta 92 (lihat perenggan 28 &amp; 34–35).                  </w:t>
      </w:r>
      <w:r>
        <w:rPr>
          <w:rFonts w:ascii="arial" w:eastAsia="arial" w:hAnsi="arial" w:cs="arial"/>
          <w:b w:val="0"/>
          <w:i w:val="0"/>
          <w:strike w:val="0"/>
          <w:noProof w:val="0"/>
          <w:color w:val="000000"/>
          <w:position w:val="0"/>
          <w:sz w:val="24"/>
          <w:u w:val="none"/>
          <w:vertAlign w:val="baseline"/>
        </w:rPr>
        <w:t xml:space="preserve">                  </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Hujahan bahawa perayu tidak dimaklumkan berkaitan cara pengiraan denda lanjutan tersebut adalah tidak bermerit mengambil kira kerana: (a) ketika prosiding jatuhan hukuman tersebut, perayu diwakili oleh seorang peguam; dan (b) di dalam kertas pertuduhan ke atas perayu, ternyata pihak PR telah menyatakan di bahagian hukuman bahawa denda tambahan sebanyak RM500 bagi tiap-tiap hari kesalahan itu berterusan boleh dikenakan. Ini secara nyata dan jelas memberi maklumat bahawa pengenaan denda tambahan tersebut dikira selagi mana jumlah award Mahkamah Perusahaan tidak diselesaikan. Oleh itu, keputusan denda tambahan yang dikenakan terhadap perayu tersebut bukanlah satu kejutan dan tempoh kesalahan tersebut sememangnya di dalam pengetahuan perayu (lihat perenggan 37 &amp; 39).                  </w:t>
      </w:r>
      <w:r>
        <w:rPr>
          <w:rFonts w:ascii="arial" w:eastAsia="arial" w:hAnsi="arial" w:cs="arial"/>
          <w:b w:val="0"/>
          <w:i w:val="0"/>
          <w:strike w:val="0"/>
          <w:noProof w:val="0"/>
          <w:color w:val="000000"/>
          <w:position w:val="0"/>
          <w:sz w:val="24"/>
          <w:u w:val="none"/>
          <w:vertAlign w:val="baseline"/>
        </w:rPr>
        <w:t xml:space="preserve">                  </w:t>
      </w:r>
    </w:p>
    <w:p>
      <w:pPr>
        <w:keepNext w:val="0"/>
        <w:numPr>
          <w:numId w:val="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Seksyen 51E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memperuntukkan dua pilihan pendakwaan iaitu ’by the public prosecutor’ atau ’with the consent of the public prosecutor’. Dalam kes ini, kehadiran timbalan pendakwa raya (’TPR’) semasa prosiding kes jelas tercakup bawah ’by the public prosecutor’ kerana TPR adalah alter ego pendakwa raya. Oleh itu, tiada kekhilafan yang berlaku dalam pemulaan pendakwaan atas perayu (lihat perenggan 45–46 &amp; 48).                  </w:t>
      </w:r>
      <w:r>
        <w:rPr>
          <w:rFonts w:ascii="arial" w:eastAsia="arial" w:hAnsi="arial" w:cs="arial"/>
          <w:b w:val="0"/>
          <w:i w:val="0"/>
          <w:strike w:val="0"/>
          <w:noProof w:val="0"/>
          <w:color w:val="000000"/>
          <w:position w:val="0"/>
          <w:sz w:val="24"/>
          <w:u w:val="none"/>
          <w:vertAlign w:val="baseline"/>
        </w:rPr>
        <w:t xml:space="preserve">               </w:t>
      </w:r>
    </w:p>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Summary :</w:t>
      </w:r>
      <w:r>
        <w:rPr>
          <w:rFonts w:ascii="arial" w:eastAsia="arial" w:hAnsi="arial" w:cs="arial"/>
          <w:b w:val="0"/>
          <w:i w:val="0"/>
          <w:strike w:val="0"/>
          <w:noProof w:val="0"/>
          <w:color w:val="000000"/>
          <w:position w:val="0"/>
          <w:sz w:val="24"/>
          <w:u w:val="none"/>
          <w:vertAlign w:val="baseline"/>
        </w:rPr>
        <w:t xml:space="preserve">               </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Jabatan Perhubungan Perusahaan Malaysia (‘JPPM’) telah menerima aduan daripada Setiausaha Agung Kesatuan Kebangsaan Pekerja-Pekerja Hotel, Bar dan Restoran Semenanjung Malaysia (‘Kesatuan’) berhubung ketidakpatuhan perayu terhadap Award Mahkamah Perusahaan No 1684 Tahun 2013 (‘Award Tahun 2013’). Melalui Award Tahun 2013 tersebut, Mahkamah Perusahaan telah mengarahkan perayu untuk membayar faedah persaraan kepada seorang bernama Puan Balkhis bt Husin berjumlah RM41,394. Perayu telah membuat sebahagian bayaran iaitu sebanyak RM17,513 kepada Puan Balkhis bt Husin melalui Kesatuan. Apabila Kesatuan menuntut baki bayaran sebanyak RM23,881 daripada perayu, perayu gagal mengemukakan sebarang maklum balas. Selain itu, JPPM telah menerima aduan berhubung satu lagi ketidakpatuhan perayu terhadap Award Mahkamah Perusahaan No 151 Tahun 2015 bertarikh 10 Februari 2015 (‘Award Tahun 2015’). Melalui Award Tahun 2015, Mahkamah Perusahaan telah mengarahkan perayu untuk membayar faedah persaraan seorang bernama Puan Zurriyani bt Omar berjumlah RM44,099.17 melalui Kesatuan dalam tempoh 14 hari. Walau bagaimanapun, perayu masih gagal membuat apa-apa bayaran seperti yang diperintahkan oleh Mahkamah Perusahaan. Berikutan itu, perayu dituduh di mahkamah majistret terhadap dua pertuduhan berasingan, menurut s 56(3) Akta Perhubungan Perusahaan 1967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dibaca bersama-sama s 51F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untuk ketakpatuhan. Majistret menjatuhkan hukuman: (a) untuk kes berkaitan Award Tahun 2013, denda RM1,000 dan denda tambahan RM1,071,000 (RM500 x 2,142 hari); dan (b) untuk kes berkaitan Award Tahun 2015, denda RM1,000 dan denda tambahan RM829,500 (RM500 x 1,659 hari). Oleh itu, rayuan ini. Isu-isu yang dibangkitkan untuk pertimbangan mahkamah adalah (i) sama ada mahkamah majistret mempunyai bidang kuasa untuk memberi hukuman yang melebihi bidang kuasa majistret sepertimana yang diperuntukkan di bawah Akta Mahkamah Rendah 1948 (Akta 92); dan (ii) sama ada keseluruhan pendakwaan adalah satu kesilapan dan tidak sah kerana tidak terdapat keizinan daripada pendakwa raya.</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1" w:name="Cases considered by this case"/>
      <w:bookmarkEnd w:id="1"/>
      <w:r>
        <w:rPr>
          <w:rFonts w:ascii="arial" w:eastAsia="arial" w:hAnsi="arial" w:cs="arial"/>
          <w:b/>
          <w:i w:val="0"/>
          <w:strike w:val="0"/>
          <w:noProof w:val="0"/>
          <w:color w:val="000000"/>
          <w:position w:val="0"/>
          <w:sz w:val="28"/>
          <w:u w:val="none"/>
          <w:vertAlign w:val="baseline"/>
        </w:rPr>
        <w:t>Cases considered by this case</w:t>
      </w:r>
    </w:p>
    <w:p>
      <w:pPr>
        <w:spacing w:line="60" w:lineRule="exact"/>
      </w:pPr>
      <w:r>
        <w:pict>
          <v:line id="_x0000_s1029" style="position:absolute;z-index:251660288" from="0,2pt" to="512pt,2pt" strokecolor="#009ddb" strokeweight="2pt">
            <v:stroke linestyle="single"/>
          </v:line>
        </w:pict>
      </w:r>
    </w:p>
    <w:p>
      <w:pPr>
        <w:spacing w:line="240" w:lineRule="exact"/>
      </w:pP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SARDAR ALI HASSAN MUHAMMAD (W/PAKISTAN)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MLJU 1395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14/9/2020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1"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TEBIN BIN MOSTAPA (AS ADMINISTRATOR OF THE ESTATE OF HJ MOSTAPA BIN ASAN, DECEASED) v HULBA-DANYAL BIN BALIA &amp; ANOR (AS JOINT ADMINISTRATORS OF THE ESTATE OF BALIA BIN MUNIR, DECEASED)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4 MLJ 721;                               [2020] MLJU 944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3/7/2020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WONG KENG LIANG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[2013] 4 MLJ 263;                               [2012] MLJU 235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22/2/2012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3"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JAYASANKARAN, MAHKAMAH PERSEKUTUAN KEMUDIANNYA MEMUTUSKAN DALAM KES MEGAT NAJMUDDIN DATO SERI (DR) MEGAT KHAS v BANK BUMIPUTRA (M)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[2002] 1 AMR 1089;                               [2002] 1 CLJ 645;                               [2002] 1 MLJ 385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8/2/2002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GOH KEAT PENG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[2001] 3 MLJ 172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13/4/2001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NADARAJAH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[2000] 4 MLJ 373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25/8/2000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LEE NGAK PIEW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[1999] 4 MLJ 79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30/7/1999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MEOW LOONG ONN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[1997] 2 MLJ 612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16/7/1996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CHEONG AH CHEOW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2 MLJ 257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6/3/1985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MYACRJ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9"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LIM BOON HOCK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2 MLJ 219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20/11/1984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MYOCJ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DATUK HAJI DZULKIFLI</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[1982] 1 MLJ 340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14/9/1981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MYOCRJ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1"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TAN SIN v PP</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[1969] 1 MLJ 230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10/3/1967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MYACRJ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HAJI MOHAMED PAIMAN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[1966] 1 MLJ 58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12/7/1965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MYACRJ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3"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PP v TENGKU HITAM</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[1962] 1 MLJ 414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3/10/1962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MYRCRJ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REGINA v LIM HENG SOON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[1954] 1 MLJ 151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24/2/1954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MYACRJ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TENGKU ABDUL AZIZ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[1951] 1 MLJ 185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8/9/1951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MYACRJ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REX v LAM CHIP HENG</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[1938] 1 MLJ 182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21/7/1938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MYRCRJ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AIREY v SMITH</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[1907] 2 KB 273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HIRALAL RATTANLAL ETC v STATE OF UP AND ANR ETC</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[1973] AIR_SC 1034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9"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CHAI CHONG YIN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[1983] 1 MLJ 267[1982] CLJU [1982] 1 LNS 75 75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DATUK HAJI DZULKIFLI</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[1982] CLJ Rep 644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1"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LIM BOON HOCK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CLJ Rep 688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MOHAMED HALIPAH</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[1982] 1 MLJ 155[1981] CLJ Rep 238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3"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PUBLIC PROSECUTOR v OIE HEE KOI &amp; ASSOCIATED APPEALS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[1968] 1 MLJ 148[1967] 1 LNS 132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REGINA v LIM HENG SOON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[1954] 1 LNS 94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SARDAR ALI HASSAN MUHAMMAD (W/PAKISTAN)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1 LNS 1939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SARDAR ALI HASSAN MUHAMMAD (W/PAKISTAN)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CLJU 1939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STATE OF BIHAR v DEOKARAN NENSHI</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[1973] AIR 908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TEBIN BIN MOSTAPA (AS ADMINISTRATOR OF THE ESTATE OF HJ MOSTAPA BIN ASAN, DECEASED) v HULBA-DANYAL BIN BALIA &amp; ANOR (AS JOINT ADMINISTRATORS OF THE ESTATE OF BALIA BIN MUNIR, DECEASED)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7 CLJ 561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9"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THORPE v PRIESTNALL</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[1897] 1 QB 159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right w:val="nil"/>
            </w:tcBorders>
            <w:tcMar>
              <w:top w:w="100" w:type="dxa"/>
              <w:bottom w:w="100" w:type="dxa"/>
            </w:tcMar>
            <w:vAlign w:val="top"/>
          </w:tcPr>
          <w:p>
            <w:pPr>
              <w:keepNext w:val="0"/>
              <w:spacing w:after="60" w:line="340" w:lineRule="atLeast"/>
              <w:ind w:left="0" w:right="0"/>
              <w:jc w:val="left"/>
            </w:pPr>
            <w:r>
              <w:pict>
                <v:shape id="_x0000_i106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TRILOK CHAND v CN SRI</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[1961] AIR_ALL 88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bl>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2" w:name="Legislation considered by this case"/>
      <w:bookmarkEnd w:id="2"/>
      <w:r>
        <w:rPr>
          <w:rFonts w:ascii="arial" w:eastAsia="arial" w:hAnsi="arial" w:cs="arial"/>
          <w:b/>
          <w:i w:val="0"/>
          <w:strike w:val="0"/>
          <w:noProof w:val="0"/>
          <w:color w:val="000000"/>
          <w:position w:val="0"/>
          <w:sz w:val="28"/>
          <w:u w:val="none"/>
          <w:vertAlign w:val="baseline"/>
        </w:rPr>
        <w:t>Legislation considered by this case</w:t>
      </w:r>
    </w:p>
    <w:p>
      <w:pPr>
        <w:spacing w:line="60" w:lineRule="exact"/>
      </w:pPr>
      <w:r>
        <w:pict>
          <v:line id="_x0000_s1061" style="position:absolute;z-index:251661312" from="0,2pt" to="512pt,2pt" strokecolor="#009ddb" strokeweight="2pt">
            <v:stroke linestyle="single"/>
          </v:line>
        </w:pict>
      </w:r>
    </w:p>
    <w:p>
      <w:pPr>
        <w:spacing w:line="240" w:lineRule="exact"/>
      </w:pP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6274"/>
        <w:gridCol w:w="4182"/>
      </w:tblGrid>
      <w:tr>
        <w:tblPrEx>
          <w:tblW w:w="5000" w:type="pct"/>
          <w:tblLayout w:type="fixed"/>
        </w:tblPrEx>
        <w:trPr>
          <w:tblHeader/>
        </w:trPr>
        <w:tc>
          <w:tcPr>
            <w:tcW w:w="6144"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Legislation Name &amp; Jurisdiction</w:t>
            </w:r>
          </w:p>
        </w:tc>
        <w:tc>
          <w:tcPr>
            <w:tcW w:w="4096"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Provisions</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Akta 92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87</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Akta Mahkamah Rendah 1948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87</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Akta Perancang (Wilayah Persekutuan) 1982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26(1)</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Akta Perhubungan Perusahaan 1967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51, 51E, 51F, 56</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Akta Polis 1967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27</w:t>
            </w:r>
          </w:p>
        </w:tc>
      </w:tr>
      <w:tr>
        <w:tblPrEx>
          <w:tblW w:w="5000" w:type="pct"/>
          <w:tblLayout w:type="fixed"/>
        </w:tblPrEx>
        <w:tc>
          <w:tcPr>
            <w:tcW w:w="614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Immigration Ordinance 1959                                                                                                               </w:t>
            </w:r>
          </w:p>
        </w:tc>
        <w:tc>
          <w:tcPr>
            <w:tcW w:w="4096"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58(2)</w:t>
            </w:r>
          </w:p>
        </w:tc>
      </w:tr>
    </w:tbl>
    <w:p/>
    <w:p>
      <w:pPr>
        <w:ind w:left="200"/>
      </w:pPr>
      <w:r>
        <w:br/>
      </w:r>
      <w:r>
        <w:pict>
          <v:line id="_x0000_s106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 xml:space="preserve">               MASYUR MUTIARA SDN BHD v PENDAKWA RAYA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MASYUR MUTIARA SDN BHD v PENDAKWA RAYA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62-S133-MP5N-R522-00000-00">
    <vt:lpwstr>Doc::/shared/document|contextualFeaturePermID::1522468</vt:lpwstr>
  </property>
  <property fmtid="{D5CDD505-2E9C-101B-9397-08002B2CF9AE}" pid="4" name="LNDeliveryID">
    <vt:lpwstr>286221176</vt:lpwstr>
  </property>
  <property fmtid="{D5CDD505-2E9C-101B-9397-08002B2CF9AE}" pid="5" name="UserPermID">
    <vt:lpwstr>urn:user:PA196491919</vt:lpwstr>
  </property>
</Properties>
</file>