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sectPr>
      </w:pPr>
    </w:p>
    <w:p>
      <w:pPr>
        <w:pStyle w:val="Heading1"/>
        <w:keepNext w:val="0"/>
        <w:spacing w:before="0" w:after="60" w:line="340" w:lineRule="atLeast"/>
        <w:ind w:left="120" w:right="0" w:firstLine="0"/>
        <w:jc w:val="center"/>
      </w:pPr>
      <w:r>
        <w:rPr>
          <w:rFonts w:ascii="arial" w:eastAsia="arial" w:hAnsi="arial" w:cs="arial"/>
          <w:b/>
          <w:i w:val="0"/>
          <w:strike w:val="0"/>
          <w:noProof w:val="0"/>
          <w:color w:val="0077CC"/>
          <w:position w:val="0"/>
          <w:sz w:val="28"/>
          <w:u w:val="none"/>
          <w:vertAlign w:val="baseline"/>
        </w:rPr>
        <w:t>Menagah Dewi a/p Nagarasi v Tan Swee Im, Siva &amp; Partners  [2024] ILJU 328</w:t>
      </w:r>
    </w:p>
    <w:p>
      <w:pPr>
        <w:keepNext w:val="0"/>
        <w:spacing w:before="120" w:after="0" w:line="260" w:lineRule="atLeast"/>
        <w:ind w:left="0" w:right="0" w:firstLine="0"/>
        <w:jc w:val="center"/>
      </w:pPr>
      <w:r>
        <w:rPr>
          <w:rFonts w:ascii="arial" w:eastAsia="arial" w:hAnsi="arial" w:cs="arial"/>
          <w:b w:val="0"/>
          <w:i w:val="0"/>
          <w:strike w:val="0"/>
          <w:noProof w:val="0"/>
          <w:color w:val="6D6E71"/>
          <w:position w:val="0"/>
          <w:sz w:val="20"/>
          <w:u w:val="none"/>
          <w:vertAlign w:val="baseline"/>
        </w:rPr>
        <w:t>Industrial Law Journal Unreported  (ILJU)</w:t>
      </w:r>
    </w:p>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INDUSTRIAL COURT (KUALA LUMPUR)</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SALAHUDIN HIDAYAT SHARIFF C</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AWARD NO 1072 OF 2024</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17 July 2024</w:t>
      </w:r>
      <w:bookmarkStart w:id="0" w:name="Representation"/>
      <w:bookmarkEnd w:id="0"/>
    </w:p>
    <w:p>
      <w:pPr>
        <w:keepNext w:val="0"/>
        <w:spacing w:before="240" w:after="0" w:line="300" w:lineRule="atLeast"/>
        <w:ind w:left="360" w:right="0" w:firstLine="0"/>
        <w:jc w:val="left"/>
      </w:pPr>
      <w:r>
        <w:rPr>
          <w:rFonts w:ascii="arial" w:eastAsia="arial" w:hAnsi="arial" w:cs="arial"/>
          <w:b w:val="0"/>
          <w:i/>
          <w:strike w:val="0"/>
          <w:noProof w:val="0"/>
          <w:color w:val="000000"/>
          <w:position w:val="0"/>
          <w:sz w:val="24"/>
          <w:u w:val="none"/>
          <w:vertAlign w:val="baseline"/>
        </w:rPr>
        <w:t>Alfred Iruthiarajoo (Malaysian Trades Union Malaysia (MTUC)) for the claimant.</w:t>
      </w:r>
    </w:p>
    <w:p>
      <w:pPr>
        <w:keepNext w:val="0"/>
        <w:spacing w:after="0" w:line="300" w:lineRule="atLeast"/>
        <w:ind w:left="360" w:right="0" w:firstLine="0"/>
        <w:jc w:val="left"/>
      </w:pPr>
      <w:r>
        <w:rPr>
          <w:rFonts w:ascii="arial" w:eastAsia="arial" w:hAnsi="arial" w:cs="arial"/>
          <w:b w:val="0"/>
          <w:i/>
          <w:strike w:val="0"/>
          <w:noProof w:val="0"/>
          <w:color w:val="000000"/>
          <w:position w:val="0"/>
          <w:sz w:val="24"/>
          <w:u w:val="none"/>
          <w:vertAlign w:val="baseline"/>
        </w:rPr>
        <w:t>Pramod Nambiar (with Sivabalan Sankaran) (Tan Swee Im, Siva &amp; Partners) for the company.</w:t>
      </w:r>
    </w:p>
    <w:p>
      <w:pPr>
        <w:spacing w:line="200" w:lineRule="exact"/>
      </w:pPr>
    </w:p>
    <w:p/>
    <w:tbl>
      <w:tblPr>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304"/>
      </w:tblGrid>
      <w:tr>
        <w:tblPrEx>
          <w:tblW w:w="0" w:type="auto"/>
          <w:tblInd w:w="120" w:type="dxa"/>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after="0" w:line="360" w:lineRule="atLeast"/>
              <w:ind w:left="0"/>
              <w:jc w:val="left"/>
            </w:pPr>
            <w:bookmarkStart w:id="1" w:name="Salahudin Hidayat Shariff C"/>
            <w:bookmarkEnd w:id="1"/>
            <w:r>
              <w:rPr>
                <w:rFonts w:ascii="arial" w:eastAsia="arial" w:hAnsi="arial" w:cs="arial"/>
                <w:b/>
                <w:i w:val="0"/>
                <w:strike w:val="0"/>
                <w:noProof w:val="0"/>
                <w:color w:val="000000"/>
                <w:position w:val="0"/>
                <w:sz w:val="30"/>
                <w:u w:val="none"/>
                <w:vertAlign w:val="baseline"/>
              </w:rPr>
              <w:t>Salahudin Hidayat Shariff C:</w:t>
            </w:r>
          </w:p>
        </w:tc>
      </w:tr>
    </w:tbl>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REFERENCE:</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 xml:space="preserve">This is a reference dated 9 January 2023 made by the Director General of Industrial Relations pursuant to subsection 20(3) of the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arising out of the dismissal of </w:t>
      </w:r>
      <w:r>
        <w:rPr>
          <w:rFonts w:ascii="arial" w:eastAsia="arial" w:hAnsi="arial" w:cs="arial"/>
          <w:b/>
          <w:i w:val="0"/>
          <w:strike w:val="0"/>
          <w:noProof w:val="0"/>
          <w:color w:val="000000"/>
          <w:position w:val="0"/>
          <w:sz w:val="24"/>
          <w:u w:val="none"/>
          <w:vertAlign w:val="baseline"/>
        </w:rPr>
        <w:t>Menagah Dewi a/p Nagarasi</w:t>
      </w:r>
      <w:r>
        <w:rPr>
          <w:rFonts w:ascii="arial" w:eastAsia="arial" w:hAnsi="arial" w:cs="arial"/>
          <w:b w:val="0"/>
          <w:i w:val="0"/>
          <w:strike w:val="0"/>
          <w:noProof w:val="0"/>
          <w:color w:val="000000"/>
          <w:position w:val="0"/>
          <w:sz w:val="24"/>
          <w:u w:val="none"/>
          <w:vertAlign w:val="baseline"/>
        </w:rPr>
        <w:t xml:space="preserve"> (“the Claimant”) by </w:t>
      </w:r>
      <w:r>
        <w:rPr>
          <w:rFonts w:ascii="arial" w:eastAsia="arial" w:hAnsi="arial" w:cs="arial"/>
          <w:b/>
          <w:i w:val="0"/>
          <w:strike w:val="0"/>
          <w:noProof w:val="0"/>
          <w:color w:val="000000"/>
          <w:position w:val="0"/>
          <w:sz w:val="24"/>
          <w:u w:val="none"/>
          <w:vertAlign w:val="baseline"/>
        </w:rPr>
        <w:t>Tan Swee Im, Siva &amp; Partners</w:t>
      </w:r>
      <w:r>
        <w:rPr>
          <w:rFonts w:ascii="arial" w:eastAsia="arial" w:hAnsi="arial" w:cs="arial"/>
          <w:b w:val="0"/>
          <w:i w:val="0"/>
          <w:strike w:val="0"/>
          <w:noProof w:val="0"/>
          <w:color w:val="000000"/>
          <w:position w:val="0"/>
          <w:sz w:val="24"/>
          <w:u w:val="none"/>
          <w:vertAlign w:val="baseline"/>
        </w:rPr>
        <w:t xml:space="preserve"> (“the Company”) on 28 February 2022.</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AWARD</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BRIEF FACTS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w:t>
      </w:r>
      <w:r>
        <w:rPr>
          <w:rFonts w:ascii="arial" w:eastAsia="arial" w:hAnsi="arial" w:cs="arial"/>
          <w:b w:val="0"/>
          <w:i w:val="0"/>
          <w:strike w:val="0"/>
          <w:noProof w:val="0"/>
          <w:color w:val="000000"/>
          <w:position w:val="0"/>
          <w:sz w:val="24"/>
          <w:u w:val="none"/>
          <w:vertAlign w:val="baseline"/>
        </w:rPr>
        <w:t>  The Claimant started work at the Company on 1 July 2003 as an Administration Clerk via an Offer of Employment letter dated 20 June 2003 at the Company’s old name namely Tan Swee Im &amp; Co. The Claimant was confirmed on 1 January 2004 via letter dated on the same day. The Claimant continued to work at the Company until termination on 28 February 2022 via letter dated 26 January 2022. The Claimant has worked in the Company for about 17 years and 8 months.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w:t>
      </w:r>
      <w:r>
        <w:rPr>
          <w:rFonts w:ascii="arial" w:eastAsia="arial" w:hAnsi="arial" w:cs="arial"/>
          <w:b w:val="0"/>
          <w:i w:val="0"/>
          <w:strike w:val="0"/>
          <w:noProof w:val="0"/>
          <w:color w:val="000000"/>
          <w:position w:val="0"/>
          <w:sz w:val="24"/>
          <w:u w:val="none"/>
          <w:vertAlign w:val="baseline"/>
        </w:rPr>
        <w:t xml:space="preserve">  The Company is a law firm established on 1 July 1999 with offices in Johor Bahru and Kuala Lumpur. The Company went through a change of management in 2015, with </w:t>
      </w:r>
      <w:r>
        <w:rPr>
          <w:rFonts w:ascii="arial" w:eastAsia="arial" w:hAnsi="arial" w:cs="arial"/>
          <w:b w:val="0"/>
          <w:i/>
          <w:strike w:val="0"/>
          <w:noProof w:val="0"/>
          <w:color w:val="000000"/>
          <w:position w:val="0"/>
          <w:sz w:val="24"/>
          <w:u w:val="none"/>
          <w:vertAlign w:val="baseline"/>
        </w:rPr>
        <w:t>COW-1</w:t>
      </w:r>
      <w:r>
        <w:rPr>
          <w:rFonts w:ascii="arial" w:eastAsia="arial" w:hAnsi="arial" w:cs="arial"/>
          <w:b w:val="0"/>
          <w:i w:val="0"/>
          <w:strike w:val="0"/>
          <w:noProof w:val="0"/>
          <w:color w:val="000000"/>
          <w:position w:val="0"/>
          <w:sz w:val="24"/>
          <w:u w:val="none"/>
          <w:vertAlign w:val="baseline"/>
        </w:rPr>
        <w:t xml:space="preserve"> joining and taking over the Company.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w:t>
      </w:r>
      <w:r>
        <w:rPr>
          <w:rFonts w:ascii="arial" w:eastAsia="arial" w:hAnsi="arial" w:cs="arial"/>
          <w:b w:val="0"/>
          <w:i w:val="0"/>
          <w:strike w:val="0"/>
          <w:noProof w:val="0"/>
          <w:color w:val="000000"/>
          <w:position w:val="0"/>
          <w:sz w:val="24"/>
          <w:u w:val="none"/>
          <w:vertAlign w:val="baseline"/>
        </w:rPr>
        <w:t>  The Company filed an application in a letter to amend the Statement in Reply, the letter at enclosure 21. Since the Claimant had no objection, the Court allowed the application to amend the Statement in Reply in the Award No.: 1921 Tahun 2023. The Court also instructed the parties to file the Amended Rejoinder after the Amended Statement in Reply.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w:t>
      </w:r>
      <w:r>
        <w:rPr>
          <w:rFonts w:ascii="arial" w:eastAsia="arial" w:hAnsi="arial" w:cs="arial"/>
          <w:b w:val="0"/>
          <w:i w:val="0"/>
          <w:strike w:val="0"/>
          <w:noProof w:val="0"/>
          <w:color w:val="000000"/>
          <w:position w:val="0"/>
          <w:sz w:val="24"/>
          <w:u w:val="none"/>
          <w:vertAlign w:val="baseline"/>
        </w:rPr>
        <w:t>  According to the Company, the Claimant received several verbal warnings on her tardiness and and after the pandemic, the Company felt that Claimant’s performance was poor and had to be let go. Previously, the Claimant had received a first warning letter on 2 August 2012. There were no other warning letters or other disciplinary issues against the Claimant throughout the Claimants tenure at the Company.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w:t>
      </w:r>
      <w:r>
        <w:rPr>
          <w:rFonts w:ascii="arial" w:eastAsia="arial" w:hAnsi="arial" w:cs="arial"/>
          <w:b w:val="0"/>
          <w:i w:val="0"/>
          <w:strike w:val="0"/>
          <w:noProof w:val="0"/>
          <w:color w:val="000000"/>
          <w:position w:val="0"/>
          <w:sz w:val="24"/>
          <w:u w:val="none"/>
          <w:vertAlign w:val="baseline"/>
        </w:rPr>
        <w:t>  There was no warning letter, show cause letter, or a Domestic Inquiry (“DI”) held by the Company and instead the Claimant was only given the termination letter effective 28 February 2022. The termination letter was silent on the grounds of termination.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w:t>
      </w:r>
      <w:r>
        <w:rPr>
          <w:rFonts w:ascii="arial" w:eastAsia="arial" w:hAnsi="arial" w:cs="arial"/>
          <w:b w:val="0"/>
          <w:i w:val="0"/>
          <w:strike w:val="0"/>
          <w:noProof w:val="0"/>
          <w:color w:val="000000"/>
          <w:position w:val="0"/>
          <w:sz w:val="24"/>
          <w:u w:val="none"/>
          <w:vertAlign w:val="baseline"/>
        </w:rPr>
        <w:t>  Dissatisfied, the Claimant filed for an action in the Department of Industrial Relations where the Company offered to reinstate her. However, the reinstatement was rejected because the parties could not agree on the issue of backwages.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[7]</w:t>
      </w:r>
      <w:r>
        <w:rPr>
          <w:rFonts w:ascii="arial" w:eastAsia="arial" w:hAnsi="arial" w:cs="arial"/>
          <w:b w:val="0"/>
          <w:i w:val="0"/>
          <w:strike w:val="0"/>
          <w:noProof w:val="0"/>
          <w:color w:val="000000"/>
          <w:position w:val="0"/>
          <w:sz w:val="24"/>
          <w:u w:val="none"/>
          <w:vertAlign w:val="baseline"/>
        </w:rPr>
        <w:t>  The Court has gone through the evidence as given through testimony in Court and the documents and submission that have been filed. Those documents and submissions are listed for ease of reference as follows:</w:t>
      </w:r>
      <w:r>
        <w:t>
</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Statement of Case dated 18 October 2023;</w:t>
      </w:r>
    </w:p>
    <w:p>
      <w:pPr>
        <w:keepNext w:val="0"/>
        <w:numPr>
          <w:numId w:val="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Amended Statement in Reply dated 15 August 2023;</w:t>
      </w:r>
    </w:p>
    <w:p>
      <w:pPr>
        <w:keepNext w:val="0"/>
        <w:numPr>
          <w:numId w:val="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Rejoinder dated 10 April 2023;</w:t>
      </w:r>
    </w:p>
    <w:p>
      <w:pPr>
        <w:keepNext w:val="0"/>
        <w:numPr>
          <w:numId w:val="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Amended Rejoinder dated 18 October 2023;</w:t>
      </w:r>
    </w:p>
    <w:p>
      <w:pPr>
        <w:keepNext w:val="0"/>
        <w:numPr>
          <w:numId w:val="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Claimant’s Bundle of Documents 1 filed on 12 January 2024 marked as exhibit </w:t>
      </w:r>
      <w:r>
        <w:rPr>
          <w:rFonts w:ascii="arial" w:eastAsia="arial" w:hAnsi="arial" w:cs="arial"/>
          <w:b w:val="0"/>
          <w:i/>
          <w:strike w:val="0"/>
          <w:noProof w:val="0"/>
          <w:color w:val="000000"/>
          <w:position w:val="0"/>
          <w:sz w:val="24"/>
          <w:u w:val="none"/>
          <w:vertAlign w:val="baseline"/>
        </w:rPr>
        <w:t>CLB-1</w:t>
      </w:r>
      <w:r>
        <w:rPr>
          <w:rFonts w:ascii="arial" w:eastAsia="arial" w:hAnsi="arial" w:cs="arial"/>
          <w:b w:val="0"/>
          <w:i w:val="0"/>
          <w:strike w:val="0"/>
          <w:noProof w:val="0"/>
          <w:color w:val="000000"/>
          <w:position w:val="0"/>
          <w:sz w:val="24"/>
          <w:u w:val="none"/>
          <w:vertAlign w:val="baseline"/>
        </w:rPr>
        <w:t>;</w:t>
      </w:r>
    </w:p>
    <w:p>
      <w:pPr>
        <w:keepNext w:val="0"/>
        <w:numPr>
          <w:numId w:val="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Company’s Bundle of Documents filed on 11 January 2024 marked as exhibit </w:t>
      </w:r>
      <w:r>
        <w:rPr>
          <w:rFonts w:ascii="arial" w:eastAsia="arial" w:hAnsi="arial" w:cs="arial"/>
          <w:b w:val="0"/>
          <w:i/>
          <w:strike w:val="0"/>
          <w:noProof w:val="0"/>
          <w:color w:val="000000"/>
          <w:position w:val="0"/>
          <w:sz w:val="24"/>
          <w:u w:val="none"/>
          <w:vertAlign w:val="baseline"/>
        </w:rPr>
        <w:t>COB-1</w:t>
      </w:r>
      <w:r>
        <w:rPr>
          <w:rFonts w:ascii="arial" w:eastAsia="arial" w:hAnsi="arial" w:cs="arial"/>
          <w:b w:val="0"/>
          <w:i w:val="0"/>
          <w:strike w:val="0"/>
          <w:noProof w:val="0"/>
          <w:color w:val="000000"/>
          <w:position w:val="0"/>
          <w:sz w:val="24"/>
          <w:u w:val="none"/>
          <w:vertAlign w:val="baseline"/>
        </w:rPr>
        <w:t>;</w:t>
      </w:r>
    </w:p>
    <w:p>
      <w:pPr>
        <w:keepNext w:val="0"/>
        <w:numPr>
          <w:numId w:val="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Company’s Witness Statement of Sivabalan a/l Sankaran signed on 29 January 2024 marked as exhibit </w:t>
      </w:r>
      <w:r>
        <w:rPr>
          <w:rFonts w:ascii="arial" w:eastAsia="arial" w:hAnsi="arial" w:cs="arial"/>
          <w:b w:val="0"/>
          <w:i/>
          <w:strike w:val="0"/>
          <w:noProof w:val="0"/>
          <w:color w:val="000000"/>
          <w:position w:val="0"/>
          <w:sz w:val="24"/>
          <w:u w:val="none"/>
          <w:vertAlign w:val="baseline"/>
        </w:rPr>
        <w:t>COWS-1</w:t>
      </w:r>
      <w:r>
        <w:rPr>
          <w:rFonts w:ascii="arial" w:eastAsia="arial" w:hAnsi="arial" w:cs="arial"/>
          <w:b w:val="0"/>
          <w:i w:val="0"/>
          <w:strike w:val="0"/>
          <w:noProof w:val="0"/>
          <w:color w:val="000000"/>
          <w:position w:val="0"/>
          <w:sz w:val="24"/>
          <w:u w:val="none"/>
          <w:vertAlign w:val="baseline"/>
        </w:rPr>
        <w:t>;</w:t>
      </w:r>
    </w:p>
    <w:p>
      <w:pPr>
        <w:keepNext w:val="0"/>
        <w:numPr>
          <w:numId w:val="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Claimant’s Witness Statement signed on 29 January 2024 marked as exhibit </w:t>
      </w:r>
      <w:r>
        <w:rPr>
          <w:rFonts w:ascii="arial" w:eastAsia="arial" w:hAnsi="arial" w:cs="arial"/>
          <w:b w:val="0"/>
          <w:i/>
          <w:strike w:val="0"/>
          <w:noProof w:val="0"/>
          <w:color w:val="000000"/>
          <w:position w:val="0"/>
          <w:sz w:val="24"/>
          <w:u w:val="none"/>
          <w:vertAlign w:val="baseline"/>
        </w:rPr>
        <w:t>CLWS-1</w:t>
      </w:r>
      <w:r>
        <w:rPr>
          <w:rFonts w:ascii="arial" w:eastAsia="arial" w:hAnsi="arial" w:cs="arial"/>
          <w:b w:val="0"/>
          <w:i w:val="0"/>
          <w:strike w:val="0"/>
          <w:noProof w:val="0"/>
          <w:color w:val="000000"/>
          <w:position w:val="0"/>
          <w:sz w:val="24"/>
          <w:u w:val="none"/>
          <w:vertAlign w:val="baseline"/>
        </w:rPr>
        <w:t>;</w:t>
      </w:r>
    </w:p>
    <w:p>
      <w:pPr>
        <w:keepNext w:val="0"/>
        <w:numPr>
          <w:numId w:val="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Written Submission of the Company dated 29 March 2024;</w:t>
      </w:r>
    </w:p>
    <w:p>
      <w:pPr>
        <w:keepNext w:val="0"/>
        <w:numPr>
          <w:numId w:val="1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Company’s Bundle of Authorities Volume 1 filed on 2 April 2024;</w:t>
      </w:r>
    </w:p>
    <w:p>
      <w:pPr>
        <w:keepNext w:val="0"/>
        <w:numPr>
          <w:numId w:val="1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Company’s Bundle of Authorities Volume 2 filed on 2 April 2024;</w:t>
      </w:r>
    </w:p>
    <w:p>
      <w:pPr>
        <w:keepNext w:val="0"/>
        <w:numPr>
          <w:numId w:val="1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Written Submission dated 29 March 2024;</w:t>
      </w:r>
    </w:p>
    <w:p>
      <w:pPr>
        <w:keepNext w:val="0"/>
        <w:numPr>
          <w:numId w:val="1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Bundle of Authorities filed on 2 April 2024;</w:t>
      </w:r>
    </w:p>
    <w:p>
      <w:pPr>
        <w:keepNext w:val="0"/>
        <w:numPr>
          <w:numId w:val="1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Written Submissions-in-Reply of the Company dated 12 April 2024;</w:t>
      </w:r>
    </w:p>
    <w:p>
      <w:pPr>
        <w:keepNext w:val="0"/>
        <w:numPr>
          <w:numId w:val="1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Company’s Bundle of Authorities 2 filed on 19 April 2024;</w:t>
      </w:r>
    </w:p>
    <w:p>
      <w:pPr>
        <w:keepNext w:val="0"/>
        <w:numPr>
          <w:numId w:val="1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Submission in Reply dated 19 April 2024; and</w:t>
      </w:r>
    </w:p>
    <w:p>
      <w:pPr>
        <w:keepNext w:val="0"/>
        <w:numPr>
          <w:numId w:val="1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Bundle of Authorities (Submission in Reply) Volume 2 filed on 22 April 2024.</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THE DECISION</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The Role of the Court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[8]</w:t>
      </w:r>
      <w:r>
        <w:rPr>
          <w:rFonts w:ascii="arial" w:eastAsia="arial" w:hAnsi="arial" w:cs="arial"/>
          <w:b w:val="0"/>
          <w:i w:val="0"/>
          <w:strike w:val="0"/>
          <w:noProof w:val="0"/>
          <w:color w:val="000000"/>
          <w:position w:val="0"/>
          <w:sz w:val="24"/>
          <w:u w:val="none"/>
          <w:vertAlign w:val="baseline"/>
        </w:rPr>
        <w:t xml:space="preserve">  Before proceeding with the full award, the Court reiterates its stand regarding the role of the Court in a matter referred under subsection 20(3)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in its reported cases of </w:t>
      </w:r>
      <w:r>
        <w:rPr>
          <w:rFonts w:ascii="arial" w:eastAsia="arial" w:hAnsi="arial" w:cs="arial"/>
          <w:b w:val="0"/>
          <w:i/>
          <w:strike w:val="0"/>
          <w:noProof w:val="0"/>
          <w:color w:val="000000"/>
          <w:position w:val="0"/>
          <w:sz w:val="24"/>
          <w:u w:val="none"/>
          <w:vertAlign w:val="baseline"/>
        </w:rPr>
        <w:t xml:space="preserve">Badariah Abdullah lwn. Malaysia Airports (Sepang) Sdn Bhd  </w:t>
      </w:r>
      <w:r>
        <w:rPr>
          <w:rFonts w:ascii="arial" w:eastAsia="arial" w:hAnsi="arial" w:cs="arial"/>
          <w:b w:val="0"/>
          <w:i w:val="0"/>
          <w:strike w:val="0"/>
          <w:noProof w:val="0"/>
          <w:color w:val="000000"/>
          <w:position w:val="0"/>
          <w:sz w:val="24"/>
          <w:u w:val="none"/>
          <w:vertAlign w:val="baseline"/>
        </w:rPr>
        <w:t xml:space="preserve">[2023] 2 LNS 1546, </w:t>
      </w:r>
      <w:r>
        <w:rPr>
          <w:rFonts w:ascii="arial" w:eastAsia="arial" w:hAnsi="arial" w:cs="arial"/>
          <w:b w:val="0"/>
          <w:i/>
          <w:strike w:val="0"/>
          <w:noProof w:val="0"/>
          <w:color w:val="000000"/>
          <w:position w:val="0"/>
          <w:sz w:val="24"/>
          <w:u w:val="none"/>
          <w:vertAlign w:val="baseline"/>
        </w:rPr>
        <w:t xml:space="preserve">Nor Azlina Abd Rahim lwn. Jurukur Perunding Services Sdn Bhd  </w:t>
      </w:r>
      <w:r>
        <w:rPr>
          <w:rFonts w:ascii="arial" w:eastAsia="arial" w:hAnsi="arial" w:cs="arial"/>
          <w:b w:val="0"/>
          <w:i w:val="0"/>
          <w:strike w:val="0"/>
          <w:noProof w:val="0"/>
          <w:color w:val="000000"/>
          <w:position w:val="0"/>
          <w:sz w:val="24"/>
          <w:u w:val="none"/>
          <w:vertAlign w:val="baseline"/>
        </w:rPr>
        <w:t xml:space="preserve">[2023] MELRU 1728 and </w:t>
      </w:r>
      <w:r>
        <w:rPr>
          <w:rFonts w:ascii="arial" w:eastAsia="arial" w:hAnsi="arial" w:cs="arial"/>
          <w:b w:val="0"/>
          <w:i/>
          <w:strike w:val="0"/>
          <w:noProof w:val="0"/>
          <w:color w:val="000000"/>
          <w:position w:val="0"/>
          <w:sz w:val="24"/>
          <w:u w:val="none"/>
          <w:vertAlign w:val="baseline"/>
        </w:rPr>
        <w:t xml:space="preserve">Chong Jee Fatt v. Tee E &amp; C (Malaysia) Sdn. Bhd.  </w:t>
      </w:r>
      <w:r>
        <w:rPr>
          <w:rFonts w:ascii="arial" w:eastAsia="arial" w:hAnsi="arial" w:cs="arial"/>
          <w:b w:val="0"/>
          <w:i w:val="0"/>
          <w:strike w:val="0"/>
          <w:noProof w:val="0"/>
          <w:color w:val="000000"/>
          <w:position w:val="0"/>
          <w:sz w:val="24"/>
          <w:u w:val="none"/>
          <w:vertAlign w:val="baseline"/>
        </w:rPr>
        <w:t xml:space="preserve">[2023] 3 ILR 204. The Court refered to the oft-cited Supreme Court case of </w:t>
      </w:r>
      <w:r>
        <w:rPr>
          <w:rFonts w:ascii="arial" w:eastAsia="arial" w:hAnsi="arial" w:cs="arial"/>
          <w:b w:val="0"/>
          <w:i/>
          <w:strike w:val="0"/>
          <w:noProof w:val="0"/>
          <w:color w:val="000000"/>
          <w:position w:val="0"/>
          <w:sz w:val="24"/>
          <w:u w:val="none"/>
          <w:vertAlign w:val="baseline"/>
        </w:rPr>
        <w:t xml:space="preserve">Wong Chee Hong v. Cathay Organisation Malaysia Sdn Bhd.  </w:t>
      </w:r>
      <w:r>
        <w:rPr>
          <w:rFonts w:ascii="arial" w:eastAsia="arial" w:hAnsi="arial" w:cs="arial"/>
          <w:b w:val="0"/>
          <w:i w:val="0"/>
          <w:strike w:val="0"/>
          <w:noProof w:val="0"/>
          <w:color w:val="000000"/>
          <w:position w:val="0"/>
          <w:sz w:val="24"/>
          <w:u w:val="none"/>
          <w:vertAlign w:val="baseline"/>
        </w:rPr>
        <w:t xml:space="preserve">[1988] 1 CLJ 45 and the Federal Court case of </w:t>
      </w:r>
      <w:r>
        <w:rPr>
          <w:rFonts w:ascii="arial" w:eastAsia="arial" w:hAnsi="arial" w:cs="arial"/>
          <w:b w:val="0"/>
          <w:i/>
          <w:strike w:val="0"/>
          <w:noProof w:val="0"/>
          <w:color w:val="000000"/>
          <w:position w:val="0"/>
          <w:sz w:val="24"/>
          <w:u w:val="none"/>
          <w:vertAlign w:val="baseline"/>
        </w:rPr>
        <w:t xml:space="preserve">Goon Kwee Phoy v J &amp; P Coats (M) Bhd.  </w:t>
      </w:r>
      <w:r>
        <w:rPr>
          <w:rFonts w:ascii="arial" w:eastAsia="arial" w:hAnsi="arial" w:cs="arial"/>
          <w:b w:val="0"/>
          <w:i w:val="0"/>
          <w:strike w:val="0"/>
          <w:noProof w:val="0"/>
          <w:color w:val="000000"/>
          <w:position w:val="0"/>
          <w:sz w:val="24"/>
          <w:u w:val="none"/>
          <w:vertAlign w:val="baseline"/>
        </w:rPr>
        <w:t>[1981] 2 MLJ 129. The accepted principles in those cases are clear and needs no further elaboration.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[9]</w:t>
      </w:r>
      <w:r>
        <w:rPr>
          <w:rFonts w:ascii="arial" w:eastAsia="arial" w:hAnsi="arial" w:cs="arial"/>
          <w:b w:val="0"/>
          <w:i w:val="0"/>
          <w:strike w:val="0"/>
          <w:noProof w:val="0"/>
          <w:color w:val="000000"/>
          <w:position w:val="0"/>
          <w:sz w:val="24"/>
          <w:u w:val="none"/>
          <w:vertAlign w:val="baseline"/>
        </w:rPr>
        <w:t>  The Court feels that it is not prudent to repeat the same, so parties can view the explanation in the cases mentioned above. Succintly, the Court’s general duty is to determine whether there was a termination or dismissal, and that the termination or dismissal was just and fair. In this case the Claimant was clearly dismissed on the grounds of, according to the Company, poor performance.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[10]</w:t>
      </w:r>
      <w:r>
        <w:rPr>
          <w:rFonts w:ascii="arial" w:eastAsia="arial" w:hAnsi="arial" w:cs="arial"/>
          <w:b w:val="0"/>
          <w:i w:val="0"/>
          <w:strike w:val="0"/>
          <w:noProof w:val="0"/>
          <w:color w:val="000000"/>
          <w:position w:val="0"/>
          <w:sz w:val="24"/>
          <w:u w:val="none"/>
          <w:vertAlign w:val="baseline"/>
        </w:rPr>
        <w:t>  Before venturing further into the Award, the Court would like to highlight first the issue of burden of proof for this case. This is important to ascertain whether the parties have managed to prove their case to this Court.</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The Burden and Onus of Proof</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[11]</w:t>
      </w:r>
      <w:r>
        <w:rPr>
          <w:rFonts w:ascii="arial" w:eastAsia="arial" w:hAnsi="arial" w:cs="arial"/>
          <w:b w:val="0"/>
          <w:i w:val="0"/>
          <w:strike w:val="0"/>
          <w:noProof w:val="0"/>
          <w:color w:val="000000"/>
          <w:position w:val="0"/>
          <w:sz w:val="24"/>
          <w:u w:val="none"/>
          <w:vertAlign w:val="baseline"/>
        </w:rPr>
        <w:t xml:space="preserve">  The Court refers to its previous case of </w:t>
      </w:r>
      <w:r>
        <w:rPr>
          <w:rFonts w:ascii="arial" w:eastAsia="arial" w:hAnsi="arial" w:cs="arial"/>
          <w:b w:val="0"/>
          <w:i/>
          <w:strike w:val="0"/>
          <w:noProof w:val="0"/>
          <w:color w:val="000000"/>
          <w:position w:val="0"/>
          <w:sz w:val="24"/>
          <w:u w:val="none"/>
          <w:vertAlign w:val="baseline"/>
        </w:rPr>
        <w:t xml:space="preserve">Mohamad Suffian Ismail v. Seacera Group Berhad  </w:t>
      </w:r>
      <w:r>
        <w:rPr>
          <w:rFonts w:ascii="arial" w:eastAsia="arial" w:hAnsi="arial" w:cs="arial"/>
          <w:b w:val="0"/>
          <w:i w:val="0"/>
          <w:strike w:val="0"/>
          <w:noProof w:val="0"/>
          <w:color w:val="000000"/>
          <w:position w:val="0"/>
          <w:sz w:val="24"/>
          <w:u w:val="none"/>
          <w:vertAlign w:val="baseline"/>
        </w:rPr>
        <w:t xml:space="preserve">[2023] MELRU 2317 whereby this Court refers to the Court of Appeal case of </w:t>
      </w:r>
      <w:r>
        <w:rPr>
          <w:rFonts w:ascii="arial" w:eastAsia="arial" w:hAnsi="arial" w:cs="arial"/>
          <w:b w:val="0"/>
          <w:i/>
          <w:strike w:val="0"/>
          <w:noProof w:val="0"/>
          <w:color w:val="000000"/>
          <w:position w:val="0"/>
          <w:sz w:val="24"/>
          <w:u w:val="none"/>
          <w:vertAlign w:val="baseline"/>
        </w:rPr>
        <w:t xml:space="preserve">Telekom Malaysia Kawasan Utara v. Krishnan Kutty Sanguni Nair &amp; Anor  </w:t>
      </w:r>
      <w:r>
        <w:rPr>
          <w:rFonts w:ascii="arial" w:eastAsia="arial" w:hAnsi="arial" w:cs="arial"/>
          <w:b w:val="0"/>
          <w:i w:val="0"/>
          <w:strike w:val="0"/>
          <w:noProof w:val="0"/>
          <w:color w:val="000000"/>
          <w:position w:val="0"/>
          <w:sz w:val="24"/>
          <w:u w:val="none"/>
          <w:vertAlign w:val="baseline"/>
        </w:rPr>
        <w:t xml:space="preserve">[2002] 3 CLJ 314 and the case of </w:t>
      </w:r>
      <w:r>
        <w:rPr>
          <w:rFonts w:ascii="arial" w:eastAsia="arial" w:hAnsi="arial" w:cs="arial"/>
          <w:b w:val="0"/>
          <w:i/>
          <w:strike w:val="0"/>
          <w:noProof w:val="0"/>
          <w:color w:val="000000"/>
          <w:position w:val="0"/>
          <w:sz w:val="24"/>
          <w:u w:val="none"/>
          <w:vertAlign w:val="baseline"/>
        </w:rPr>
        <w:t xml:space="preserve">International Times &amp; Ors v. Leong Ho Yuen  </w:t>
      </w:r>
      <w:r>
        <w:rPr>
          <w:rFonts w:ascii="arial" w:eastAsia="arial" w:hAnsi="arial" w:cs="arial"/>
          <w:b w:val="0"/>
          <w:i w:val="0"/>
          <w:strike w:val="0"/>
          <w:noProof w:val="0"/>
          <w:color w:val="000000"/>
          <w:position w:val="0"/>
          <w:sz w:val="24"/>
          <w:u w:val="none"/>
          <w:vertAlign w:val="baseline"/>
        </w:rPr>
        <w:t>[1980] 1 MLJ 86</w:t>
      </w:r>
      <w:r>
        <w:rPr>
          <w:rFonts w:ascii="arial" w:eastAsia="arial" w:hAnsi="arial" w:cs="arial"/>
          <w:b/>
          <w:i/>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[12]</w:t>
      </w:r>
      <w:r>
        <w:rPr>
          <w:rFonts w:ascii="arial" w:eastAsia="arial" w:hAnsi="arial" w:cs="arial"/>
          <w:b w:val="0"/>
          <w:i w:val="0"/>
          <w:strike w:val="0"/>
          <w:noProof w:val="0"/>
          <w:color w:val="000000"/>
          <w:position w:val="0"/>
          <w:sz w:val="24"/>
          <w:u w:val="none"/>
          <w:vertAlign w:val="baseline"/>
        </w:rPr>
        <w:t xml:space="preserve">  Both the cases cited in the </w:t>
      </w:r>
      <w:r>
        <w:rPr>
          <w:rFonts w:ascii="arial" w:eastAsia="arial" w:hAnsi="arial" w:cs="arial"/>
          <w:b/>
          <w:i/>
          <w:strike w:val="0"/>
          <w:noProof w:val="0"/>
          <w:color w:val="000000"/>
          <w:position w:val="0"/>
          <w:sz w:val="24"/>
          <w:u w:val="none"/>
          <w:vertAlign w:val="baseline"/>
        </w:rPr>
        <w:t>Mohamad Suffian</w:t>
      </w:r>
      <w:r>
        <w:rPr>
          <w:rFonts w:ascii="arial" w:eastAsia="arial" w:hAnsi="arial" w:cs="arial"/>
          <w:b w:val="0"/>
          <w:i w:val="0"/>
          <w:strike w:val="0"/>
          <w:noProof w:val="0"/>
          <w:color w:val="000000"/>
          <w:position w:val="0"/>
          <w:sz w:val="24"/>
          <w:u w:val="none"/>
          <w:vertAlign w:val="baseline"/>
        </w:rPr>
        <w:t xml:space="preserve"> case above are the standard and burden of proof required by the Court and will be used when scrutinising this case. It is important to emphasise these factors because the entire case is beholden to the evidence submitted, the burden and standard of the proof of the case of both parties.</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Preliminary Objections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[13]</w:t>
      </w:r>
      <w:r>
        <w:rPr>
          <w:rFonts w:ascii="arial" w:eastAsia="arial" w:hAnsi="arial" w:cs="arial"/>
          <w:b w:val="0"/>
          <w:i w:val="0"/>
          <w:strike w:val="0"/>
          <w:noProof w:val="0"/>
          <w:color w:val="000000"/>
          <w:position w:val="0"/>
          <w:sz w:val="24"/>
          <w:u w:val="none"/>
          <w:vertAlign w:val="baseline"/>
        </w:rPr>
        <w:t>  The Court will proceed with the two preliminary issues raised by the Company. Those preliminary issues are as follows:</w:t>
      </w:r>
      <w:r>
        <w:t>
</w:t>
      </w:r>
    </w:p>
    <w:p>
      <w:pPr>
        <w:keepNext w:val="0"/>
        <w:numPr>
          <w:numId w:val="1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This suit ought to be dismissed as the Claimant was offered reinstatement and had wrongfully rejected it; and</w:t>
      </w:r>
    </w:p>
    <w:p>
      <w:pPr>
        <w:keepNext w:val="0"/>
        <w:numPr>
          <w:numId w:val="1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Claimant has wrongfully filled in two Rejoinders for this matter, </w:t>
      </w:r>
      <w:r>
        <w:rPr>
          <w:rFonts w:ascii="arial" w:eastAsia="arial" w:hAnsi="arial" w:cs="arial"/>
          <w:b w:val="0"/>
          <w:i/>
          <w:strike w:val="0"/>
          <w:noProof w:val="0"/>
          <w:color w:val="000000"/>
          <w:position w:val="0"/>
          <w:sz w:val="24"/>
          <w:u w:val="none"/>
          <w:vertAlign w:val="baseline"/>
        </w:rPr>
        <w:t>i.e.</w:t>
      </w:r>
      <w:r>
        <w:rPr>
          <w:rFonts w:ascii="arial" w:eastAsia="arial" w:hAnsi="arial" w:cs="arial"/>
          <w:b w:val="0"/>
          <w:i w:val="0"/>
          <w:strike w:val="0"/>
          <w:noProof w:val="0"/>
          <w:color w:val="000000"/>
          <w:position w:val="0"/>
          <w:sz w:val="24"/>
          <w:u w:val="none"/>
          <w:vertAlign w:val="baseline"/>
        </w:rPr>
        <w:t xml:space="preserve"> the Rejoinder and the Amended Rejoinder.</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[14]</w:t>
      </w:r>
      <w:r>
        <w:rPr>
          <w:rFonts w:ascii="arial" w:eastAsia="arial" w:hAnsi="arial" w:cs="arial"/>
          <w:b w:val="0"/>
          <w:i w:val="0"/>
          <w:strike w:val="0"/>
          <w:noProof w:val="0"/>
          <w:color w:val="000000"/>
          <w:position w:val="0"/>
          <w:sz w:val="24"/>
          <w:u w:val="none"/>
          <w:vertAlign w:val="baseline"/>
        </w:rPr>
        <w:t xml:space="preserve">  The first issue is that of the offer of reinstatement automatically nullifies the proceedings. The short answer is obviously not. Whilst the Court agrees that reinstatement is the primary remedy of this Court, it is not the only remedy. In fact, in most cases, the Courts now refrain from always awarding reinstatement on the grounds of subsection 30(4)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(4) In making its award in respect of a trade dispute, the Court shall have regard to the public interest, the financial implications and the effect of the award on the economy of the country, and on the industry concerned, and also to the probable effect in related or similar industries.</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[15]</w:t>
      </w:r>
      <w:r>
        <w:rPr>
          <w:rFonts w:ascii="arial" w:eastAsia="arial" w:hAnsi="arial" w:cs="arial"/>
          <w:b w:val="0"/>
          <w:i w:val="0"/>
          <w:strike w:val="0"/>
          <w:noProof w:val="0"/>
          <w:color w:val="000000"/>
          <w:position w:val="0"/>
          <w:sz w:val="24"/>
          <w:u w:val="none"/>
          <w:vertAlign w:val="baseline"/>
        </w:rPr>
        <w:t>  The Court must take cognisance of public interest and the effect on the industry. The remedy of reinstatement would not necessarily bring harmony in the industry and in actual fact would be more detrimental, notwithstanding whether the termination was done justly or not.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[16]</w:t>
      </w:r>
      <w:r>
        <w:rPr>
          <w:rFonts w:ascii="arial" w:eastAsia="arial" w:hAnsi="arial" w:cs="arial"/>
          <w:b w:val="0"/>
          <w:i w:val="0"/>
          <w:strike w:val="0"/>
          <w:noProof w:val="0"/>
          <w:color w:val="000000"/>
          <w:position w:val="0"/>
          <w:sz w:val="24"/>
          <w:u w:val="none"/>
          <w:vertAlign w:val="baseline"/>
        </w:rPr>
        <w:t xml:space="preserve">  Besides the provision above, the Court has been given the power to hear proceedings where the remedy sought is not merely for reinstatement. The Court refers to subsection 30(6),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which states as follows: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(6) In making its award, the Court shall not be restricted to the specific relief claimed by the parties or to the demands made by the parties in the course of the trade dispute or in the matter of the reference to it under subsection 20(3) but may include in the award any matter or thing which it thinks necessary or expedient for the purpose of settling the trade dispute or the reference to it under subsection 20(3).</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[17]</w:t>
      </w:r>
      <w:r>
        <w:rPr>
          <w:rFonts w:ascii="arial" w:eastAsia="arial" w:hAnsi="arial" w:cs="arial"/>
          <w:b w:val="0"/>
          <w:i w:val="0"/>
          <w:strike w:val="0"/>
          <w:noProof w:val="0"/>
          <w:color w:val="000000"/>
          <w:position w:val="0"/>
          <w:sz w:val="24"/>
          <w:u w:val="none"/>
          <w:vertAlign w:val="baseline"/>
        </w:rPr>
        <w:t xml:space="preserve">  The provision above is clear and allows ample opportunity for the Court to invoke any remedy available to this Court. These remedies are not limited to reinstatement but also includes other remedies under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such as backwages, and the provisions of the Employment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1955 as well as its subsidiary legislations. This has been provided for in the case of the Court of Appeal case of </w:t>
      </w:r>
      <w:r>
        <w:rPr>
          <w:rFonts w:ascii="arial" w:eastAsia="arial" w:hAnsi="arial" w:cs="arial"/>
          <w:b w:val="0"/>
          <w:i/>
          <w:strike w:val="0"/>
          <w:noProof w:val="0"/>
          <w:color w:val="000000"/>
          <w:position w:val="0"/>
          <w:sz w:val="24"/>
          <w:u w:val="none"/>
          <w:vertAlign w:val="baseline"/>
        </w:rPr>
        <w:t xml:space="preserve">Equant Integration Services Sdn Bhd (In Liquidation) v. Wong Wai Hung  </w:t>
      </w:r>
      <w:r>
        <w:rPr>
          <w:rFonts w:ascii="arial" w:eastAsia="arial" w:hAnsi="arial" w:cs="arial"/>
          <w:b w:val="0"/>
          <w:i w:val="0"/>
          <w:strike w:val="0"/>
          <w:noProof w:val="0"/>
          <w:color w:val="000000"/>
          <w:position w:val="0"/>
          <w:sz w:val="24"/>
          <w:u w:val="none"/>
          <w:vertAlign w:val="baseline"/>
        </w:rPr>
        <w:t>[2012] 1 LNS 1296. The Court of Appeals case states as follows: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i w:val="0"/>
          <w:strike w:val="0"/>
          <w:noProof w:val="0"/>
          <w:color w:val="000000"/>
          <w:position w:val="0"/>
          <w:sz w:val="18"/>
          <w:u w:val="none"/>
          <w:vertAlign w:val="baseline"/>
        </w:rPr>
        <w:t>[19]</w:t>
      </w:r>
      <w:r>
        <w:rPr>
          <w:rFonts w:ascii="arial" w:eastAsia="arial" w:hAnsi="arial" w:cs="arial"/>
          <w:b w:val="0"/>
          <w:i w:val="0"/>
          <w:strike w:val="0"/>
          <w:noProof w:val="0"/>
          <w:color w:val="000000"/>
          <w:position w:val="0"/>
          <w:sz w:val="18"/>
          <w:u w:val="none"/>
          <w:vertAlign w:val="baseline"/>
        </w:rPr>
        <w:t xml:space="preserve"> We say so because a compensation of back wages is based on the underlying principle envisaged under the </w:t>
      </w:r>
      <w:r>
        <w:rPr>
          <w:rFonts w:ascii="arial" w:eastAsia="arial" w:hAnsi="arial" w:cs="arial"/>
          <w:b w:val="0"/>
          <w:i w:val="0"/>
          <w:strike w:val="0"/>
          <w:noProof w:val="0"/>
          <w:color w:val="000000"/>
          <w:position w:val="0"/>
          <w:sz w:val="18"/>
          <w:u w:val="single"/>
          <w:vertAlign w:val="baseline"/>
        </w:rPr>
        <w:t>Employment (Termination and Lay-Offs Benefits) Regulations 1980</w:t>
      </w:r>
      <w:r>
        <w:rPr>
          <w:rFonts w:ascii="arial" w:eastAsia="arial" w:hAnsi="arial" w:cs="arial"/>
          <w:b w:val="0"/>
          <w:i w:val="0"/>
          <w:strike w:val="0"/>
          <w:noProof w:val="0"/>
          <w:color w:val="000000"/>
          <w:position w:val="0"/>
          <w:sz w:val="18"/>
          <w:u w:val="none"/>
          <w:vertAlign w:val="baseline"/>
        </w:rPr>
        <w:t xml:space="preserve">, made under the </w:t>
      </w:r>
      <w:r>
        <w:rPr>
          <w:rFonts w:ascii="arial" w:eastAsia="arial" w:hAnsi="arial" w:cs="arial"/>
          <w:b w:val="0"/>
          <w:i w:val="0"/>
          <w:strike w:val="0"/>
          <w:noProof w:val="0"/>
          <w:color w:val="000000"/>
          <w:position w:val="0"/>
          <w:sz w:val="18"/>
          <w:u w:val="single"/>
          <w:vertAlign w:val="baseline"/>
        </w:rPr>
        <w:t xml:space="preserve">Employment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single"/>
          <w:vertAlign w:val="baseline"/>
        </w:rPr>
        <w:t xml:space="preserve"> 1955</w:t>
      </w:r>
      <w:r>
        <w:rPr>
          <w:rFonts w:ascii="arial" w:eastAsia="arial" w:hAnsi="arial" w:cs="arial"/>
          <w:b w:val="0"/>
          <w:i w:val="0"/>
          <w:strike w:val="0"/>
          <w:noProof w:val="0"/>
          <w:color w:val="000000"/>
          <w:position w:val="0"/>
          <w:sz w:val="18"/>
          <w:u w:val="none"/>
          <w:vertAlign w:val="baseline"/>
        </w:rPr>
        <w:t xml:space="preserve">. The </w:t>
      </w:r>
      <w:r>
        <w:rPr>
          <w:rFonts w:ascii="arial" w:eastAsia="arial" w:hAnsi="arial" w:cs="arial"/>
          <w:b w:val="0"/>
          <w:i w:val="0"/>
          <w:strike w:val="0"/>
          <w:noProof w:val="0"/>
          <w:color w:val="000000"/>
          <w:position w:val="0"/>
          <w:sz w:val="18"/>
          <w:u w:val="single"/>
          <w:vertAlign w:val="baseline"/>
        </w:rPr>
        <w:t xml:space="preserve">Employment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single"/>
          <w:vertAlign w:val="baseline"/>
        </w:rPr>
        <w:t xml:space="preserve"> 1955</w:t>
      </w:r>
      <w:r>
        <w:rPr>
          <w:rFonts w:ascii="arial" w:eastAsia="arial" w:hAnsi="arial" w:cs="arial"/>
          <w:b w:val="0"/>
          <w:i w:val="0"/>
          <w:strike w:val="0"/>
          <w:noProof w:val="0"/>
          <w:color w:val="000000"/>
          <w:position w:val="0"/>
          <w:sz w:val="18"/>
          <w:u w:val="none"/>
          <w:vertAlign w:val="baseline"/>
        </w:rPr>
        <w:t xml:space="preserve"> is not applicable to the respondent, he not being an employee with less than RM2,000 salary per month. Even under the Regulations, a person employed more than one year would be entitled to ten days wages for one year of service. For others, it would depend on his contract of employment or in a case of unionised employee the term of their respective collective agreements. A standard industry labour practice is to compensate the retrenched employee with a salary of one month to one year of service. The compensation granted in this case far exceeded any of these.”</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[18]</w:t>
      </w:r>
      <w:r>
        <w:rPr>
          <w:rFonts w:ascii="arial" w:eastAsia="arial" w:hAnsi="arial" w:cs="arial"/>
          <w:b w:val="0"/>
          <w:i w:val="0"/>
          <w:strike w:val="0"/>
          <w:noProof w:val="0"/>
          <w:color w:val="000000"/>
          <w:position w:val="0"/>
          <w:sz w:val="24"/>
          <w:u w:val="none"/>
          <w:vertAlign w:val="baseline"/>
        </w:rPr>
        <w:t xml:space="preserve">  Based on the Court of Appeal case above, it is quite clear that the Employment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1955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265] is applicable in the Industrial Court and also applicable for this case because the recent amendments to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265 has increased the threshold for the jurisdictional applicability of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265.</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[19]</w:t>
      </w:r>
      <w:r>
        <w:rPr>
          <w:rFonts w:ascii="arial" w:eastAsia="arial" w:hAnsi="arial" w:cs="arial"/>
          <w:b w:val="0"/>
          <w:i w:val="0"/>
          <w:strike w:val="0"/>
          <w:noProof w:val="0"/>
          <w:color w:val="000000"/>
          <w:position w:val="0"/>
          <w:sz w:val="24"/>
          <w:u w:val="none"/>
          <w:vertAlign w:val="baseline"/>
        </w:rPr>
        <w:t>  Whilst the arguments brought up by the Company’s Counsel is not without its merits. However, based on the provisions of law provided above, this Court is of the view that the Claimant’s suit should not be dismissed purely on the grounds of rejecting the Company’s offer for reinstatement.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[20]</w:t>
      </w:r>
      <w:r>
        <w:rPr>
          <w:rFonts w:ascii="arial" w:eastAsia="arial" w:hAnsi="arial" w:cs="arial"/>
          <w:b w:val="0"/>
          <w:i w:val="0"/>
          <w:strike w:val="0"/>
          <w:noProof w:val="0"/>
          <w:color w:val="000000"/>
          <w:position w:val="0"/>
          <w:sz w:val="24"/>
          <w:u w:val="none"/>
          <w:vertAlign w:val="baseline"/>
        </w:rPr>
        <w:t>  The next preliminary objection raised by the Company is that of the existence of two separate Rejoinders in the pleadings. The Court admits it is not the norm but the question is whether the Court should dismiss either one of the Rejoinders as suggested by the Counsel for the Company. Initially, the Court was mindful to abide by the strict rules of procedure and dismiss one of the Rejoinders.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[21]</w:t>
      </w:r>
      <w:r>
        <w:rPr>
          <w:rFonts w:ascii="arial" w:eastAsia="arial" w:hAnsi="arial" w:cs="arial"/>
          <w:b w:val="0"/>
          <w:i w:val="0"/>
          <w:strike w:val="0"/>
          <w:noProof w:val="0"/>
          <w:color w:val="000000"/>
          <w:position w:val="0"/>
          <w:sz w:val="24"/>
          <w:u w:val="none"/>
          <w:vertAlign w:val="baseline"/>
        </w:rPr>
        <w:t xml:space="preserve">  However, this is not the civil courts but rather, a court of arbitration applying equitable principles. Based on that fact alone, is enough to illustrate that there clearly are differences between the civil courts and the Industrial Court. The Counsel for the Company acknowledges that as stated in their submission. This Court is bound by the law and the specific provision is subsection 30 (5)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which is reproduce as follows: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 xml:space="preserve">(5) The Court shall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xml:space="preserve"> according to equity, good conscience and the substantial merits of the case without regard to technicalities and legal form.</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[22]</w:t>
      </w:r>
      <w:r>
        <w:rPr>
          <w:rFonts w:ascii="arial" w:eastAsia="arial" w:hAnsi="arial" w:cs="arial"/>
          <w:b w:val="0"/>
          <w:i w:val="0"/>
          <w:strike w:val="0"/>
          <w:noProof w:val="0"/>
          <w:color w:val="000000"/>
          <w:position w:val="0"/>
          <w:sz w:val="24"/>
          <w:u w:val="none"/>
          <w:vertAlign w:val="baseline"/>
        </w:rPr>
        <w:t>  The provision is clear and that the Court should not forsake merits for technicalities. Especially in this case where, upon further reading of the pleadings in question, namely the Rejoinder and Amended Rejoinder whilst they are two separate documents, it is nonetheless related. The beginning of the Amended Rejoinder actually made reference to the original Rejoinder. It is stated in the Amended Rejoinder adopts all that was already stated in the original Rejoinder.</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[23]</w:t>
      </w:r>
      <w:r>
        <w:rPr>
          <w:rFonts w:ascii="arial" w:eastAsia="arial" w:hAnsi="arial" w:cs="arial"/>
          <w:b w:val="0"/>
          <w:i w:val="0"/>
          <w:strike w:val="0"/>
          <w:noProof w:val="0"/>
          <w:color w:val="000000"/>
          <w:position w:val="0"/>
          <w:sz w:val="24"/>
          <w:u w:val="none"/>
          <w:vertAlign w:val="baseline"/>
        </w:rPr>
        <w:t>  The Court notes that the Claimant’s representative did not make any objections to the application of the Company even though the amendment added or changed the entire case for the Company. Yet, this gesture was not met in kind. Therefore, the Court believes that the acceptance of both the Rejoinders would be equitable.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[24]</w:t>
      </w:r>
      <w:r>
        <w:rPr>
          <w:rFonts w:ascii="arial" w:eastAsia="arial" w:hAnsi="arial" w:cs="arial"/>
          <w:b w:val="0"/>
          <w:i w:val="0"/>
          <w:strike w:val="0"/>
          <w:noProof w:val="0"/>
          <w:color w:val="000000"/>
          <w:position w:val="0"/>
          <w:sz w:val="24"/>
          <w:u w:val="none"/>
          <w:vertAlign w:val="baseline"/>
        </w:rPr>
        <w:t>  The Court will now proceed to the crux of the case. In this case, the Amended Statement in Reply had introduced a new pleading namely that the Claimant was terminated due to poor performance, which is the now main reason of the termination.</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Poor Performance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[25]</w:t>
      </w:r>
      <w:r>
        <w:rPr>
          <w:rFonts w:ascii="arial" w:eastAsia="arial" w:hAnsi="arial" w:cs="arial"/>
          <w:b w:val="0"/>
          <w:i w:val="0"/>
          <w:strike w:val="0"/>
          <w:noProof w:val="0"/>
          <w:color w:val="000000"/>
          <w:position w:val="0"/>
          <w:sz w:val="24"/>
          <w:u w:val="none"/>
          <w:vertAlign w:val="baseline"/>
        </w:rPr>
        <w:t xml:space="preserve">  The law on poor performance is quite settled law. The Court is guided by the Court of Appeal case of </w:t>
      </w:r>
      <w:r>
        <w:rPr>
          <w:rFonts w:ascii="arial" w:eastAsia="arial" w:hAnsi="arial" w:cs="arial"/>
          <w:b w:val="0"/>
          <w:i/>
          <w:strike w:val="0"/>
          <w:noProof w:val="0"/>
          <w:color w:val="000000"/>
          <w:position w:val="0"/>
          <w:sz w:val="24"/>
          <w:u w:val="none"/>
          <w:vertAlign w:val="baseline"/>
        </w:rPr>
        <w:t xml:space="preserve">Andrew Chuah Khim Peik v. HLG Capital Bhd  </w:t>
      </w:r>
      <w:r>
        <w:rPr>
          <w:rFonts w:ascii="arial" w:eastAsia="arial" w:hAnsi="arial" w:cs="arial"/>
          <w:b w:val="0"/>
          <w:i w:val="0"/>
          <w:strike w:val="0"/>
          <w:noProof w:val="0"/>
          <w:color w:val="000000"/>
          <w:position w:val="0"/>
          <w:sz w:val="24"/>
          <w:u w:val="none"/>
          <w:vertAlign w:val="baseline"/>
        </w:rPr>
        <w:t>[2019] 9 CLJ 585. The Court of Appeal in the case above stated as follows:</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“Held (allowing appeal)</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Per Hamid Sultan Abu Backer JCA delivering the judgment of the court:</w:t>
      </w:r>
    </w:p>
    <w:p>
      <w:pPr>
        <w:keepNext w:val="0"/>
        <w:spacing w:before="0" w:after="0" w:line="240" w:lineRule="atLeast"/>
        <w:ind w:left="800" w:right="0" w:firstLine="0"/>
        <w:jc w:val="both"/>
      </w:pPr>
      <w:r>
        <w:br/>
      </w:r>
      <w:r>
        <w:rPr>
          <w:rFonts w:ascii="arial" w:eastAsia="arial" w:hAnsi="arial" w:cs="arial"/>
          <w:b/>
          <w:i w:val="0"/>
          <w:strike w:val="0"/>
          <w:noProof w:val="0"/>
          <w:color w:val="000000"/>
          <w:position w:val="0"/>
          <w:sz w:val="18"/>
          <w:u w:val="none"/>
          <w:vertAlign w:val="baseline"/>
        </w:rPr>
        <w:t>(1)</w:t>
      </w:r>
      <w:r>
        <w:rPr>
          <w:rFonts w:ascii="arial" w:eastAsia="arial" w:hAnsi="arial" w:cs="arial"/>
          <w:b w:val="0"/>
          <w:i w:val="0"/>
          <w:strike w:val="0"/>
          <w:noProof w:val="0"/>
          <w:color w:val="000000"/>
          <w:position w:val="0"/>
          <w:sz w:val="18"/>
          <w:u w:val="none"/>
          <w:vertAlign w:val="baseline"/>
        </w:rPr>
        <w:t xml:space="preserve"> It is well established that the industrial jurisprudence leaned towards </w:t>
      </w:r>
      <w:r>
        <w:rPr>
          <w:rFonts w:ascii="arial" w:eastAsia="arial" w:hAnsi="arial" w:cs="arial"/>
          <w:b/>
          <w:i w:val="0"/>
          <w:strike w:val="0"/>
          <w:noProof w:val="0"/>
          <w:color w:val="000000"/>
          <w:position w:val="0"/>
          <w:sz w:val="18"/>
          <w:u w:val="none"/>
          <w:vertAlign w:val="baseline"/>
        </w:rPr>
        <w:t>the employee and the threshold to be satisfied by the employer to resist a claim for dismissal without just cause and excuse was high</w:t>
      </w:r>
      <w:r>
        <w:rPr>
          <w:rFonts w:ascii="arial" w:eastAsia="arial" w:hAnsi="arial" w:cs="arial"/>
          <w:b w:val="0"/>
          <w:i w:val="0"/>
          <w:strike w:val="0"/>
          <w:noProof w:val="0"/>
          <w:color w:val="000000"/>
          <w:position w:val="0"/>
          <w:sz w:val="18"/>
          <w:u w:val="none"/>
          <w:vertAlign w:val="baseline"/>
        </w:rPr>
        <w:t xml:space="preserve">. In </w:t>
      </w:r>
      <w:r>
        <w:rPr>
          <w:rFonts w:ascii="arial" w:eastAsia="arial" w:hAnsi="arial" w:cs="arial"/>
          <w:b/>
          <w:i w:val="0"/>
          <w:strike w:val="0"/>
          <w:noProof w:val="0"/>
          <w:color w:val="000000"/>
          <w:position w:val="0"/>
          <w:sz w:val="18"/>
          <w:u w:val="none"/>
          <w:vertAlign w:val="baseline"/>
        </w:rPr>
        <w:t>cases of poor performance, it may become very technical and many issues may have to be considered</w:t>
      </w:r>
      <w:r>
        <w:rPr>
          <w:rFonts w:ascii="arial" w:eastAsia="arial" w:hAnsi="arial" w:cs="arial"/>
          <w:b w:val="0"/>
          <w:i w:val="0"/>
          <w:strike w:val="0"/>
          <w:noProof w:val="0"/>
          <w:color w:val="000000"/>
          <w:position w:val="0"/>
          <w:sz w:val="18"/>
          <w:u w:val="none"/>
          <w:vertAlign w:val="baseline"/>
        </w:rPr>
        <w:t xml:space="preserve"> and generally may also relate to market force and economic situation </w:t>
      </w:r>
      <w:r>
        <w:rPr>
          <w:rFonts w:ascii="arial" w:eastAsia="arial" w:hAnsi="arial" w:cs="arial"/>
          <w:b w:val="0"/>
          <w:i/>
          <w:strike w:val="0"/>
          <w:noProof w:val="0"/>
          <w:color w:val="000000"/>
          <w:position w:val="0"/>
          <w:sz w:val="18"/>
          <w:u w:val="none"/>
          <w:vertAlign w:val="baseline"/>
        </w:rPr>
        <w:t>etc</w:t>
      </w:r>
      <w:r>
        <w:rPr>
          <w:rFonts w:ascii="arial" w:eastAsia="arial" w:hAnsi="arial" w:cs="arial"/>
          <w:b w:val="0"/>
          <w:i w:val="0"/>
          <w:strike w:val="0"/>
          <w:noProof w:val="0"/>
          <w:color w:val="000000"/>
          <w:position w:val="0"/>
          <w:sz w:val="18"/>
          <w:u w:val="none"/>
          <w:vertAlign w:val="baseline"/>
        </w:rPr>
        <w:t xml:space="preserve"> (para 7).</w:t>
      </w:r>
    </w:p>
    <w:p>
      <w:pPr>
        <w:keepNext w:val="0"/>
        <w:spacing w:before="0" w:after="0" w:line="240" w:lineRule="atLeast"/>
        <w:ind w:left="800" w:right="0" w:firstLine="0"/>
        <w:jc w:val="both"/>
      </w:pPr>
      <w:r>
        <w:br/>
      </w:r>
      <w:r>
        <w:rPr>
          <w:rFonts w:ascii="arial" w:eastAsia="arial" w:hAnsi="arial" w:cs="arial"/>
          <w:b w:val="0"/>
          <w:i w:val="0"/>
          <w:strike w:val="0"/>
          <w:noProof w:val="0"/>
          <w:color w:val="000000"/>
          <w:position w:val="0"/>
          <w:sz w:val="18"/>
          <w:u w:val="none"/>
          <w:vertAlign w:val="baseline"/>
        </w:rPr>
        <w:t>…</w:t>
      </w:r>
    </w:p>
    <w:p>
      <w:pPr>
        <w:keepNext w:val="0"/>
        <w:spacing w:before="0" w:after="0" w:line="240" w:lineRule="atLeast"/>
        <w:ind w:left="800" w:right="0" w:firstLine="0"/>
        <w:jc w:val="both"/>
      </w:pPr>
      <w:r>
        <w:br/>
      </w:r>
      <w:r>
        <w:rPr>
          <w:rFonts w:ascii="arial" w:eastAsia="arial" w:hAnsi="arial" w:cs="arial"/>
          <w:b/>
          <w:i w:val="0"/>
          <w:strike w:val="0"/>
          <w:noProof w:val="0"/>
          <w:color w:val="000000"/>
          <w:position w:val="0"/>
          <w:sz w:val="18"/>
          <w:u w:val="none"/>
          <w:vertAlign w:val="baseline"/>
        </w:rPr>
        <w:t>[7]</w:t>
      </w:r>
      <w:r>
        <w:rPr>
          <w:rFonts w:ascii="arial" w:eastAsia="arial" w:hAnsi="arial" w:cs="arial"/>
          <w:b w:val="0"/>
          <w:i w:val="0"/>
          <w:strike w:val="0"/>
          <w:noProof w:val="0"/>
          <w:color w:val="000000"/>
          <w:position w:val="0"/>
          <w:sz w:val="18"/>
          <w:u w:val="none"/>
          <w:vertAlign w:val="baseline"/>
        </w:rPr>
        <w:t xml:space="preserve"> We have read the appeal records and the able submissions of the parties. We have taken some time to consider the authorities by the parties. After much consideration, we take the view that the appeal must be allowed. Our reasons </w:t>
      </w:r>
      <w:r>
        <w:rPr>
          <w:rFonts w:ascii="arial" w:eastAsia="arial" w:hAnsi="arial" w:cs="arial"/>
          <w:b w:val="0"/>
          <w:i/>
          <w:strike w:val="0"/>
          <w:noProof w:val="0"/>
          <w:color w:val="000000"/>
          <w:position w:val="0"/>
          <w:sz w:val="18"/>
          <w:u w:val="none"/>
          <w:vertAlign w:val="baseline"/>
        </w:rPr>
        <w:t>inter alia</w:t>
      </w:r>
      <w:r>
        <w:rPr>
          <w:rFonts w:ascii="arial" w:eastAsia="arial" w:hAnsi="arial" w:cs="arial"/>
          <w:b w:val="0"/>
          <w:i w:val="0"/>
          <w:strike w:val="0"/>
          <w:noProof w:val="0"/>
          <w:color w:val="000000"/>
          <w:position w:val="0"/>
          <w:sz w:val="18"/>
          <w:u w:val="none"/>
          <w:vertAlign w:val="baseline"/>
        </w:rPr>
        <w:t xml:space="preserve"> are as follows:</w:t>
      </w:r>
    </w:p>
    <w:p>
      <w:pPr>
        <w:keepNext w:val="0"/>
        <w:spacing w:before="0" w:after="0" w:line="240" w:lineRule="atLeast"/>
        <w:ind w:left="1200" w:right="0" w:firstLine="0"/>
        <w:jc w:val="both"/>
      </w:pPr>
      <w:r>
        <w:br/>
      </w:r>
      <w:r>
        <w:rPr>
          <w:rFonts w:ascii="arial" w:eastAsia="arial" w:hAnsi="arial" w:cs="arial"/>
          <w:b w:val="0"/>
          <w:i w:val="0"/>
          <w:strike w:val="0"/>
          <w:noProof w:val="0"/>
          <w:color w:val="000000"/>
          <w:position w:val="0"/>
          <w:sz w:val="18"/>
          <w:u w:val="none"/>
          <w:vertAlign w:val="baseline"/>
        </w:rPr>
        <w:t>…</w:t>
      </w:r>
    </w:p>
    <w:p>
      <w:pPr>
        <w:keepNext w:val="0"/>
        <w:spacing w:before="0" w:after="0" w:line="240" w:lineRule="atLeast"/>
        <w:ind w:left="1200" w:right="0" w:firstLine="0"/>
        <w:jc w:val="both"/>
      </w:pPr>
      <w:r>
        <w:br/>
      </w:r>
      <w:r>
        <w:rPr>
          <w:rFonts w:ascii="arial" w:eastAsia="arial" w:hAnsi="arial" w:cs="arial"/>
          <w:b w:val="0"/>
          <w:i w:val="0"/>
          <w:strike w:val="0"/>
          <w:noProof w:val="0"/>
          <w:color w:val="000000"/>
          <w:position w:val="0"/>
          <w:sz w:val="18"/>
          <w:u w:val="none"/>
          <w:vertAlign w:val="baseline"/>
        </w:rPr>
        <w:t xml:space="preserve">(iii) In cases of dishonesty, it is quite straightforward when it comes to dismissal. </w:t>
      </w:r>
      <w:r>
        <w:rPr>
          <w:rFonts w:ascii="arial" w:eastAsia="arial" w:hAnsi="arial" w:cs="arial"/>
          <w:b/>
          <w:i w:val="0"/>
          <w:strike w:val="0"/>
          <w:noProof w:val="0"/>
          <w:color w:val="000000"/>
          <w:position w:val="0"/>
          <w:sz w:val="18"/>
          <w:u w:val="none"/>
          <w:vertAlign w:val="baseline"/>
        </w:rPr>
        <w:t>In cases of poor performance, it may become very technical and many issues may have to be considered and generally may also relate to market force and economic situation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etc</w:t>
      </w:r>
      <w:r>
        <w:rPr>
          <w:rFonts w:ascii="arial" w:eastAsia="arial" w:hAnsi="arial" w:cs="arial"/>
          <w:b w:val="0"/>
          <w:i w:val="0"/>
          <w:strike w:val="0"/>
          <w:noProof w:val="0"/>
          <w:color w:val="000000"/>
          <w:position w:val="0"/>
          <w:sz w:val="18"/>
          <w:u w:val="none"/>
          <w:vertAlign w:val="baseline"/>
        </w:rPr>
        <w:t>.”.</w:t>
      </w:r>
      <w:r>
        <w:t>
</w:t>
      </w:r>
    </w:p>
    <w:p/>
    <w:p>
      <w:pPr>
        <w:keepNext w:val="0"/>
        <w:spacing w:after="0" w:line="240" w:lineRule="atLeast"/>
        <w:ind w:left="800" w:right="0" w:firstLine="0"/>
        <w:jc w:val="both"/>
      </w:pPr>
      <w:r>
        <w:rPr>
          <w:rFonts w:ascii="arial" w:eastAsia="arial" w:hAnsi="arial" w:cs="arial"/>
          <w:b w:val="0"/>
          <w:i w:val="0"/>
          <w:strike w:val="0"/>
          <w:noProof w:val="0"/>
          <w:color w:val="000000"/>
          <w:position w:val="0"/>
          <w:sz w:val="18"/>
          <w:u w:val="none"/>
          <w:vertAlign w:val="baseline"/>
        </w:rPr>
        <w:t>[Emphasis added]</w:t>
      </w:r>
      <w:r>
        <w:t>
</w:t>
      </w:r>
    </w:p>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[26]</w:t>
      </w:r>
      <w:r>
        <w:rPr>
          <w:rFonts w:ascii="arial" w:eastAsia="arial" w:hAnsi="arial" w:cs="arial"/>
          <w:b w:val="0"/>
          <w:i w:val="0"/>
          <w:strike w:val="0"/>
          <w:noProof w:val="0"/>
          <w:color w:val="000000"/>
          <w:position w:val="0"/>
          <w:sz w:val="24"/>
          <w:u w:val="none"/>
          <w:vertAlign w:val="baseline"/>
        </w:rPr>
        <w:t>  The question before the Court is whether the Company has adduced evidence to prove on the balance of probabilities that the Claimant did perform poorly. Bearing in mind that the Company is a small law firm, the Court does not expect the Company to have a specialised human resources department or personnel with dedicated policies on human capacity development or other human resource concepts such as Performance Improvement Plan (“PIP”). The Court accepts that for a small law firm, the Company could not be expected to conduct a PIP or DI for the Claimant.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[27]</w:t>
      </w:r>
      <w:r>
        <w:rPr>
          <w:rFonts w:ascii="arial" w:eastAsia="arial" w:hAnsi="arial" w:cs="arial"/>
          <w:b w:val="0"/>
          <w:i w:val="0"/>
          <w:strike w:val="0"/>
          <w:noProof w:val="0"/>
          <w:color w:val="000000"/>
          <w:position w:val="0"/>
          <w:sz w:val="24"/>
          <w:u w:val="none"/>
          <w:vertAlign w:val="baseline"/>
        </w:rPr>
        <w:t>  However, one of the basic requirements is that the Company should abide by general and acceptable policies and rules that are adopted from the law. These include the legal precepts such as natural justice and fairness. In that vein, the Company would have been expected to issue notices or warnings against the Claimant informing her of her misconduct whatever it may be. This would then justify the actions of the Company for terminating the Claimant for continued transgressions and plain recalcitrant behaviours.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[28]</w:t>
      </w:r>
      <w:r>
        <w:rPr>
          <w:rFonts w:ascii="arial" w:eastAsia="arial" w:hAnsi="arial" w:cs="arial"/>
          <w:b w:val="0"/>
          <w:i w:val="0"/>
          <w:strike w:val="0"/>
          <w:noProof w:val="0"/>
          <w:color w:val="000000"/>
          <w:position w:val="0"/>
          <w:sz w:val="24"/>
          <w:u w:val="none"/>
          <w:vertAlign w:val="baseline"/>
        </w:rPr>
        <w:t xml:space="preserve">  This is supported by the Court of Appeal case of </w:t>
      </w:r>
      <w:r>
        <w:rPr>
          <w:rFonts w:ascii="arial" w:eastAsia="arial" w:hAnsi="arial" w:cs="arial"/>
          <w:b/>
          <w:i/>
          <w:strike w:val="0"/>
          <w:noProof w:val="0"/>
          <w:color w:val="000000"/>
          <w:position w:val="0"/>
          <w:sz w:val="24"/>
          <w:u w:val="none"/>
          <w:vertAlign w:val="baseline"/>
        </w:rPr>
        <w:t>CIMB</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strike w:val="0"/>
          <w:noProof w:val="0"/>
          <w:color w:val="000000"/>
          <w:position w:val="0"/>
          <w:sz w:val="24"/>
          <w:u w:val="none"/>
          <w:vertAlign w:val="baseline"/>
        </w:rPr>
        <w:t xml:space="preserve">Bank Bhd V. Ahmad Suhairi Mat Ali &amp; Anor  </w:t>
      </w:r>
      <w:r>
        <w:rPr>
          <w:rFonts w:ascii="arial" w:eastAsia="arial" w:hAnsi="arial" w:cs="arial"/>
          <w:b w:val="0"/>
          <w:i w:val="0"/>
          <w:strike w:val="0"/>
          <w:noProof w:val="0"/>
          <w:color w:val="000000"/>
          <w:position w:val="0"/>
          <w:sz w:val="24"/>
          <w:u w:val="none"/>
          <w:vertAlign w:val="baseline"/>
        </w:rPr>
        <w:t>[2023] 4 ILR 1. The Court of Appeal stated as follows:</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“[36]</w:t>
      </w:r>
      <w:r>
        <w:rPr>
          <w:rFonts w:ascii="arial" w:eastAsia="arial" w:hAnsi="arial" w:cs="arial"/>
          <w:b w:val="0"/>
          <w:i w:val="0"/>
          <w:strike w:val="0"/>
          <w:noProof w:val="0"/>
          <w:color w:val="000000"/>
          <w:position w:val="0"/>
          <w:sz w:val="18"/>
          <w:u w:val="none"/>
          <w:vertAlign w:val="baseline"/>
        </w:rPr>
        <w:t xml:space="preserve"> During the proceedings before the Industrial Court, the bank (through COW5’s evidence) took the position that the claimant’s strength was in “sales” and thus the decision to re-designate him as team leader of the special acquisitions team (“SAT”) to be based in Penang. But it is interesting to note that the bank </w:t>
      </w:r>
      <w:r>
        <w:rPr>
          <w:rFonts w:ascii="arial" w:eastAsia="arial" w:hAnsi="arial" w:cs="arial"/>
          <w:b/>
          <w:i w:val="0"/>
          <w:strike w:val="0"/>
          <w:noProof w:val="0"/>
          <w:color w:val="000000"/>
          <w:position w:val="0"/>
          <w:sz w:val="18"/>
          <w:u w:val="none"/>
          <w:vertAlign w:val="baseline"/>
        </w:rPr>
        <w:t>did not present any tangible evidence before the Industrial Court to show that any review of the claimant’s performance was carried out</w:t>
      </w:r>
      <w:r>
        <w:rPr>
          <w:rFonts w:ascii="arial" w:eastAsia="arial" w:hAnsi="arial" w:cs="arial"/>
          <w:b w:val="0"/>
          <w:i w:val="0"/>
          <w:strike w:val="0"/>
          <w:noProof w:val="0"/>
          <w:color w:val="000000"/>
          <w:position w:val="0"/>
          <w:sz w:val="18"/>
          <w:u w:val="none"/>
          <w:vertAlign w:val="baseline"/>
        </w:rPr>
        <w:t xml:space="preserve"> since the issuance of their letter dated 21 March 2012.”.</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[Emphasis added]</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[29]</w:t>
      </w:r>
      <w:r>
        <w:rPr>
          <w:rFonts w:ascii="arial" w:eastAsia="arial" w:hAnsi="arial" w:cs="arial"/>
          <w:b w:val="0"/>
          <w:i w:val="0"/>
          <w:strike w:val="0"/>
          <w:noProof w:val="0"/>
          <w:color w:val="000000"/>
          <w:position w:val="0"/>
          <w:sz w:val="24"/>
          <w:u w:val="none"/>
          <w:vertAlign w:val="baseline"/>
        </w:rPr>
        <w:t>  Similarly, in this case before the Court the Company’s proof that the Claimant was performing poorly was the pages of time entry records from the office. However, there was no document informing that the employees that it was compulsory to do so, or at the very least some form of communication informing the same.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[30]</w:t>
      </w:r>
      <w:r>
        <w:rPr>
          <w:rFonts w:ascii="arial" w:eastAsia="arial" w:hAnsi="arial" w:cs="arial"/>
          <w:b w:val="0"/>
          <w:i w:val="0"/>
          <w:strike w:val="0"/>
          <w:noProof w:val="0"/>
          <w:color w:val="000000"/>
          <w:position w:val="0"/>
          <w:sz w:val="24"/>
          <w:u w:val="none"/>
          <w:vertAlign w:val="baseline"/>
        </w:rPr>
        <w:t xml:space="preserve">  Consequentially, there were no letters given to the Claimant warning her of her transgressions. This does not reflect the acts of a Company displeased with the actions of its mischievous employee. The reasonable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would have been to issue letters or notices about the Claimants wanton disregard for the rules of the Company.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[31]</w:t>
      </w:r>
      <w:r>
        <w:rPr>
          <w:rFonts w:ascii="arial" w:eastAsia="arial" w:hAnsi="arial" w:cs="arial"/>
          <w:b w:val="0"/>
          <w:i w:val="0"/>
          <w:strike w:val="0"/>
          <w:noProof w:val="0"/>
          <w:color w:val="000000"/>
          <w:position w:val="0"/>
          <w:sz w:val="24"/>
          <w:u w:val="none"/>
          <w:vertAlign w:val="baseline"/>
        </w:rPr>
        <w:t xml:space="preserve">  In fact, in another Court of Appeal case, it was highlighted that if a Company wanted to terminate an employee for poor performance or even other types of misconduct there are ways to do it. This was proposed in the case of </w:t>
      </w:r>
      <w:r>
        <w:rPr>
          <w:rFonts w:ascii="arial" w:eastAsia="arial" w:hAnsi="arial" w:cs="arial"/>
          <w:b w:val="0"/>
          <w:i/>
          <w:strike w:val="0"/>
          <w:noProof w:val="0"/>
          <w:color w:val="000000"/>
          <w:position w:val="0"/>
          <w:sz w:val="24"/>
          <w:u w:val="none"/>
          <w:vertAlign w:val="baseline"/>
        </w:rPr>
        <w:t xml:space="preserve">Matrix Global Education Sdn Bhd V. Felix Lee Eng Boon  </w:t>
      </w:r>
      <w:r>
        <w:rPr>
          <w:rFonts w:ascii="arial" w:eastAsia="arial" w:hAnsi="arial" w:cs="arial"/>
          <w:b w:val="0"/>
          <w:i w:val="0"/>
          <w:strike w:val="0"/>
          <w:noProof w:val="0"/>
          <w:color w:val="000000"/>
          <w:position w:val="0"/>
          <w:sz w:val="24"/>
          <w:u w:val="none"/>
          <w:vertAlign w:val="baseline"/>
        </w:rPr>
        <w:t>[2023] 2 CLJ 34, where the Court proposed as follows: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i w:val="0"/>
          <w:strike w:val="0"/>
          <w:noProof w:val="0"/>
          <w:color w:val="000000"/>
          <w:position w:val="0"/>
          <w:sz w:val="18"/>
          <w:u w:val="none"/>
          <w:vertAlign w:val="baseline"/>
        </w:rPr>
        <w:t>[79]</w:t>
      </w:r>
      <w:r>
        <w:rPr>
          <w:rFonts w:ascii="arial" w:eastAsia="arial" w:hAnsi="arial" w:cs="arial"/>
          <w:b w:val="0"/>
          <w:i w:val="0"/>
          <w:strike w:val="0"/>
          <w:noProof w:val="0"/>
          <w:color w:val="000000"/>
          <w:position w:val="0"/>
          <w:sz w:val="18"/>
          <w:u w:val="none"/>
          <w:vertAlign w:val="baseline"/>
        </w:rPr>
        <w:t xml:space="preserve"> The suggestion or advice to resign must be viewed in its proper perspective and proportion. In industrial disputes between a company and its employee or workman, it is always a plus for industrial harmony if any severance of employment can be done on terms mutually adoptable. In a case where the company considers the employee to have committed a misconduct, not of the criminal kind but of say poor performance, parties may well enter into a negotiation for a severance of the employment contract on terms mutually agreed and this may even have been commenced after the company has suggested that the employee should consider or even should resign.</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[80]</w:t>
      </w:r>
      <w:r>
        <w:rPr>
          <w:rFonts w:ascii="arial" w:eastAsia="arial" w:hAnsi="arial" w:cs="arial"/>
          <w:b w:val="0"/>
          <w:i w:val="0"/>
          <w:strike w:val="0"/>
          <w:noProof w:val="0"/>
          <w:color w:val="000000"/>
          <w:position w:val="0"/>
          <w:sz w:val="18"/>
          <w:u w:val="none"/>
          <w:vertAlign w:val="baseline"/>
        </w:rPr>
        <w:t xml:space="preserve"> In a genuine case where the employee should resign perhaps on account of poor performance, a negotiated settlement would obviate the necessity of a show-cause letter and a domestic inquiry and finally having the matter ended up in the Industrial Court where all its awards are invariably reported in the Industrial Law Report (“ILR”) and any prospective employer can always do a search to find out if the prospective employee has a previous claim in the Industrial Court.</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[81]</w:t>
      </w:r>
      <w:r>
        <w:rPr>
          <w:rFonts w:ascii="arial" w:eastAsia="arial" w:hAnsi="arial" w:cs="arial"/>
          <w:b w:val="0"/>
          <w:i w:val="0"/>
          <w:strike w:val="0"/>
          <w:noProof w:val="0"/>
          <w:color w:val="000000"/>
          <w:position w:val="0"/>
          <w:sz w:val="18"/>
          <w:u w:val="none"/>
          <w:vertAlign w:val="baseline"/>
        </w:rPr>
        <w:t xml:space="preserve"> In the event that the employee loses in the Industrial Court, the findings of the Industrial Court are available for all to read. This is enough to discourage a prospective employer from engaging that employee.</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[82]</w:t>
      </w:r>
      <w:r>
        <w:rPr>
          <w:rFonts w:ascii="arial" w:eastAsia="arial" w:hAnsi="arial" w:cs="arial"/>
          <w:b w:val="0"/>
          <w:i w:val="0"/>
          <w:strike w:val="0"/>
          <w:noProof w:val="0"/>
          <w:color w:val="000000"/>
          <w:position w:val="0"/>
          <w:sz w:val="18"/>
          <w:u w:val="none"/>
          <w:vertAlign w:val="baseline"/>
        </w:rPr>
        <w:t xml:space="preserve"> A negotiated settlement works to the good of the company, knowing that once the negotiated sum and other benefits are paid out or agreed, the matter ends there. The employee who chooses to resign on terms can afford to keep the matter confidential or at least away from the glare of the ILR.</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[83]</w:t>
      </w:r>
      <w:r>
        <w:rPr>
          <w:rFonts w:ascii="arial" w:eastAsia="arial" w:hAnsi="arial" w:cs="arial"/>
          <w:b w:val="0"/>
          <w:i w:val="0"/>
          <w:strike w:val="0"/>
          <w:noProof w:val="0"/>
          <w:color w:val="000000"/>
          <w:position w:val="0"/>
          <w:sz w:val="18"/>
          <w:u w:val="none"/>
          <w:vertAlign w:val="baseline"/>
        </w:rPr>
        <w:t xml:space="preserve"> Granted there would be instances where the employee takes the stand that he has not committed any misconduct, much less having to go for an alleged poor performance as the company’s CEO. He is perfectly entitled to remain and the company would have to decide whether to issue a show-cause letter followed by a domestic inquiry to dismiss him. The company would still have to pay him his full pay until he is suspended pending his domestic inquiry. If the company in the interim demotes him or makes report to his subordinates or takes away his perks and benefits, he may have recourse to treat himself as being constructively dismissed.”.</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[32]</w:t>
      </w:r>
      <w:r>
        <w:rPr>
          <w:rFonts w:ascii="arial" w:eastAsia="arial" w:hAnsi="arial" w:cs="arial"/>
          <w:b w:val="0"/>
          <w:i w:val="0"/>
          <w:strike w:val="0"/>
          <w:noProof w:val="0"/>
          <w:color w:val="000000"/>
          <w:position w:val="0"/>
          <w:sz w:val="24"/>
          <w:u w:val="none"/>
          <w:vertAlign w:val="baseline"/>
        </w:rPr>
        <w:t>  The above was the proposal from the Court of Appeal, which is a good reminder to all Companies on how to proceed with a termination of an employee due to poor performance. Coming back to the case at hand, the Company has not given any notification of the said misconduct or poor performance.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[33]</w:t>
      </w:r>
      <w:r>
        <w:rPr>
          <w:rFonts w:ascii="arial" w:eastAsia="arial" w:hAnsi="arial" w:cs="arial"/>
          <w:b w:val="0"/>
          <w:i w:val="0"/>
          <w:strike w:val="0"/>
          <w:noProof w:val="0"/>
          <w:color w:val="000000"/>
          <w:position w:val="0"/>
          <w:sz w:val="24"/>
          <w:u w:val="none"/>
          <w:vertAlign w:val="baseline"/>
        </w:rPr>
        <w:t>  Therefore, the Court feels that the Company has not proven its case on the balance of probabilities regarding the poor performance of the Claimant. The Court will now look at the outstanding issue of this case and that is the termination letter itself as well as the Company’s initial argument on this matter.</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The Dismissal</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[34]</w:t>
      </w:r>
      <w:r>
        <w:rPr>
          <w:rFonts w:ascii="arial" w:eastAsia="arial" w:hAnsi="arial" w:cs="arial"/>
          <w:b w:val="0"/>
          <w:i w:val="0"/>
          <w:strike w:val="0"/>
          <w:noProof w:val="0"/>
          <w:color w:val="000000"/>
          <w:position w:val="0"/>
          <w:sz w:val="24"/>
          <w:u w:val="none"/>
          <w:vertAlign w:val="baseline"/>
        </w:rPr>
        <w:t>  The dismissal is based on the Letter of Termination dated 26 January 2022 effective 28 February 2022. The Letter of Termination is reproduced for ease or reference as follows:</w:t>
      </w:r>
    </w:p>
    <w:p>
      <w:pPr>
        <w:keepNext w:val="0"/>
        <w:spacing w:before="0" w:after="0" w:line="300" w:lineRule="atLeast"/>
        <w:ind w:left="0" w:right="0" w:firstLine="0"/>
        <w:jc w:val="both"/>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3.82pt;height:683.35pt">
            <v:imagedata r:id="rId7" o:title=""/>
          </v:shape>
        </w:pic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[35]</w:t>
      </w:r>
      <w:r>
        <w:rPr>
          <w:rFonts w:ascii="arial" w:eastAsia="arial" w:hAnsi="arial" w:cs="arial"/>
          <w:b w:val="0"/>
          <w:i w:val="0"/>
          <w:strike w:val="0"/>
          <w:noProof w:val="0"/>
          <w:color w:val="000000"/>
          <w:position w:val="0"/>
          <w:sz w:val="24"/>
          <w:u w:val="none"/>
          <w:vertAlign w:val="baseline"/>
        </w:rPr>
        <w:t xml:space="preserve">  The Letter of Termination is concise, and more telling is that it does not provide any reasons for the termination. This could be interpreted as a purely contractual termination. The apex Court case mentioned above has already defined cases of this nature, namely the Federal Court case of </w:t>
      </w:r>
      <w:r>
        <w:rPr>
          <w:rFonts w:ascii="arial" w:eastAsia="arial" w:hAnsi="arial" w:cs="arial"/>
          <w:b w:val="0"/>
          <w:i/>
          <w:strike w:val="0"/>
          <w:noProof w:val="0"/>
          <w:color w:val="000000"/>
          <w:position w:val="0"/>
          <w:sz w:val="24"/>
          <w:u w:val="none"/>
          <w:vertAlign w:val="baseline"/>
        </w:rPr>
        <w:t xml:space="preserve">Goon Kwee Phoy v J &amp; P Coats (M) Bhd.  </w:t>
      </w:r>
      <w:r>
        <w:rPr>
          <w:rFonts w:ascii="arial" w:eastAsia="arial" w:hAnsi="arial" w:cs="arial"/>
          <w:b w:val="0"/>
          <w:i w:val="0"/>
          <w:strike w:val="0"/>
          <w:noProof w:val="0"/>
          <w:color w:val="000000"/>
          <w:position w:val="0"/>
          <w:sz w:val="24"/>
          <w:u w:val="none"/>
          <w:vertAlign w:val="baseline"/>
        </w:rPr>
        <w:t>[1981] 2 MLJ 129. The learned YAA Raja Azlan Shah, LP in delivering the judgment of the Court states as follows: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 xml:space="preserve">After we had allowed the appeal from the decision of the High Court but before we had time to give our reasons, another division of this court delivered a considered judgment which dealt, </w:t>
      </w:r>
      <w:r>
        <w:rPr>
          <w:rFonts w:ascii="arial" w:eastAsia="arial" w:hAnsi="arial" w:cs="arial"/>
          <w:b w:val="0"/>
          <w:i/>
          <w:strike w:val="0"/>
          <w:noProof w:val="0"/>
          <w:color w:val="000000"/>
          <w:position w:val="0"/>
          <w:sz w:val="18"/>
          <w:u w:val="none"/>
          <w:vertAlign w:val="baseline"/>
        </w:rPr>
        <w:t>inter alia</w:t>
      </w:r>
      <w:r>
        <w:rPr>
          <w:rFonts w:ascii="arial" w:eastAsia="arial" w:hAnsi="arial" w:cs="arial"/>
          <w:b w:val="0"/>
          <w:i w:val="0"/>
          <w:strike w:val="0"/>
          <w:noProof w:val="0"/>
          <w:color w:val="000000"/>
          <w:position w:val="0"/>
          <w:sz w:val="18"/>
          <w:u w:val="none"/>
          <w:vertAlign w:val="baseline"/>
        </w:rPr>
        <w:t xml:space="preserve">, with this very same point. In </w:t>
      </w:r>
      <w:r>
        <w:rPr>
          <w:rFonts w:ascii="arial" w:eastAsia="arial" w:hAnsi="arial" w:cs="arial"/>
          <w:b w:val="0"/>
          <w:i/>
          <w:strike w:val="0"/>
          <w:noProof w:val="0"/>
          <w:color w:val="000000"/>
          <w:position w:val="0"/>
          <w:sz w:val="18"/>
          <w:u w:val="none"/>
          <w:vertAlign w:val="baseline"/>
        </w:rPr>
        <w:t xml:space="preserve">Dr A Dutt v Assunta Hospital  </w:t>
      </w:r>
      <w:r>
        <w:rPr>
          <w:rFonts w:ascii="arial" w:eastAsia="arial" w:hAnsi="arial" w:cs="arial"/>
          <w:b w:val="0"/>
          <w:i w:val="0"/>
          <w:strike w:val="0"/>
          <w:noProof w:val="0"/>
          <w:color w:val="000000"/>
          <w:position w:val="0"/>
          <w:sz w:val="18"/>
          <w:u w:val="none"/>
          <w:vertAlign w:val="baseline"/>
        </w:rPr>
        <w:t xml:space="preserve">[1981] 1 MLJ 304, this court held that the so-called </w:t>
      </w:r>
      <w:r>
        <w:rPr>
          <w:rFonts w:ascii="arial" w:eastAsia="arial" w:hAnsi="arial" w:cs="arial"/>
          <w:b/>
          <w:i w:val="0"/>
          <w:strike w:val="0"/>
          <w:noProof w:val="0"/>
          <w:color w:val="000000"/>
          <w:position w:val="0"/>
          <w:sz w:val="18"/>
          <w:u w:val="none"/>
          <w:vertAlign w:val="baseline"/>
        </w:rPr>
        <w:t>“termination simpliciter”</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i.e.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000000"/>
          <w:position w:val="0"/>
          <w:sz w:val="18"/>
          <w:u w:val="none"/>
          <w:vertAlign w:val="baseline"/>
        </w:rPr>
        <w:t>a termination by contractual notice and for no reason, if ungrounded on any just cause or excuse would still be a dismissal without just cause or excuse</w:t>
      </w:r>
      <w:r>
        <w:rPr>
          <w:rFonts w:ascii="arial" w:eastAsia="arial" w:hAnsi="arial" w:cs="arial"/>
          <w:b w:val="0"/>
          <w:i w:val="0"/>
          <w:strike w:val="0"/>
          <w:noProof w:val="0"/>
          <w:color w:val="000000"/>
          <w:position w:val="0"/>
          <w:sz w:val="18"/>
          <w:u w:val="none"/>
          <w:vertAlign w:val="baseline"/>
        </w:rPr>
        <w:t xml:space="preserve"> and on the workman’s representations, the Industrial Court may award reinstatement or compensation in lieu of reinstatement.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(Emphasis added)</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[36]</w:t>
      </w:r>
      <w:r>
        <w:rPr>
          <w:rFonts w:ascii="arial" w:eastAsia="arial" w:hAnsi="arial" w:cs="arial"/>
          <w:b w:val="0"/>
          <w:i w:val="0"/>
          <w:strike w:val="0"/>
          <w:noProof w:val="0"/>
          <w:color w:val="000000"/>
          <w:position w:val="0"/>
          <w:sz w:val="24"/>
          <w:u w:val="none"/>
          <w:vertAlign w:val="baseline"/>
        </w:rPr>
        <w:t>  The Court must now determine whether this case is a termination simpliciter, and whether the termination was ungrounded on any just cause or excuse. Since the termination letter was bare, the Court will have to look into the actions of the Company to see whether the termination was grounded.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[37]</w:t>
      </w:r>
      <w:r>
        <w:rPr>
          <w:rFonts w:ascii="arial" w:eastAsia="arial" w:hAnsi="arial" w:cs="arial"/>
          <w:b w:val="0"/>
          <w:i w:val="0"/>
          <w:strike w:val="0"/>
          <w:noProof w:val="0"/>
          <w:color w:val="000000"/>
          <w:position w:val="0"/>
          <w:sz w:val="24"/>
          <w:u w:val="none"/>
          <w:vertAlign w:val="baseline"/>
        </w:rPr>
        <w:t>  The Company claimed several things which ultimately led to poor performance of the Claimant but as the Court has stated above are not proven. There were no other grounds provided by the Company for the termination. Based on the above, the Court has no other alternative but to say that the termination was a termination simpliciter and ungrounded.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[38]</w:t>
      </w:r>
      <w:r>
        <w:rPr>
          <w:rFonts w:ascii="arial" w:eastAsia="arial" w:hAnsi="arial" w:cs="arial"/>
          <w:b w:val="0"/>
          <w:i w:val="0"/>
          <w:strike w:val="0"/>
          <w:noProof w:val="0"/>
          <w:color w:val="000000"/>
          <w:position w:val="0"/>
          <w:sz w:val="24"/>
          <w:u w:val="none"/>
          <w:vertAlign w:val="baseline"/>
        </w:rPr>
        <w:t xml:space="preserve">  Therefore, based on the principles in subsection 30(5),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namely equity, good conscience and substantial merits of the case without regard to technicalities and legal form and all the evidence adduced in this Court, this Court finds that the Claimant has proven on the balance of probabilities that the Claimant was dismissed without just cause or excuse.</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Remedy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[39]</w:t>
      </w:r>
      <w:r>
        <w:rPr>
          <w:rFonts w:ascii="arial" w:eastAsia="arial" w:hAnsi="arial" w:cs="arial"/>
          <w:b w:val="0"/>
          <w:i w:val="0"/>
          <w:strike w:val="0"/>
          <w:noProof w:val="0"/>
          <w:color w:val="000000"/>
          <w:position w:val="0"/>
          <w:sz w:val="24"/>
          <w:u w:val="none"/>
          <w:vertAlign w:val="baseline"/>
        </w:rPr>
        <w:t>  The Claimant has worked with the Company for 17 years and 8 months. The remedy for this case will take into consideration the determination by the Court above as well. The Court has decided that the termination was not done with just cause and excuse, however the Claimant had contributed to the case. The Claimant cannot state that the recording of details at the entrance was not important since at the time there was the fear of relapse of the pandemic. The recordings were important and this included recording of entrance of time.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[40]</w:t>
      </w:r>
      <w:r>
        <w:rPr>
          <w:rFonts w:ascii="arial" w:eastAsia="arial" w:hAnsi="arial" w:cs="arial"/>
          <w:b w:val="0"/>
          <w:i w:val="0"/>
          <w:strike w:val="0"/>
          <w:noProof w:val="0"/>
          <w:color w:val="000000"/>
          <w:position w:val="0"/>
          <w:sz w:val="24"/>
          <w:u w:val="none"/>
          <w:vertAlign w:val="baseline"/>
        </w:rPr>
        <w:t xml:space="preserve">  The Claimant could not justify her tardiness and as such should be taking some of the blame. Taking all of the above into consideration, the Court refers to the doctrine of proportionality. This doctrine was used by this Court, specifically in the cases of </w:t>
      </w:r>
      <w:r>
        <w:rPr>
          <w:rFonts w:ascii="arial" w:eastAsia="arial" w:hAnsi="arial" w:cs="arial"/>
          <w:b/>
          <w:i/>
          <w:strike w:val="0"/>
          <w:noProof w:val="0"/>
          <w:color w:val="000000"/>
          <w:position w:val="0"/>
          <w:sz w:val="24"/>
          <w:u w:val="none"/>
          <w:vertAlign w:val="baseline"/>
        </w:rPr>
        <w:t>Badariah</w:t>
      </w:r>
      <w:r>
        <w:rPr>
          <w:rFonts w:ascii="arial" w:eastAsia="arial" w:hAnsi="arial" w:cs="arial"/>
          <w:b w:val="0"/>
          <w:i w:val="0"/>
          <w:strike w:val="0"/>
          <w:noProof w:val="0"/>
          <w:color w:val="000000"/>
          <w:position w:val="0"/>
          <w:sz w:val="24"/>
          <w:u w:val="none"/>
          <w:vertAlign w:val="baseline"/>
        </w:rPr>
        <w:t xml:space="preserve"> and </w:t>
      </w:r>
      <w:r>
        <w:rPr>
          <w:rFonts w:ascii="arial" w:eastAsia="arial" w:hAnsi="arial" w:cs="arial"/>
          <w:b/>
          <w:i/>
          <w:strike w:val="0"/>
          <w:noProof w:val="0"/>
          <w:color w:val="000000"/>
          <w:position w:val="0"/>
          <w:sz w:val="24"/>
          <w:u w:val="none"/>
          <w:vertAlign w:val="baseline"/>
        </w:rPr>
        <w:t>Mohamad Suffian</w:t>
      </w:r>
      <w:r>
        <w:rPr>
          <w:rFonts w:ascii="arial" w:eastAsia="arial" w:hAnsi="arial" w:cs="arial"/>
          <w:b w:val="0"/>
          <w:i w:val="0"/>
          <w:strike w:val="0"/>
          <w:noProof w:val="0"/>
          <w:color w:val="000000"/>
          <w:position w:val="0"/>
          <w:sz w:val="24"/>
          <w:u w:val="none"/>
          <w:vertAlign w:val="baseline"/>
        </w:rPr>
        <w:t xml:space="preserve"> mentioned above and the case of </w:t>
      </w:r>
      <w:r>
        <w:rPr>
          <w:rFonts w:ascii="arial" w:eastAsia="arial" w:hAnsi="arial" w:cs="arial"/>
          <w:b w:val="0"/>
          <w:i/>
          <w:strike w:val="0"/>
          <w:noProof w:val="0"/>
          <w:color w:val="000000"/>
          <w:position w:val="0"/>
          <w:sz w:val="24"/>
          <w:u w:val="none"/>
          <w:vertAlign w:val="baseline"/>
        </w:rPr>
        <w:t xml:space="preserve">Syed Fazal Syed Thajudeen v. Petroliam Nasional Berhad (Petronas)  </w:t>
      </w:r>
      <w:r>
        <w:rPr>
          <w:rFonts w:ascii="arial" w:eastAsia="arial" w:hAnsi="arial" w:cs="arial"/>
          <w:b w:val="0"/>
          <w:i w:val="0"/>
          <w:strike w:val="0"/>
          <w:noProof w:val="0"/>
          <w:color w:val="000000"/>
          <w:position w:val="0"/>
          <w:sz w:val="24"/>
          <w:u w:val="none"/>
          <w:vertAlign w:val="baseline"/>
        </w:rPr>
        <w:t xml:space="preserve">[2023] 4 ILR 401; ; [2023] MELRU 2126. The Court does not wish to repeat itself and parties can view these cases for an in-depth explanation of the doctrine of proportionality where the Court refers to the Federal Court case of </w:t>
      </w:r>
      <w:r>
        <w:rPr>
          <w:rFonts w:ascii="arial" w:eastAsia="arial" w:hAnsi="arial" w:cs="arial"/>
          <w:b w:val="0"/>
          <w:i/>
          <w:strike w:val="0"/>
          <w:noProof w:val="0"/>
          <w:color w:val="000000"/>
          <w:position w:val="0"/>
          <w:sz w:val="24"/>
          <w:u w:val="none"/>
          <w:vertAlign w:val="baseline"/>
        </w:rPr>
        <w:t xml:space="preserve">Norizan bin Baker v Panzana Enterprise Sdn Bhd  </w:t>
      </w:r>
      <w:r>
        <w:rPr>
          <w:rFonts w:ascii="arial" w:eastAsia="arial" w:hAnsi="arial" w:cs="arial"/>
          <w:b w:val="0"/>
          <w:i w:val="0"/>
          <w:strike w:val="0"/>
          <w:noProof w:val="0"/>
          <w:color w:val="000000"/>
          <w:position w:val="0"/>
          <w:sz w:val="24"/>
          <w:u w:val="none"/>
          <w:vertAlign w:val="baseline"/>
        </w:rPr>
        <w:t xml:space="preserve">[2013] 6 MLJ 605. The Court just reproduces the relevant provision of the Federal Court who stated that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has the jurisdiction to invoke proportionality when making its decision, as follows: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i w:val="0"/>
          <w:strike w:val="0"/>
          <w:noProof w:val="0"/>
          <w:color w:val="000000"/>
          <w:position w:val="0"/>
          <w:sz w:val="18"/>
          <w:u w:val="none"/>
          <w:vertAlign w:val="baseline"/>
        </w:rPr>
        <w:t>[36]</w:t>
      </w:r>
      <w:r>
        <w:rPr>
          <w:rFonts w:ascii="arial" w:eastAsia="arial" w:hAnsi="arial" w:cs="arial"/>
          <w:b w:val="0"/>
          <w:i w:val="0"/>
          <w:strike w:val="0"/>
          <w:noProof w:val="0"/>
          <w:color w:val="000000"/>
          <w:position w:val="0"/>
          <w:sz w:val="18"/>
          <w:u w:val="none"/>
          <w:vertAlign w:val="baseline"/>
        </w:rPr>
        <w:t xml:space="preserve"> Thus, in reference to the questions posed to us, we are of the view that the Industrial Court has the jurisdiction to decide that the dismissal of the appellant was without just cause or excuse by using the doctrine of proportionality of punishment and also to decide whether the punishment of dismissal was too harsh in the circumstances when ascertaining the award under s. 20(3) of the IRA. We are further of the view that the Industrial Court in exercising the aforesaid functions can rely to its powers under s. 30(5) of the IRA based on the principle of equity, good conscience and substantial merit of the case.</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[37]</w:t>
      </w:r>
      <w:r>
        <w:rPr>
          <w:rFonts w:ascii="arial" w:eastAsia="arial" w:hAnsi="arial" w:cs="arial"/>
          <w:b w:val="0"/>
          <w:i w:val="0"/>
          <w:strike w:val="0"/>
          <w:noProof w:val="0"/>
          <w:color w:val="000000"/>
          <w:position w:val="0"/>
          <w:sz w:val="18"/>
          <w:u w:val="none"/>
          <w:vertAlign w:val="baseline"/>
        </w:rPr>
        <w:t xml:space="preserve"> Clearly, the reference by the Federal Court in </w:t>
      </w:r>
      <w:r>
        <w:rPr>
          <w:rFonts w:ascii="arial" w:eastAsia="arial" w:hAnsi="arial" w:cs="arial"/>
          <w:b w:val="0"/>
          <w:i/>
          <w:strike w:val="0"/>
          <w:noProof w:val="0"/>
          <w:color w:val="000000"/>
          <w:position w:val="0"/>
          <w:sz w:val="18"/>
          <w:u w:val="none"/>
          <w:vertAlign w:val="baseline"/>
        </w:rPr>
        <w:t>Milan Auto</w:t>
      </w:r>
      <w:r>
        <w:rPr>
          <w:rFonts w:ascii="arial" w:eastAsia="arial" w:hAnsi="arial" w:cs="arial"/>
          <w:b w:val="0"/>
          <w:i w:val="0"/>
          <w:strike w:val="0"/>
          <w:noProof w:val="0"/>
          <w:color w:val="000000"/>
          <w:position w:val="0"/>
          <w:sz w:val="18"/>
          <w:u w:val="none"/>
          <w:vertAlign w:val="baseline"/>
        </w:rPr>
        <w:t xml:space="preserve"> ‘s decision to the “two fold” test, especially the second fold where the Industrial Court has to decide whether the proven misconduct constitutes just cause or excuse for the dismissal is clear reference to the duty of the Industrial Court to apply the doctrine of proportionality of punishment. This is consistent to what is required of the Industrial Court under s. 30(6) in making an award which provides:</w:t>
      </w:r>
    </w:p>
    <w:p>
      <w:pPr>
        <w:keepNext w:val="0"/>
        <w:spacing w:before="0" w:after="0" w:line="240" w:lineRule="atLeast"/>
        <w:ind w:left="800" w:right="0" w:firstLine="0"/>
        <w:jc w:val="both"/>
      </w:pPr>
      <w:r>
        <w:br/>
      </w:r>
      <w:r>
        <w:rPr>
          <w:rFonts w:ascii="arial" w:eastAsia="arial" w:hAnsi="arial" w:cs="arial"/>
          <w:b w:val="0"/>
          <w:i w:val="0"/>
          <w:strike w:val="0"/>
          <w:noProof w:val="0"/>
          <w:color w:val="000000"/>
          <w:position w:val="0"/>
          <w:sz w:val="18"/>
          <w:u w:val="none"/>
          <w:vertAlign w:val="baseline"/>
        </w:rPr>
        <w:t>(6) In making its award, the Court shall not be restricted to the specific relief claimed by the parties or to the demands made by the parties in the course of the trade dispute or in the matter of the reference to it under section 20(3) but may include in the award any matter or thing which it thinks necessary or expedient for the purpose of settling the trade dispute or the reference to it under section 20(3).</w:t>
      </w:r>
      <w:r>
        <w:t>
</w:t>
      </w:r>
    </w:p>
    <w:p/>
    <w:p>
      <w:pPr>
        <w:keepNext w:val="0"/>
        <w:spacing w:after="0" w:line="240" w:lineRule="atLeast"/>
        <w:ind w:left="400" w:right="0" w:firstLine="0"/>
        <w:jc w:val="both"/>
      </w:pPr>
      <w:r>
        <w:rPr>
          <w:rFonts w:ascii="arial" w:eastAsia="arial" w:hAnsi="arial" w:cs="arial"/>
          <w:b/>
          <w:i w:val="0"/>
          <w:strike w:val="0"/>
          <w:noProof w:val="0"/>
          <w:color w:val="000000"/>
          <w:position w:val="0"/>
          <w:sz w:val="18"/>
          <w:u w:val="none"/>
          <w:vertAlign w:val="baseline"/>
        </w:rPr>
        <w:t>[38]</w:t>
      </w:r>
      <w:r>
        <w:rPr>
          <w:rFonts w:ascii="arial" w:eastAsia="arial" w:hAnsi="arial" w:cs="arial"/>
          <w:b w:val="0"/>
          <w:i w:val="0"/>
          <w:strike w:val="0"/>
          <w:noProof w:val="0"/>
          <w:color w:val="000000"/>
          <w:position w:val="0"/>
          <w:sz w:val="18"/>
          <w:u w:val="none"/>
          <w:vertAlign w:val="baseline"/>
        </w:rPr>
        <w:t xml:space="preserve"> Pertinent to note that, under the IRA itself there is an inbuilt mechanism through Item 5 of the Second Schedule to consider the doctrine of proportionality of punishment. Item 5 provides as follows:</w:t>
      </w:r>
    </w:p>
    <w:p>
      <w:pPr>
        <w:keepNext w:val="0"/>
        <w:spacing w:before="0" w:after="0" w:line="240" w:lineRule="atLeast"/>
        <w:ind w:left="800" w:right="0" w:firstLine="0"/>
        <w:jc w:val="both"/>
      </w:pPr>
      <w:r>
        <w:br/>
      </w:r>
      <w:r>
        <w:rPr>
          <w:rFonts w:ascii="arial" w:eastAsia="arial" w:hAnsi="arial" w:cs="arial"/>
          <w:b w:val="0"/>
          <w:i w:val="0"/>
          <w:strike w:val="0"/>
          <w:noProof w:val="0"/>
          <w:color w:val="000000"/>
          <w:position w:val="0"/>
          <w:sz w:val="18"/>
          <w:u w:val="none"/>
          <w:vertAlign w:val="baseline"/>
        </w:rPr>
        <w:t>Any relief given shall take into account contributory misconduct of the workman.</w:t>
      </w:r>
      <w:r>
        <w:t>
</w:t>
      </w:r>
    </w:p>
    <w:p/>
    <w:p>
      <w:pPr>
        <w:keepNext w:val="0"/>
        <w:spacing w:after="0" w:line="240" w:lineRule="atLeast"/>
        <w:ind w:left="400" w:right="0" w:firstLine="0"/>
        <w:jc w:val="both"/>
      </w:pPr>
      <w:r>
        <w:rPr>
          <w:rFonts w:ascii="arial" w:eastAsia="arial" w:hAnsi="arial" w:cs="arial"/>
          <w:b/>
          <w:i w:val="0"/>
          <w:strike w:val="0"/>
          <w:noProof w:val="0"/>
          <w:color w:val="000000"/>
          <w:position w:val="0"/>
          <w:sz w:val="18"/>
          <w:u w:val="none"/>
          <w:vertAlign w:val="baseline"/>
        </w:rPr>
        <w:t>[39]</w:t>
      </w:r>
      <w:r>
        <w:rPr>
          <w:rFonts w:ascii="arial" w:eastAsia="arial" w:hAnsi="arial" w:cs="arial"/>
          <w:b w:val="0"/>
          <w:i w:val="0"/>
          <w:strike w:val="0"/>
          <w:noProof w:val="0"/>
          <w:color w:val="000000"/>
          <w:position w:val="0"/>
          <w:sz w:val="18"/>
          <w:u w:val="none"/>
          <w:vertAlign w:val="baseline"/>
        </w:rPr>
        <w:t xml:space="preserve"> Based on the above, it is clear that the Industrial Court can go on to decide on the relief to be granted by taking into account of contributory misconduct and as such we are of the view that the doctrine of proportionality of punishment is already inbuilt into the IRA. Thus, the Industrial Court can substitute its own view as to what is the appropriate penalty for the employee’s misconduct, for the view of the employer concerned.”.</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[41]</w:t>
      </w:r>
      <w:r>
        <w:rPr>
          <w:rFonts w:ascii="arial" w:eastAsia="arial" w:hAnsi="arial" w:cs="arial"/>
          <w:b w:val="0"/>
          <w:i w:val="0"/>
          <w:strike w:val="0"/>
          <w:noProof w:val="0"/>
          <w:color w:val="000000"/>
          <w:position w:val="0"/>
          <w:sz w:val="24"/>
          <w:u w:val="none"/>
          <w:vertAlign w:val="baseline"/>
        </w:rPr>
        <w:t xml:space="preserve">  Added to that, the Court feels that after taking into consideration the insubordinate acts of the Claimant that he should bear 20% of the blame. The Court will now determine the exact compensation the Claimant is entitled with regards to backwages and compensation </w:t>
      </w:r>
      <w:r>
        <w:rPr>
          <w:rFonts w:ascii="arial" w:eastAsia="arial" w:hAnsi="arial" w:cs="arial"/>
          <w:b w:val="0"/>
          <w:i/>
          <w:strike w:val="0"/>
          <w:noProof w:val="0"/>
          <w:color w:val="000000"/>
          <w:position w:val="0"/>
          <w:sz w:val="24"/>
          <w:u w:val="none"/>
          <w:vertAlign w:val="baseline"/>
        </w:rPr>
        <w:t>in lieu</w:t>
      </w:r>
      <w:r>
        <w:rPr>
          <w:rFonts w:ascii="arial" w:eastAsia="arial" w:hAnsi="arial" w:cs="arial"/>
          <w:b w:val="0"/>
          <w:i w:val="0"/>
          <w:strike w:val="0"/>
          <w:noProof w:val="0"/>
          <w:color w:val="000000"/>
          <w:position w:val="0"/>
          <w:sz w:val="24"/>
          <w:u w:val="none"/>
          <w:vertAlign w:val="baseline"/>
        </w:rPr>
        <w:t xml:space="preserve"> of reinstatement.</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(i) Compensation In Lieu Of Reinstatement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[42]</w:t>
      </w:r>
      <w:r>
        <w:rPr>
          <w:rFonts w:ascii="arial" w:eastAsia="arial" w:hAnsi="arial" w:cs="arial"/>
          <w:b w:val="0"/>
          <w:i w:val="0"/>
          <w:strike w:val="0"/>
          <w:noProof w:val="0"/>
          <w:color w:val="000000"/>
          <w:position w:val="0"/>
          <w:sz w:val="24"/>
          <w:u w:val="none"/>
          <w:vertAlign w:val="baseline"/>
        </w:rPr>
        <w:t xml:space="preserve">  The issue of compensation </w:t>
      </w:r>
      <w:r>
        <w:rPr>
          <w:rFonts w:ascii="arial" w:eastAsia="arial" w:hAnsi="arial" w:cs="arial"/>
          <w:b w:val="0"/>
          <w:i/>
          <w:strike w:val="0"/>
          <w:noProof w:val="0"/>
          <w:color w:val="000000"/>
          <w:position w:val="0"/>
          <w:sz w:val="24"/>
          <w:u w:val="none"/>
          <w:vertAlign w:val="baseline"/>
        </w:rPr>
        <w:t>in lieu</w:t>
      </w:r>
      <w:r>
        <w:rPr>
          <w:rFonts w:ascii="arial" w:eastAsia="arial" w:hAnsi="arial" w:cs="arial"/>
          <w:b w:val="0"/>
          <w:i w:val="0"/>
          <w:strike w:val="0"/>
          <w:noProof w:val="0"/>
          <w:color w:val="000000"/>
          <w:position w:val="0"/>
          <w:sz w:val="24"/>
          <w:u w:val="none"/>
          <w:vertAlign w:val="baseline"/>
        </w:rPr>
        <w:t xml:space="preserve"> of reinstatement requires the Court to really look at the circumstances of the case. As mentioned earlier, the relationship between the parties have been irreconcilable. Further this Court has always been reluctant to grant reinstatement especially where it is clear that the parties are beyond reproach and the Company is too small to reinstate without causing disharmony within the Company.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[43]</w:t>
      </w:r>
      <w:r>
        <w:rPr>
          <w:rFonts w:ascii="arial" w:eastAsia="arial" w:hAnsi="arial" w:cs="arial"/>
          <w:b w:val="0"/>
          <w:i w:val="0"/>
          <w:strike w:val="0"/>
          <w:noProof w:val="0"/>
          <w:color w:val="000000"/>
          <w:position w:val="0"/>
          <w:sz w:val="24"/>
          <w:u w:val="none"/>
          <w:vertAlign w:val="baseline"/>
        </w:rPr>
        <w:t xml:space="preserve">  Therefore, reinstatement of the Claimant to her former position is not in the interest of industrial harmony. Hence, the Court will not order reinstatement of the Claimant. As such, the usual remedy in the circumstances of a case in this nature would be compensation </w:t>
      </w:r>
      <w:r>
        <w:rPr>
          <w:rFonts w:ascii="arial" w:eastAsia="arial" w:hAnsi="arial" w:cs="arial"/>
          <w:b w:val="0"/>
          <w:i/>
          <w:strike w:val="0"/>
          <w:noProof w:val="0"/>
          <w:color w:val="000000"/>
          <w:position w:val="0"/>
          <w:sz w:val="24"/>
          <w:u w:val="none"/>
          <w:vertAlign w:val="baseline"/>
        </w:rPr>
        <w:t>in lieu</w:t>
      </w:r>
      <w:r>
        <w:rPr>
          <w:rFonts w:ascii="arial" w:eastAsia="arial" w:hAnsi="arial" w:cs="arial"/>
          <w:b w:val="0"/>
          <w:i w:val="0"/>
          <w:strike w:val="0"/>
          <w:noProof w:val="0"/>
          <w:color w:val="000000"/>
          <w:position w:val="0"/>
          <w:sz w:val="24"/>
          <w:u w:val="none"/>
          <w:vertAlign w:val="baseline"/>
        </w:rPr>
        <w:t xml:space="preserve"> of reinstatement. The Court has always referred to on all remedies that are available to the Claimant. The Court stands by its earlier decisions such as the case of </w:t>
      </w:r>
      <w:r>
        <w:rPr>
          <w:rFonts w:ascii="arial" w:eastAsia="arial" w:hAnsi="arial" w:cs="arial"/>
          <w:b/>
          <w:i/>
          <w:strike w:val="0"/>
          <w:noProof w:val="0"/>
          <w:color w:val="000000"/>
          <w:position w:val="0"/>
          <w:sz w:val="24"/>
          <w:u w:val="none"/>
          <w:vertAlign w:val="baseline"/>
        </w:rPr>
        <w:t>Syed Fazal</w:t>
      </w:r>
      <w:r>
        <w:rPr>
          <w:rFonts w:ascii="arial" w:eastAsia="arial" w:hAnsi="arial" w:cs="arial"/>
          <w:b w:val="0"/>
          <w:i w:val="0"/>
          <w:strike w:val="0"/>
          <w:noProof w:val="0"/>
          <w:color w:val="000000"/>
          <w:position w:val="0"/>
          <w:sz w:val="24"/>
          <w:u w:val="none"/>
          <w:vertAlign w:val="baseline"/>
        </w:rPr>
        <w:t xml:space="preserve"> where the Court had discussed the </w:t>
      </w:r>
      <w:r>
        <w:rPr>
          <w:rFonts w:ascii="arial" w:eastAsia="arial" w:hAnsi="arial" w:cs="arial"/>
          <w:b/>
          <w:i/>
          <w:strike w:val="0"/>
          <w:noProof w:val="0"/>
          <w:color w:val="000000"/>
          <w:position w:val="0"/>
          <w:sz w:val="24"/>
          <w:u w:val="none"/>
          <w:vertAlign w:val="baseline"/>
        </w:rPr>
        <w:t>Equant</w:t>
      </w:r>
      <w:r>
        <w:rPr>
          <w:rFonts w:ascii="arial" w:eastAsia="arial" w:hAnsi="arial" w:cs="arial"/>
          <w:b w:val="0"/>
          <w:i w:val="0"/>
          <w:strike w:val="0"/>
          <w:noProof w:val="0"/>
          <w:color w:val="000000"/>
          <w:position w:val="0"/>
          <w:sz w:val="24"/>
          <w:u w:val="none"/>
          <w:vertAlign w:val="baseline"/>
        </w:rPr>
        <w:t xml:space="preserve"> case.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[44]</w:t>
      </w:r>
      <w:r>
        <w:rPr>
          <w:rFonts w:ascii="arial" w:eastAsia="arial" w:hAnsi="arial" w:cs="arial"/>
          <w:b w:val="0"/>
          <w:i w:val="0"/>
          <w:strike w:val="0"/>
          <w:noProof w:val="0"/>
          <w:color w:val="000000"/>
          <w:position w:val="0"/>
          <w:sz w:val="24"/>
          <w:u w:val="none"/>
          <w:vertAlign w:val="baseline"/>
        </w:rPr>
        <w:t>  Furthermore, the Claimant managed to obtain another employment after two months from the termination. Further complicating reinstatement of the Claimant. Based on the Court of Appeal case above, the Court will rely on subregulation 6(1) of Employment (Termination and Lay-Off Benefits) Regulations 1980 (PU (A) 278/80). The Court will also round up the figure from 17 years 7 months to 18 years of service for the purposes of calculating the compensation.</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(ii) Backwages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[45]</w:t>
      </w:r>
      <w:r>
        <w:rPr>
          <w:rFonts w:ascii="arial" w:eastAsia="arial" w:hAnsi="arial" w:cs="arial"/>
          <w:b w:val="0"/>
          <w:i w:val="0"/>
          <w:strike w:val="0"/>
          <w:noProof w:val="0"/>
          <w:color w:val="000000"/>
          <w:position w:val="0"/>
          <w:sz w:val="24"/>
          <w:u w:val="none"/>
          <w:vertAlign w:val="baseline"/>
        </w:rPr>
        <w:t xml:space="preserve">  Referring to the </w:t>
      </w:r>
      <w:r>
        <w:rPr>
          <w:rFonts w:ascii="arial" w:eastAsia="arial" w:hAnsi="arial" w:cs="arial"/>
          <w:b/>
          <w:i/>
          <w:strike w:val="0"/>
          <w:noProof w:val="0"/>
          <w:color w:val="000000"/>
          <w:position w:val="0"/>
          <w:sz w:val="24"/>
          <w:u w:val="none"/>
          <w:vertAlign w:val="baseline"/>
        </w:rPr>
        <w:t>Equant</w:t>
      </w:r>
      <w:r>
        <w:rPr>
          <w:rFonts w:ascii="arial" w:eastAsia="arial" w:hAnsi="arial" w:cs="arial"/>
          <w:b w:val="0"/>
          <w:i w:val="0"/>
          <w:strike w:val="0"/>
          <w:noProof w:val="0"/>
          <w:color w:val="000000"/>
          <w:position w:val="0"/>
          <w:sz w:val="24"/>
          <w:u w:val="none"/>
          <w:vertAlign w:val="baseline"/>
        </w:rPr>
        <w:t xml:space="preserve"> case above then, the general rule for backwages has been provided for in s. 30(6A) of the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and the factors specified in the paragraphs 1 and 2 of the Second Schedule, which states as follows:</w:t>
      </w:r>
      <w:r>
        <w:t>
</w:t>
      </w:r>
    </w:p>
    <w:p>
      <w:pPr>
        <w:keepNext w:val="0"/>
        <w:numPr>
          <w:numId w:val="2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In the event that backwages are to be given, such backwages shall not exceed twenty-four months’ backwages from the date of dismissal based on the last-drawn salary of the person who has been dismissed without just cause or excuse;</w:t>
      </w:r>
    </w:p>
    <w:p>
      <w:pPr>
        <w:keepNext w:val="0"/>
        <w:numPr>
          <w:numId w:val="2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In the case of a probationer who has been dismissed without just cause or excuse, any backwages shall not exceed twelve months’ backwages from the date of dismissal based on his last-drawn salary;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[46]</w:t>
      </w:r>
      <w:r>
        <w:rPr>
          <w:rFonts w:ascii="arial" w:eastAsia="arial" w:hAnsi="arial" w:cs="arial"/>
          <w:b w:val="0"/>
          <w:i w:val="0"/>
          <w:strike w:val="0"/>
          <w:noProof w:val="0"/>
          <w:color w:val="000000"/>
          <w:position w:val="0"/>
          <w:sz w:val="24"/>
          <w:u w:val="none"/>
          <w:vertAlign w:val="baseline"/>
        </w:rPr>
        <w:t xml:space="preserve">  The issue of backwages looks at whether the Claimant has obtained other employment after termination. The Claimant had obtained employment after to months and as such should not be overly compensated for the backwages received. This Court refers to the Court of Appeal case of </w:t>
      </w:r>
      <w:r>
        <w:rPr>
          <w:rFonts w:ascii="arial" w:eastAsia="arial" w:hAnsi="arial" w:cs="arial"/>
          <w:b w:val="0"/>
          <w:i/>
          <w:strike w:val="0"/>
          <w:noProof w:val="0"/>
          <w:color w:val="000000"/>
          <w:position w:val="0"/>
          <w:sz w:val="24"/>
          <w:u w:val="none"/>
          <w:vertAlign w:val="baseline"/>
        </w:rPr>
        <w:t xml:space="preserve">Koperasi Serbaguna Sanya Berhad (Sabah) v. Dr James Alfred (Sabah) &amp; Anor  </w:t>
      </w:r>
      <w:r>
        <w:rPr>
          <w:rFonts w:ascii="arial" w:eastAsia="arial" w:hAnsi="arial" w:cs="arial"/>
          <w:b w:val="0"/>
          <w:i w:val="0"/>
          <w:strike w:val="0"/>
          <w:noProof w:val="0"/>
          <w:color w:val="000000"/>
          <w:position w:val="0"/>
          <w:sz w:val="24"/>
          <w:u w:val="none"/>
          <w:vertAlign w:val="baseline"/>
        </w:rPr>
        <w:t>[2000] 3 CLJ 758. The Court has stated as follows: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 xml:space="preserve">“That brings me to the question whether the award of compensation is flawed in the present instance. To answer that question you have to bear in mind the principles that govern the award of compensation in a case of dismissal without just cause and excuse. In industrial law, the usual remedy for unjustified dismissal is an order of reinstatement. It is only in rare cases that reinstatement is refused. For example, as here, where </w:t>
      </w:r>
      <w:r>
        <w:rPr>
          <w:rFonts w:ascii="arial" w:eastAsia="arial" w:hAnsi="arial" w:cs="arial"/>
          <w:b/>
          <w:i w:val="0"/>
          <w:strike w:val="0"/>
          <w:noProof w:val="0"/>
          <w:color w:val="000000"/>
          <w:position w:val="0"/>
          <w:sz w:val="18"/>
          <w:u w:val="none"/>
          <w:vertAlign w:val="baseline"/>
        </w:rPr>
        <w:t>the relationship between the parties has broken down so badly that it would not be conducive to industrial harmony to return the workman to his place of work</w:t>
      </w:r>
      <w:r>
        <w:rPr>
          <w:rFonts w:ascii="arial" w:eastAsia="arial" w:hAnsi="arial" w:cs="arial"/>
          <w:b w:val="0"/>
          <w:i w:val="0"/>
          <w:strike w:val="0"/>
          <w:noProof w:val="0"/>
          <w:color w:val="000000"/>
          <w:position w:val="0"/>
          <w:sz w:val="18"/>
          <w:u w:val="none"/>
          <w:vertAlign w:val="baseline"/>
        </w:rPr>
        <w:t xml:space="preserve">. In such a case, the Industrial Court may award monetary compensation. Such an award is usually in two parts. First, there is the usual award for the arrears of wages, or backwages, as it is sometimes called. It is to compensate the workman for the period that he has been unemployed because of the unjustified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xml:space="preserve"> of dismissal. Second, there is an award of compensation </w:t>
      </w:r>
      <w:r>
        <w:rPr>
          <w:rFonts w:ascii="arial" w:eastAsia="arial" w:hAnsi="arial" w:cs="arial"/>
          <w:b w:val="0"/>
          <w:i/>
          <w:strike w:val="0"/>
          <w:noProof w:val="0"/>
          <w:color w:val="000000"/>
          <w:position w:val="0"/>
          <w:sz w:val="18"/>
          <w:u w:val="none"/>
          <w:vertAlign w:val="baseline"/>
        </w:rPr>
        <w:t>in lieu</w:t>
      </w:r>
      <w:r>
        <w:rPr>
          <w:rFonts w:ascii="arial" w:eastAsia="arial" w:hAnsi="arial" w:cs="arial"/>
          <w:b w:val="0"/>
          <w:i w:val="0"/>
          <w:strike w:val="0"/>
          <w:noProof w:val="0"/>
          <w:color w:val="000000"/>
          <w:position w:val="0"/>
          <w:sz w:val="18"/>
          <w:u w:val="none"/>
          <w:vertAlign w:val="baseline"/>
        </w:rPr>
        <w:t xml:space="preserve"> of reinstatement. I will say more about this in a moment. Let me deal with the award of backwages first.</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 xml:space="preserve">The principles that govern an award of backwages are conveniently summarised in vol. 2 of the 4th edn of </w:t>
      </w:r>
      <w:r>
        <w:rPr>
          <w:rFonts w:ascii="arial" w:eastAsia="arial" w:hAnsi="arial" w:cs="arial"/>
          <w:b w:val="0"/>
          <w:i/>
          <w:strike w:val="0"/>
          <w:noProof w:val="0"/>
          <w:color w:val="000000"/>
          <w:position w:val="0"/>
          <w:sz w:val="18"/>
          <w:u w:val="none"/>
          <w:vertAlign w:val="baseline"/>
        </w:rPr>
        <w:t>The Law of Industrial Disputes</w:t>
      </w:r>
      <w:r>
        <w:rPr>
          <w:rFonts w:ascii="arial" w:eastAsia="arial" w:hAnsi="arial" w:cs="arial"/>
          <w:b w:val="0"/>
          <w:i w:val="0"/>
          <w:strike w:val="0"/>
          <w:noProof w:val="0"/>
          <w:color w:val="000000"/>
          <w:position w:val="0"/>
          <w:sz w:val="18"/>
          <w:u w:val="none"/>
          <w:vertAlign w:val="baseline"/>
        </w:rPr>
        <w:t xml:space="preserve"> by Malhotra. It is a leading textbook on the subject. It is highly regarded by our courts. There is a useful passage at p. 961. It reads as follows:</w:t>
      </w:r>
    </w:p>
    <w:p>
      <w:pPr>
        <w:keepNext w:val="0"/>
        <w:spacing w:before="0" w:after="0" w:line="240" w:lineRule="atLeast"/>
        <w:ind w:left="800" w:right="0" w:firstLine="0"/>
        <w:jc w:val="both"/>
      </w:pPr>
      <w:r>
        <w:br/>
      </w:r>
      <w:r>
        <w:rPr>
          <w:rFonts w:ascii="arial" w:eastAsia="arial" w:hAnsi="arial" w:cs="arial"/>
          <w:b w:val="0"/>
          <w:i w:val="0"/>
          <w:strike w:val="0"/>
          <w:noProof w:val="0"/>
          <w:color w:val="000000"/>
          <w:position w:val="0"/>
          <w:sz w:val="18"/>
          <w:u w:val="none"/>
          <w:vertAlign w:val="baseline"/>
        </w:rPr>
        <w:t xml:space="preserve">In dealing with different types of cases, the Tribunal in each case has to see that relief should be given in a particular case to a particular workman in the matter of compensation by balancing the conflicting claims and the variations that exist in human conduct and the requirements of social justice. On the parity of reasoning, </w:t>
      </w:r>
      <w:r>
        <w:rPr>
          <w:rFonts w:ascii="arial" w:eastAsia="arial" w:hAnsi="arial" w:cs="arial"/>
          <w:b/>
          <w:i w:val="0"/>
          <w:strike w:val="0"/>
          <w:noProof w:val="0"/>
          <w:color w:val="000000"/>
          <w:position w:val="0"/>
          <w:sz w:val="18"/>
          <w:u w:val="none"/>
          <w:vertAlign w:val="baseline"/>
        </w:rPr>
        <w:t>the adjudicator has to counter-balance the claim of the employer that the workman was gainfully employed elsewhere during the period of unemployment with him, with the claim of the workman that he was not employed anywhere at all</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000000"/>
          <w:position w:val="0"/>
          <w:sz w:val="18"/>
          <w:u w:val="none"/>
          <w:vertAlign w:val="baseline"/>
        </w:rPr>
        <w:t>The quantum of back-wages is, therefore, a matter in the discretion of the Tribunal dependent on the facts of a case. The Tribunal will exercise its discretion keeping in view all the relevant circumstances</w:t>
      </w:r>
      <w:r>
        <w:rPr>
          <w:rFonts w:ascii="arial" w:eastAsia="arial" w:hAnsi="arial" w:cs="arial"/>
          <w:b w:val="0"/>
          <w:i w:val="0"/>
          <w:strike w:val="0"/>
          <w:noProof w:val="0"/>
          <w:color w:val="000000"/>
          <w:position w:val="0"/>
          <w:sz w:val="18"/>
          <w:u w:val="none"/>
          <w:vertAlign w:val="baseline"/>
        </w:rPr>
        <w:t xml:space="preserve">. But the discretion must be exercised in a judicial and judicious manner. The reason for exercising discretion must be cogent and convincing and must appear on the face of the record. When it is said that something is to be done within the discretion of the authority, that something is to be done according to rules of reason and justice, according to law and not humour. It is not to be arbitrary, vague and fanciful but legal and regular. The discretion is also to be exercised having regard to certain approved principles and procedures. A workman directed under an award to be reinstated with back-wages would not be entitled to backwages for the period during which he was usefully employed elsewhere, because he cannot be allowed to take double advantage and make excessive gains relying on the wrongful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xml:space="preserve"> of the employers.</w:t>
      </w:r>
      <w:r>
        <w:t>
</w:t>
      </w:r>
    </w:p>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What comes across quite clearly is that </w:t>
      </w:r>
      <w:r>
        <w:rPr>
          <w:rFonts w:ascii="arial" w:eastAsia="arial" w:hAnsi="arial" w:cs="arial"/>
          <w:b/>
          <w:i w:val="0"/>
          <w:strike w:val="0"/>
          <w:noProof w:val="0"/>
          <w:color w:val="000000"/>
          <w:position w:val="0"/>
          <w:sz w:val="18"/>
          <w:u w:val="none"/>
          <w:vertAlign w:val="baseline"/>
        </w:rPr>
        <w:t>an adjustment should be made to an award of backwages where the workman has found other employment</w:t>
      </w:r>
      <w:r>
        <w:rPr>
          <w:rFonts w:ascii="arial" w:eastAsia="arial" w:hAnsi="arial" w:cs="arial"/>
          <w:b w:val="0"/>
          <w:i w:val="0"/>
          <w:strike w:val="0"/>
          <w:noProof w:val="0"/>
          <w:color w:val="000000"/>
          <w:position w:val="0"/>
          <w:sz w:val="18"/>
          <w:u w:val="none"/>
          <w:vertAlign w:val="baseline"/>
        </w:rPr>
        <w:t>. The appellant has complained that no such adjustment was made by the Industrial Court in the present instance. I think that the complaint is justified. It is common ground that in August 1988, the respondent found himself other employment in Peninsula Malaysia. Yet the Industrial Court did not take that into account when awarding the respondent his backwages. It proceeded as though the respondent had not been employed elsewhere during the whole of the period in question. The award in respect of backwages is therefore flawed. It is not an award that a reasonable tribunal would have arrived at having regard to the principles of law that govern the position. I would therefore quash the award of backwages. A fresh award of backwages must be made, taking into account the fact that the respondent has found other employment. We may, of course, do it ourselves. But I do not think that we are armed with sufficient facts for us to make the adjustment ourselves in the present case. I would therefore order that the matter be remitted to the Industrial Court for a fresh assessment to be made.</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[Emphasis added]</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[47]</w:t>
      </w:r>
      <w:r>
        <w:rPr>
          <w:rFonts w:ascii="arial" w:eastAsia="arial" w:hAnsi="arial" w:cs="arial"/>
          <w:b w:val="0"/>
          <w:i w:val="0"/>
          <w:strike w:val="0"/>
          <w:noProof w:val="0"/>
          <w:color w:val="000000"/>
          <w:position w:val="0"/>
          <w:sz w:val="24"/>
          <w:u w:val="none"/>
          <w:vertAlign w:val="baseline"/>
        </w:rPr>
        <w:t>  The Court of Appeal case above clearly states that adjustment should be made where the Claimant obtained another job. The quantum would have to take into consideration the amount he received during that time. Clearly, the Court is bound to follow this case and the norm in all industrial relations. So, the Court exercises its discretion to award backwages of 2 months.</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Final Amount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[48]</w:t>
      </w:r>
      <w:r>
        <w:rPr>
          <w:rFonts w:ascii="arial" w:eastAsia="arial" w:hAnsi="arial" w:cs="arial"/>
          <w:b w:val="0"/>
          <w:i w:val="0"/>
          <w:strike w:val="0"/>
          <w:noProof w:val="0"/>
          <w:color w:val="000000"/>
          <w:position w:val="0"/>
          <w:sz w:val="24"/>
          <w:u w:val="none"/>
          <w:vertAlign w:val="baseline"/>
        </w:rPr>
        <w:t>  The Claimant’s Award is as follows:</w:t>
      </w:r>
      <w:r>
        <w:t>
</w:t>
      </w:r>
    </w:p>
    <w:p>
      <w:pPr>
        <w:keepNext w:val="0"/>
        <w:numPr>
          <w:numId w:val="2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Compensation </w:t>
      </w:r>
      <w:r>
        <w:rPr>
          <w:rFonts w:ascii="arial" w:eastAsia="arial" w:hAnsi="arial" w:cs="arial"/>
          <w:b w:val="0"/>
          <w:i/>
          <w:strike w:val="0"/>
          <w:noProof w:val="0"/>
          <w:color w:val="000000"/>
          <w:position w:val="0"/>
          <w:sz w:val="24"/>
          <w:u w:val="none"/>
          <w:vertAlign w:val="baseline"/>
        </w:rPr>
        <w:t>in lieu</w:t>
      </w:r>
      <w:r>
        <w:rPr>
          <w:rFonts w:ascii="arial" w:eastAsia="arial" w:hAnsi="arial" w:cs="arial"/>
          <w:b w:val="0"/>
          <w:i w:val="0"/>
          <w:strike w:val="0"/>
          <w:noProof w:val="0"/>
          <w:color w:val="000000"/>
          <w:position w:val="0"/>
          <w:sz w:val="24"/>
          <w:u w:val="none"/>
          <w:vertAlign w:val="baseline"/>
        </w:rPr>
        <w:t xml:space="preserve"> of reinstatement </w:t>
      </w:r>
    </w:p>
    <w:p/>
    <w:tbl>
      <w:tblPr>
        <w:tblW w:w="5000" w:type="pct"/>
        <w:jc w:val="left"/>
        <w:tblInd w:w="760" w:type="dxa"/>
        <w:tblBorders>
          <w:top w:val="single" w:sz="8" w:space="0" w:color="BCBEC0"/>
          <w:left w:val="single" w:sz="8" w:space="0" w:color="BCBEC0"/>
          <w:bottom w:val="single" w:sz="8" w:space="0" w:color="BCBEC0"/>
          <w:right w:val="single" w:sz="8" w:space="0" w:color="BCBEC0"/>
          <w:insideH w:val="nil"/>
          <w:insideV w:val="nil"/>
        </w:tblBorders>
        <w:tblLayout w:type="fixed"/>
        <w:tblCellMar>
          <w:left w:w="108" w:type="dxa"/>
          <w:right w:w="108" w:type="dxa"/>
        </w:tblCellMar>
      </w:tblPr>
      <w:tblGrid>
        <w:gridCol w:w="3486"/>
        <w:gridCol w:w="3485"/>
        <w:gridCol w:w="3485"/>
      </w:tblGrid>
      <w:tr>
        <w:tblPrEx>
          <w:tblW w:w="5000" w:type="pct"/>
          <w:tblInd w:w="760" w:type="dxa"/>
          <w:tblLayout w:type="fixed"/>
        </w:tblPrEx>
        <w:tc>
          <w:tcPr>
            <w:tcW w:w="3293" w:type="dxa"/>
            <w:tcBorders>
              <w:bottom w:val="single" w:sz="2" w:space="0" w:color="BCBEC0"/>
              <w:right w:val="single" w:sz="2" w:space="0" w:color="BCBEC0"/>
            </w:tcBorders>
            <w:tcMar>
              <w:top w:w="100" w:type="dxa"/>
              <w:bottom w:w="100" w:type="dxa"/>
            </w:tcMar>
            <w:vAlign w:val="top"/>
          </w:tcPr>
          <w:p>
            <w:pPr>
              <w:jc w:val="left"/>
            </w:pPr>
            <w:r>
              <w:rPr>
                <w:rFonts w:ascii="arial" w:eastAsia="arial" w:hAnsi="arial" w:cs="arial"/>
                <w:b w:val="0"/>
                <w:i w:val="0"/>
                <w:strike w:val="0"/>
                <w:noProof w:val="0"/>
                <w:color w:val="000000"/>
                <w:position w:val="0"/>
                <w:sz w:val="18"/>
                <w:u w:val="none"/>
                <w:vertAlign w:val="baseline"/>
              </w:rPr>
              <w:t>RM3,050.00 x 20/30 x 18 years</w:t>
            </w:r>
          </w:p>
        </w:tc>
        <w:tc>
          <w:tcPr>
            <w:tcW w:w="3293" w:type="dxa"/>
            <w:tcBorders>
              <w:bottom w:val="single" w:sz="2" w:space="0" w:color="BCBEC0"/>
              <w:right w:val="single" w:sz="2" w:space="0" w:color="BCBEC0"/>
            </w:tcBorders>
            <w:tcMar>
              <w:top w:w="100" w:type="dxa"/>
              <w:bottom w:w="100" w:type="dxa"/>
            </w:tcMar>
            <w:vAlign w:val="top"/>
          </w:tcPr>
          <w:p>
            <w:pPr>
              <w:jc w:val="left"/>
            </w:pPr>
            <w:r>
              <w:rPr>
                <w:rFonts w:ascii="arial" w:eastAsia="arial" w:hAnsi="arial" w:cs="arial"/>
                <w:b w:val="0"/>
                <w:i w:val="0"/>
                <w:strike w:val="0"/>
                <w:noProof w:val="0"/>
                <w:color w:val="000000"/>
                <w:position w:val="0"/>
                <w:sz w:val="18"/>
                <w:u w:val="none"/>
                <w:vertAlign w:val="baseline"/>
              </w:rPr>
              <w:t>=</w:t>
            </w:r>
          </w:p>
        </w:tc>
        <w:tc>
          <w:tcPr>
            <w:tcW w:w="3293" w:type="dxa"/>
            <w:tcBorders>
              <w:bottom w:val="single" w:sz="2" w:space="0" w:color="BCBEC0"/>
            </w:tcBorders>
            <w:tcMar>
              <w:top w:w="100" w:type="dxa"/>
              <w:bottom w:w="100" w:type="dxa"/>
            </w:tcMar>
            <w:vAlign w:val="top"/>
          </w:tcPr>
          <w:p>
            <w:pPr>
              <w:jc w:val="left"/>
            </w:pPr>
            <w:r>
              <w:rPr>
                <w:rFonts w:ascii="arial" w:eastAsia="arial" w:hAnsi="arial" w:cs="arial"/>
                <w:b w:val="0"/>
                <w:i w:val="0"/>
                <w:strike w:val="0"/>
                <w:noProof w:val="0"/>
                <w:color w:val="000000"/>
                <w:position w:val="0"/>
                <w:sz w:val="18"/>
                <w:u w:val="none"/>
                <w:vertAlign w:val="baseline"/>
              </w:rPr>
              <w:t>RM36,600.00</w:t>
            </w:r>
          </w:p>
        </w:tc>
      </w:tr>
      <w:tr>
        <w:tblPrEx>
          <w:tblW w:w="5000" w:type="pct"/>
          <w:tblInd w:w="760" w:type="dxa"/>
          <w:tblLayout w:type="fixed"/>
        </w:tblPrEx>
        <w:tc>
          <w:tcPr>
            <w:tcW w:w="3293" w:type="dxa"/>
            <w:tcBorders>
              <w:right w:val="single" w:sz="2" w:space="0" w:color="BCBEC0"/>
            </w:tcBorders>
            <w:tcMar>
              <w:top w:w="100" w:type="dxa"/>
              <w:bottom w:w="100" w:type="dxa"/>
            </w:tcMar>
            <w:vAlign w:val="top"/>
          </w:tcPr>
          <w:p>
            <w:pPr>
              <w:jc w:val="left"/>
            </w:pPr>
            <w:r>
              <w:rPr>
                <w:rFonts w:ascii="arial" w:eastAsia="arial" w:hAnsi="arial" w:cs="arial"/>
                <w:b w:val="0"/>
                <w:i w:val="0"/>
                <w:strike w:val="0"/>
                <w:noProof w:val="0"/>
                <w:color w:val="000000"/>
                <w:position w:val="0"/>
                <w:sz w:val="18"/>
                <w:u w:val="none"/>
                <w:vertAlign w:val="baseline"/>
              </w:rPr>
              <w:t>Sub Total</w:t>
            </w:r>
          </w:p>
        </w:tc>
        <w:tc>
          <w:tcPr>
            <w:tcW w:w="3293" w:type="dxa"/>
            <w:tcBorders>
              <w:right w:val="single" w:sz="2" w:space="0" w:color="BCBEC0"/>
            </w:tcBorders>
            <w:tcMar>
              <w:top w:w="100" w:type="dxa"/>
              <w:bottom w:w="100" w:type="dxa"/>
            </w:tcMar>
            <w:vAlign w:val="top"/>
          </w:tcPr>
          <w:p>
            <w:pPr>
              <w:jc w:val="left"/>
            </w:pPr>
            <w:r>
              <w:rPr>
                <w:rFonts w:ascii="arial" w:eastAsia="arial" w:hAnsi="arial" w:cs="arial"/>
                <w:b w:val="0"/>
                <w:i w:val="0"/>
                <w:strike w:val="0"/>
                <w:noProof w:val="0"/>
                <w:color w:val="000000"/>
                <w:position w:val="0"/>
                <w:sz w:val="18"/>
                <w:u w:val="none"/>
                <w:vertAlign w:val="baseline"/>
              </w:rPr>
              <w:t>=</w:t>
            </w:r>
          </w:p>
        </w:tc>
        <w:tc>
          <w:tcPr>
            <w:tcW w:w="3293" w:type="dxa"/>
            <w:tcMar>
              <w:top w:w="100" w:type="dxa"/>
              <w:bottom w:w="100" w:type="dxa"/>
            </w:tcMar>
            <w:vAlign w:val="top"/>
          </w:tcPr>
          <w:p>
            <w:pPr>
              <w:spacing w:before="120" w:after="0" w:line="220" w:lineRule="atLeast"/>
              <w:ind w:left="360"/>
              <w:jc w:val="left"/>
            </w:pPr>
            <w:r>
              <w:rPr>
                <w:rFonts w:ascii="arial" w:eastAsia="arial" w:hAnsi="arial" w:cs="arial"/>
                <w:b/>
                <w:i w:val="0"/>
                <w:strike w:val="0"/>
                <w:noProof w:val="0"/>
                <w:color w:val="000000"/>
                <w:position w:val="0"/>
                <w:sz w:val="20"/>
                <w:u w:val="none"/>
                <w:vertAlign w:val="baseline"/>
              </w:rPr>
              <w:t>RM36,600.00</w:t>
            </w:r>
          </w:p>
        </w:tc>
      </w:tr>
    </w:tbl>
    <w:p/>
    <w:p>
      <w:pPr>
        <w:keepNext w:val="0"/>
        <w:spacing w:before="120" w:after="0" w:line="300" w:lineRule="atLeast"/>
        <w:ind w:left="720" w:right="0" w:firstLine="0"/>
        <w:jc w:val="both"/>
      </w:pPr>
      <w:r>
        <w:rPr>
          <w:rFonts w:ascii="arial" w:eastAsia="arial" w:hAnsi="arial" w:cs="arial"/>
          <w:b w:val="0"/>
          <w:i w:val="0"/>
          <w:strike w:val="0"/>
          <w:noProof w:val="0"/>
          <w:color w:val="000000"/>
          <w:position w:val="0"/>
          <w:sz w:val="24"/>
          <w:u w:val="none"/>
          <w:vertAlign w:val="baseline"/>
        </w:rPr>
        <w:t>Add</w:t>
      </w:r>
      <w:r>
        <w:t>
</w:t>
      </w:r>
    </w:p>
    <w:p>
      <w:pPr>
        <w:keepNext w:val="0"/>
        <w:numPr>
          <w:numId w:val="2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Backwages </w:t>
      </w:r>
    </w:p>
    <w:p/>
    <w:tbl>
      <w:tblPr>
        <w:tblW w:w="5000" w:type="pct"/>
        <w:jc w:val="left"/>
        <w:tblInd w:w="760" w:type="dxa"/>
        <w:tblBorders>
          <w:top w:val="single" w:sz="8" w:space="0" w:color="BCBEC0"/>
          <w:left w:val="single" w:sz="8" w:space="0" w:color="BCBEC0"/>
          <w:bottom w:val="single" w:sz="8" w:space="0" w:color="BCBEC0"/>
          <w:right w:val="single" w:sz="8" w:space="0" w:color="BCBEC0"/>
          <w:insideH w:val="nil"/>
          <w:insideV w:val="nil"/>
        </w:tblBorders>
        <w:tblLayout w:type="fixed"/>
        <w:tblCellMar>
          <w:left w:w="108" w:type="dxa"/>
          <w:right w:w="108" w:type="dxa"/>
        </w:tblCellMar>
      </w:tblPr>
      <w:tblGrid>
        <w:gridCol w:w="3486"/>
        <w:gridCol w:w="3485"/>
        <w:gridCol w:w="3485"/>
      </w:tblGrid>
      <w:tr>
        <w:tblPrEx>
          <w:tblW w:w="5000" w:type="pct"/>
          <w:tblInd w:w="760" w:type="dxa"/>
          <w:tblLayout w:type="fixed"/>
        </w:tblPrEx>
        <w:tc>
          <w:tcPr>
            <w:tcW w:w="3293" w:type="dxa"/>
            <w:tcBorders>
              <w:bottom w:val="single" w:sz="2" w:space="0" w:color="BCBEC0"/>
              <w:right w:val="single" w:sz="2" w:space="0" w:color="BCBEC0"/>
            </w:tcBorders>
            <w:tcMar>
              <w:top w:w="100" w:type="dxa"/>
              <w:bottom w:w="100" w:type="dxa"/>
            </w:tcMar>
            <w:vAlign w:val="top"/>
          </w:tcPr>
          <w:p>
            <w:pPr>
              <w:jc w:val="left"/>
            </w:pPr>
            <w:r>
              <w:rPr>
                <w:rFonts w:ascii="arial" w:eastAsia="arial" w:hAnsi="arial" w:cs="arial"/>
                <w:b w:val="0"/>
                <w:i w:val="0"/>
                <w:strike w:val="0"/>
                <w:noProof w:val="0"/>
                <w:color w:val="000000"/>
                <w:position w:val="0"/>
                <w:sz w:val="18"/>
                <w:u w:val="none"/>
                <w:vertAlign w:val="baseline"/>
              </w:rPr>
              <w:t>RM3,050.00 x 2 months</w:t>
            </w:r>
          </w:p>
        </w:tc>
        <w:tc>
          <w:tcPr>
            <w:tcW w:w="3293" w:type="dxa"/>
            <w:tcBorders>
              <w:bottom w:val="single" w:sz="2" w:space="0" w:color="BCBEC0"/>
              <w:right w:val="single" w:sz="2" w:space="0" w:color="BCBEC0"/>
            </w:tcBorders>
            <w:tcMar>
              <w:top w:w="100" w:type="dxa"/>
              <w:bottom w:w="100" w:type="dxa"/>
            </w:tcMar>
            <w:vAlign w:val="top"/>
          </w:tcPr>
          <w:p>
            <w:pPr>
              <w:jc w:val="left"/>
            </w:pPr>
            <w:r>
              <w:rPr>
                <w:rFonts w:ascii="arial" w:eastAsia="arial" w:hAnsi="arial" w:cs="arial"/>
                <w:b w:val="0"/>
                <w:i w:val="0"/>
                <w:strike w:val="0"/>
                <w:noProof w:val="0"/>
                <w:color w:val="000000"/>
                <w:position w:val="0"/>
                <w:sz w:val="18"/>
                <w:u w:val="none"/>
                <w:vertAlign w:val="baseline"/>
              </w:rPr>
              <w:t>=</w:t>
            </w:r>
          </w:p>
        </w:tc>
        <w:tc>
          <w:tcPr>
            <w:tcW w:w="3293" w:type="dxa"/>
            <w:tcBorders>
              <w:bottom w:val="single" w:sz="2" w:space="0" w:color="BCBEC0"/>
            </w:tcBorders>
            <w:tcMar>
              <w:top w:w="100" w:type="dxa"/>
              <w:bottom w:w="100" w:type="dxa"/>
            </w:tcMar>
            <w:vAlign w:val="top"/>
          </w:tcPr>
          <w:p>
            <w:pPr>
              <w:jc w:val="left"/>
            </w:pPr>
            <w:r>
              <w:rPr>
                <w:rFonts w:ascii="arial" w:eastAsia="arial" w:hAnsi="arial" w:cs="arial"/>
                <w:b w:val="0"/>
                <w:i w:val="0"/>
                <w:strike w:val="0"/>
                <w:noProof w:val="0"/>
                <w:color w:val="000000"/>
                <w:position w:val="0"/>
                <w:sz w:val="18"/>
                <w:u w:val="none"/>
                <w:vertAlign w:val="baseline"/>
              </w:rPr>
              <w:t>RM6,100.00</w:t>
            </w:r>
          </w:p>
        </w:tc>
      </w:tr>
      <w:tr>
        <w:tblPrEx>
          <w:tblW w:w="5000" w:type="pct"/>
          <w:tblInd w:w="760" w:type="dxa"/>
          <w:tblLayout w:type="fixed"/>
        </w:tblPrEx>
        <w:tc>
          <w:tcPr>
            <w:tcW w:w="3293" w:type="dxa"/>
            <w:tcBorders>
              <w:right w:val="single" w:sz="2" w:space="0" w:color="BCBEC0"/>
            </w:tcBorders>
            <w:tcMar>
              <w:top w:w="100" w:type="dxa"/>
              <w:bottom w:w="100" w:type="dxa"/>
            </w:tcMar>
            <w:vAlign w:val="top"/>
          </w:tcPr>
          <w:p>
            <w:pPr>
              <w:jc w:val="left"/>
            </w:pPr>
            <w:r>
              <w:rPr>
                <w:rFonts w:ascii="arial" w:eastAsia="arial" w:hAnsi="arial" w:cs="arial"/>
                <w:b w:val="0"/>
                <w:i w:val="0"/>
                <w:strike w:val="0"/>
                <w:noProof w:val="0"/>
                <w:color w:val="000000"/>
                <w:position w:val="0"/>
                <w:sz w:val="18"/>
                <w:u w:val="none"/>
                <w:vertAlign w:val="baseline"/>
              </w:rPr>
              <w:t>Sub Total</w:t>
            </w:r>
          </w:p>
        </w:tc>
        <w:tc>
          <w:tcPr>
            <w:tcW w:w="3293" w:type="dxa"/>
            <w:tcBorders>
              <w:right w:val="single" w:sz="2" w:space="0" w:color="BCBEC0"/>
            </w:tcBorders>
            <w:tcMar>
              <w:top w:w="100" w:type="dxa"/>
              <w:bottom w:w="100" w:type="dxa"/>
            </w:tcMar>
            <w:vAlign w:val="top"/>
          </w:tcPr>
          <w:p>
            <w:pPr>
              <w:jc w:val="left"/>
            </w:pPr>
            <w:r>
              <w:rPr>
                <w:rFonts w:ascii="arial" w:eastAsia="arial" w:hAnsi="arial" w:cs="arial"/>
                <w:b w:val="0"/>
                <w:i w:val="0"/>
                <w:strike w:val="0"/>
                <w:noProof w:val="0"/>
                <w:color w:val="000000"/>
                <w:position w:val="0"/>
                <w:sz w:val="18"/>
                <w:u w:val="none"/>
                <w:vertAlign w:val="baseline"/>
              </w:rPr>
              <w:t>=</w:t>
            </w:r>
          </w:p>
        </w:tc>
        <w:tc>
          <w:tcPr>
            <w:tcW w:w="3293" w:type="dxa"/>
            <w:tcMar>
              <w:top w:w="100" w:type="dxa"/>
              <w:bottom w:w="100" w:type="dxa"/>
            </w:tcMar>
            <w:vAlign w:val="top"/>
          </w:tcPr>
          <w:p>
            <w:pPr>
              <w:spacing w:before="120" w:after="0" w:line="220" w:lineRule="atLeast"/>
              <w:ind w:left="360"/>
              <w:jc w:val="left"/>
            </w:pPr>
            <w:r>
              <w:rPr>
                <w:rFonts w:ascii="arial" w:eastAsia="arial" w:hAnsi="arial" w:cs="arial"/>
                <w:b/>
                <w:i w:val="0"/>
                <w:strike w:val="0"/>
                <w:noProof w:val="0"/>
                <w:color w:val="000000"/>
                <w:position w:val="0"/>
                <w:sz w:val="20"/>
                <w:u w:val="none"/>
                <w:vertAlign w:val="baseline"/>
              </w:rPr>
              <w:t>RM6,100.00</w:t>
            </w:r>
          </w:p>
        </w:tc>
      </w:tr>
    </w:tbl>
    <w:p/>
    <w:tbl>
      <w:tblPr>
        <w:tblW w:w="5000" w:type="pct"/>
        <w:jc w:val="center"/>
        <w:tblBorders>
          <w:top w:val="single" w:sz="8" w:space="0" w:color="BCBEC0"/>
          <w:left w:val="single" w:sz="8" w:space="0" w:color="BCBEC0"/>
          <w:bottom w:val="single" w:sz="8" w:space="0" w:color="BCBEC0"/>
          <w:right w:val="single" w:sz="8" w:space="0" w:color="BCBEC0"/>
          <w:insideH w:val="nil"/>
          <w:insideV w:val="nil"/>
        </w:tblBorders>
        <w:tblLayout w:type="fixed"/>
        <w:tblCellMar>
          <w:left w:w="108" w:type="dxa"/>
          <w:right w:w="108" w:type="dxa"/>
        </w:tblCellMar>
      </w:tblPr>
      <w:tblGrid>
        <w:gridCol w:w="3486"/>
        <w:gridCol w:w="3485"/>
        <w:gridCol w:w="3485"/>
      </w:tblGrid>
      <w:tr>
        <w:tblPrEx>
          <w:tblW w:w="5000" w:type="pct"/>
          <w:tblLayout w:type="fixed"/>
        </w:tblPrEx>
        <w:tc>
          <w:tcPr>
            <w:tcW w:w="3293" w:type="dxa"/>
            <w:tcBorders>
              <w:bottom w:val="single" w:sz="2" w:space="0" w:color="BCBEC0"/>
              <w:right w:val="single" w:sz="2" w:space="0" w:color="BCBEC0"/>
            </w:tcBorders>
            <w:tcMar>
              <w:top w:w="100" w:type="dxa"/>
              <w:bottom w:w="100" w:type="dxa"/>
            </w:tcMar>
            <w:vAlign w:val="top"/>
          </w:tcPr>
          <w:p>
            <w:pPr>
              <w:spacing w:before="120" w:after="0" w:line="220" w:lineRule="atLeast"/>
              <w:ind w:left="360"/>
              <w:jc w:val="left"/>
            </w:pPr>
            <w:r>
              <w:rPr>
                <w:rFonts w:ascii="arial" w:eastAsia="arial" w:hAnsi="arial" w:cs="arial"/>
                <w:b w:val="0"/>
                <w:i w:val="0"/>
                <w:strike w:val="0"/>
                <w:noProof w:val="0"/>
                <w:color w:val="000000"/>
                <w:position w:val="0"/>
                <w:sz w:val="18"/>
                <w:u w:val="none"/>
                <w:vertAlign w:val="baseline"/>
              </w:rPr>
              <w:t>Grand Sub total</w:t>
            </w:r>
          </w:p>
        </w:tc>
        <w:tc>
          <w:tcPr>
            <w:tcW w:w="3293" w:type="dxa"/>
            <w:tcBorders>
              <w:bottom w:val="single" w:sz="2" w:space="0" w:color="BCBEC0"/>
              <w:right w:val="single" w:sz="2" w:space="0" w:color="BCBEC0"/>
            </w:tcBorders>
            <w:tcMar>
              <w:top w:w="100" w:type="dxa"/>
              <w:bottom w:w="100" w:type="dxa"/>
            </w:tcMar>
            <w:vAlign w:val="top"/>
          </w:tcPr>
          <w:p>
            <w:pPr>
              <w:spacing w:before="120" w:after="0" w:line="220" w:lineRule="atLeast"/>
              <w:ind w:left="360"/>
              <w:jc w:val="left"/>
            </w:pPr>
            <w:r>
              <w:rPr>
                <w:rFonts w:ascii="arial" w:eastAsia="arial" w:hAnsi="arial" w:cs="arial"/>
                <w:b w:val="0"/>
                <w:i w:val="0"/>
                <w:strike w:val="0"/>
                <w:noProof w:val="0"/>
                <w:color w:val="000000"/>
                <w:position w:val="0"/>
                <w:sz w:val="18"/>
                <w:u w:val="none"/>
                <w:vertAlign w:val="baseline"/>
              </w:rPr>
              <w:t>=</w:t>
            </w:r>
          </w:p>
        </w:tc>
        <w:tc>
          <w:tcPr>
            <w:tcW w:w="3293" w:type="dxa"/>
            <w:tcBorders>
              <w:bottom w:val="single" w:sz="2" w:space="0" w:color="BCBEC0"/>
            </w:tcBorders>
            <w:tcMar>
              <w:top w:w="100" w:type="dxa"/>
              <w:bottom w:w="100" w:type="dxa"/>
            </w:tcMar>
            <w:vAlign w:val="top"/>
          </w:tcPr>
          <w:p>
            <w:pPr>
              <w:spacing w:before="120" w:after="0" w:line="220" w:lineRule="atLeast"/>
              <w:ind w:left="360"/>
              <w:jc w:val="left"/>
            </w:pPr>
            <w:r>
              <w:rPr>
                <w:rFonts w:ascii="arial" w:eastAsia="arial" w:hAnsi="arial" w:cs="arial"/>
                <w:b w:val="0"/>
                <w:i w:val="0"/>
                <w:strike w:val="0"/>
                <w:noProof w:val="0"/>
                <w:color w:val="000000"/>
                <w:position w:val="0"/>
                <w:sz w:val="18"/>
                <w:u w:val="none"/>
                <w:vertAlign w:val="baseline"/>
              </w:rPr>
              <w:t>RM36,600.00 + RM6,100.00</w:t>
            </w:r>
          </w:p>
        </w:tc>
      </w:tr>
      <w:tr>
        <w:tblPrEx>
          <w:tblW w:w="5000" w:type="pct"/>
          <w:tblLayout w:type="fixed"/>
        </w:tblPrEx>
        <w:tc>
          <w:tcPr>
            <w:tcW w:w="3293" w:type="dxa"/>
            <w:tcBorders>
              <w:right w:val="single" w:sz="2" w:space="0" w:color="BCBEC0"/>
            </w:tcBorders>
            <w:tcMar>
              <w:top w:w="100" w:type="dxa"/>
              <w:bottom w:w="100" w:type="dxa"/>
            </w:tcMar>
            <w:vAlign w:val="top"/>
          </w:tcPr>
          <w:p/>
        </w:tc>
        <w:tc>
          <w:tcPr>
            <w:tcW w:w="3293" w:type="dxa"/>
            <w:tcBorders>
              <w:right w:val="single" w:sz="2" w:space="0" w:color="BCBEC0"/>
            </w:tcBorders>
            <w:tcMar>
              <w:top w:w="100" w:type="dxa"/>
              <w:bottom w:w="100" w:type="dxa"/>
            </w:tcMar>
            <w:vAlign w:val="top"/>
          </w:tcPr>
          <w:p>
            <w:pPr>
              <w:spacing w:before="120" w:after="0" w:line="220" w:lineRule="atLeast"/>
              <w:ind w:left="360"/>
              <w:jc w:val="left"/>
            </w:pPr>
            <w:r>
              <w:rPr>
                <w:rFonts w:ascii="arial" w:eastAsia="arial" w:hAnsi="arial" w:cs="arial"/>
                <w:b w:val="0"/>
                <w:i w:val="0"/>
                <w:strike w:val="0"/>
                <w:noProof w:val="0"/>
                <w:color w:val="000000"/>
                <w:position w:val="0"/>
                <w:sz w:val="18"/>
                <w:u w:val="none"/>
                <w:vertAlign w:val="baseline"/>
              </w:rPr>
              <w:t>=</w:t>
            </w:r>
          </w:p>
        </w:tc>
        <w:tc>
          <w:tcPr>
            <w:tcW w:w="3293" w:type="dxa"/>
            <w:tcMar>
              <w:top w:w="100" w:type="dxa"/>
              <w:bottom w:w="100" w:type="dxa"/>
            </w:tcMar>
            <w:vAlign w:val="top"/>
          </w:tcPr>
          <w:p>
            <w:pPr>
              <w:spacing w:before="120" w:after="0" w:line="220" w:lineRule="atLeast"/>
              <w:ind w:left="360"/>
              <w:jc w:val="left"/>
            </w:pPr>
            <w:r>
              <w:rPr>
                <w:rFonts w:ascii="arial" w:eastAsia="arial" w:hAnsi="arial" w:cs="arial"/>
                <w:b/>
                <w:i w:val="0"/>
                <w:strike w:val="0"/>
                <w:noProof w:val="0"/>
                <w:color w:val="000000"/>
                <w:position w:val="0"/>
                <w:sz w:val="20"/>
                <w:u w:val="none"/>
                <w:vertAlign w:val="baseline"/>
              </w:rPr>
              <w:t>RM42,700.00</w:t>
            </w:r>
          </w:p>
        </w:tc>
      </w:tr>
    </w:tbl>
    <w:p/>
    <w:p>
      <w:pPr>
        <w:keepNext w:val="0"/>
        <w:spacing w:before="120" w:after="0" w:line="300" w:lineRule="atLeast"/>
        <w:ind w:left="720" w:right="0" w:firstLine="0"/>
        <w:jc w:val="both"/>
      </w:pPr>
      <w:r>
        <w:rPr>
          <w:rFonts w:ascii="arial" w:eastAsia="arial" w:hAnsi="arial" w:cs="arial"/>
          <w:b w:val="0"/>
          <w:i w:val="0"/>
          <w:strike w:val="0"/>
          <w:noProof w:val="0"/>
          <w:color w:val="000000"/>
          <w:position w:val="0"/>
          <w:sz w:val="24"/>
          <w:u w:val="none"/>
          <w:vertAlign w:val="baseline"/>
        </w:rPr>
        <w:t>Deduct</w:t>
      </w:r>
      <w:r>
        <w:t>
</w:t>
      </w:r>
    </w:p>
    <w:p>
      <w:pPr>
        <w:keepNext w:val="0"/>
        <w:numPr>
          <w:numId w:val="2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Apportionment </w:t>
      </w:r>
    </w:p>
    <w:p/>
    <w:tbl>
      <w:tblPr>
        <w:tblW w:w="5000" w:type="pct"/>
        <w:jc w:val="left"/>
        <w:tblInd w:w="760" w:type="dxa"/>
        <w:tblBorders>
          <w:top w:val="single" w:sz="8" w:space="0" w:color="BCBEC0"/>
          <w:left w:val="single" w:sz="8" w:space="0" w:color="BCBEC0"/>
          <w:bottom w:val="single" w:sz="8" w:space="0" w:color="BCBEC0"/>
          <w:right w:val="single" w:sz="8" w:space="0" w:color="BCBEC0"/>
          <w:insideH w:val="nil"/>
          <w:insideV w:val="nil"/>
        </w:tblBorders>
        <w:tblLayout w:type="fixed"/>
        <w:tblCellMar>
          <w:left w:w="108" w:type="dxa"/>
          <w:right w:w="108" w:type="dxa"/>
        </w:tblCellMar>
      </w:tblPr>
      <w:tblGrid>
        <w:gridCol w:w="3486"/>
        <w:gridCol w:w="3485"/>
        <w:gridCol w:w="3485"/>
      </w:tblGrid>
      <w:tr>
        <w:tblPrEx>
          <w:tblW w:w="5000" w:type="pct"/>
          <w:tblInd w:w="760" w:type="dxa"/>
          <w:tblLayout w:type="fixed"/>
        </w:tblPrEx>
        <w:tc>
          <w:tcPr>
            <w:tcW w:w="3293" w:type="dxa"/>
            <w:tcBorders>
              <w:bottom w:val="single" w:sz="2" w:space="0" w:color="BCBEC0"/>
              <w:right w:val="single" w:sz="2" w:space="0" w:color="BCBEC0"/>
            </w:tcBorders>
            <w:tcMar>
              <w:top w:w="100" w:type="dxa"/>
              <w:bottom w:w="100" w:type="dxa"/>
            </w:tcMar>
            <w:vAlign w:val="top"/>
          </w:tcPr>
          <w:p>
            <w:pPr>
              <w:jc w:val="left"/>
            </w:pPr>
            <w:r>
              <w:rPr>
                <w:rFonts w:ascii="arial" w:eastAsia="arial" w:hAnsi="arial" w:cs="arial"/>
                <w:b w:val="0"/>
                <w:i w:val="0"/>
                <w:strike w:val="0"/>
                <w:noProof w:val="0"/>
                <w:color w:val="000000"/>
                <w:position w:val="0"/>
                <w:sz w:val="18"/>
                <w:u w:val="none"/>
                <w:vertAlign w:val="baseline"/>
              </w:rPr>
              <w:t>RM42,700.00 x 20%</w:t>
            </w:r>
          </w:p>
        </w:tc>
        <w:tc>
          <w:tcPr>
            <w:tcW w:w="3293" w:type="dxa"/>
            <w:tcBorders>
              <w:bottom w:val="single" w:sz="2" w:space="0" w:color="BCBEC0"/>
              <w:right w:val="single" w:sz="2" w:space="0" w:color="BCBEC0"/>
            </w:tcBorders>
            <w:tcMar>
              <w:top w:w="100" w:type="dxa"/>
              <w:bottom w:w="100" w:type="dxa"/>
            </w:tcMar>
            <w:vAlign w:val="top"/>
          </w:tcPr>
          <w:p>
            <w:pPr>
              <w:jc w:val="left"/>
            </w:pPr>
            <w:r>
              <w:rPr>
                <w:rFonts w:ascii="arial" w:eastAsia="arial" w:hAnsi="arial" w:cs="arial"/>
                <w:b w:val="0"/>
                <w:i w:val="0"/>
                <w:strike w:val="0"/>
                <w:noProof w:val="0"/>
                <w:color w:val="000000"/>
                <w:position w:val="0"/>
                <w:sz w:val="18"/>
                <w:u w:val="none"/>
                <w:vertAlign w:val="baseline"/>
              </w:rPr>
              <w:t>=</w:t>
            </w:r>
          </w:p>
        </w:tc>
        <w:tc>
          <w:tcPr>
            <w:tcW w:w="3293" w:type="dxa"/>
            <w:tcBorders>
              <w:bottom w:val="single" w:sz="2" w:space="0" w:color="BCBEC0"/>
            </w:tcBorders>
            <w:tcMar>
              <w:top w:w="100" w:type="dxa"/>
              <w:bottom w:w="100" w:type="dxa"/>
            </w:tcMar>
            <w:vAlign w:val="top"/>
          </w:tcPr>
          <w:p>
            <w:pPr>
              <w:jc w:val="left"/>
            </w:pPr>
            <w:r>
              <w:rPr>
                <w:rFonts w:ascii="arial" w:eastAsia="arial" w:hAnsi="arial" w:cs="arial"/>
                <w:b w:val="0"/>
                <w:i w:val="0"/>
                <w:strike w:val="0"/>
                <w:noProof w:val="0"/>
                <w:color w:val="000000"/>
                <w:position w:val="0"/>
                <w:sz w:val="18"/>
                <w:u w:val="none"/>
                <w:vertAlign w:val="baseline"/>
              </w:rPr>
              <w:t>RM8,540.00</w:t>
            </w:r>
          </w:p>
        </w:tc>
      </w:tr>
      <w:tr>
        <w:tblPrEx>
          <w:tblW w:w="5000" w:type="pct"/>
          <w:tblInd w:w="760" w:type="dxa"/>
          <w:tblLayout w:type="fixed"/>
        </w:tblPrEx>
        <w:tc>
          <w:tcPr>
            <w:tcW w:w="3293" w:type="dxa"/>
            <w:tcBorders>
              <w:bottom w:val="single" w:sz="2" w:space="0" w:color="BCBEC0"/>
              <w:right w:val="single" w:sz="2" w:space="0" w:color="BCBEC0"/>
            </w:tcBorders>
            <w:tcMar>
              <w:top w:w="100" w:type="dxa"/>
              <w:bottom w:w="100" w:type="dxa"/>
            </w:tcMar>
            <w:vAlign w:val="top"/>
          </w:tcPr>
          <w:p>
            <w:pPr>
              <w:spacing w:before="120" w:after="0" w:line="220" w:lineRule="atLeast"/>
              <w:ind w:left="360"/>
              <w:jc w:val="left"/>
            </w:pPr>
            <w:r>
              <w:rPr>
                <w:rFonts w:ascii="arial" w:eastAsia="arial" w:hAnsi="arial" w:cs="arial"/>
                <w:b/>
                <w:i w:val="0"/>
                <w:strike w:val="0"/>
                <w:noProof w:val="0"/>
                <w:color w:val="000000"/>
                <w:position w:val="0"/>
                <w:sz w:val="20"/>
                <w:u w:val="none"/>
                <w:vertAlign w:val="baseline"/>
              </w:rPr>
              <w:t>Grand total</w:t>
            </w:r>
          </w:p>
        </w:tc>
        <w:tc>
          <w:tcPr>
            <w:tcW w:w="3293" w:type="dxa"/>
            <w:tcBorders>
              <w:bottom w:val="single" w:sz="2" w:space="0" w:color="BCBEC0"/>
              <w:right w:val="single" w:sz="2" w:space="0" w:color="BCBEC0"/>
            </w:tcBorders>
            <w:tcMar>
              <w:top w:w="100" w:type="dxa"/>
              <w:bottom w:w="100" w:type="dxa"/>
            </w:tcMar>
            <w:vAlign w:val="top"/>
          </w:tcPr>
          <w:p>
            <w:pPr>
              <w:spacing w:before="120" w:after="0" w:line="220" w:lineRule="atLeast"/>
              <w:ind w:left="360"/>
              <w:jc w:val="left"/>
            </w:pPr>
            <w:r>
              <w:rPr>
                <w:rFonts w:ascii="arial" w:eastAsia="arial" w:hAnsi="arial" w:cs="arial"/>
                <w:b w:val="0"/>
                <w:i w:val="0"/>
                <w:strike w:val="0"/>
                <w:noProof w:val="0"/>
                <w:color w:val="000000"/>
                <w:position w:val="0"/>
                <w:sz w:val="18"/>
                <w:u w:val="none"/>
                <w:vertAlign w:val="baseline"/>
              </w:rPr>
              <w:t>=</w:t>
            </w:r>
          </w:p>
        </w:tc>
        <w:tc>
          <w:tcPr>
            <w:tcW w:w="3293" w:type="dxa"/>
            <w:tcBorders>
              <w:bottom w:val="single" w:sz="2" w:space="0" w:color="BCBEC0"/>
            </w:tcBorders>
            <w:tcMar>
              <w:top w:w="100" w:type="dxa"/>
              <w:bottom w:w="100" w:type="dxa"/>
            </w:tcMar>
            <w:vAlign w:val="top"/>
          </w:tcPr>
          <w:p>
            <w:pPr>
              <w:spacing w:before="120" w:after="0" w:line="220" w:lineRule="atLeast"/>
              <w:ind w:left="360"/>
              <w:jc w:val="left"/>
            </w:pPr>
            <w:r>
              <w:rPr>
                <w:rFonts w:ascii="arial" w:eastAsia="arial" w:hAnsi="arial" w:cs="arial"/>
                <w:b w:val="0"/>
                <w:i w:val="0"/>
                <w:strike w:val="0"/>
                <w:noProof w:val="0"/>
                <w:color w:val="000000"/>
                <w:position w:val="0"/>
                <w:sz w:val="18"/>
                <w:u w:val="none"/>
                <w:vertAlign w:val="baseline"/>
              </w:rPr>
              <w:t>RM42,700.00 – RM8,540.00</w:t>
            </w:r>
          </w:p>
        </w:tc>
      </w:tr>
      <w:tr>
        <w:tblPrEx>
          <w:tblW w:w="5000" w:type="pct"/>
          <w:tblInd w:w="760" w:type="dxa"/>
          <w:tblLayout w:type="fixed"/>
        </w:tblPrEx>
        <w:tc>
          <w:tcPr>
            <w:tcW w:w="3293" w:type="dxa"/>
            <w:tcBorders>
              <w:right w:val="single" w:sz="2" w:space="0" w:color="BCBEC0"/>
            </w:tcBorders>
            <w:tcMar>
              <w:top w:w="100" w:type="dxa"/>
              <w:bottom w:w="100" w:type="dxa"/>
            </w:tcMar>
            <w:vAlign w:val="top"/>
          </w:tcPr>
          <w:p/>
        </w:tc>
        <w:tc>
          <w:tcPr>
            <w:tcW w:w="3293" w:type="dxa"/>
            <w:tcBorders>
              <w:right w:val="single" w:sz="2" w:space="0" w:color="BCBEC0"/>
            </w:tcBorders>
            <w:tcMar>
              <w:top w:w="100" w:type="dxa"/>
              <w:bottom w:w="100" w:type="dxa"/>
            </w:tcMar>
            <w:vAlign w:val="top"/>
          </w:tcPr>
          <w:p>
            <w:pPr>
              <w:spacing w:before="120" w:after="0" w:line="220" w:lineRule="atLeast"/>
              <w:ind w:left="360"/>
              <w:jc w:val="left"/>
            </w:pPr>
            <w:r>
              <w:rPr>
                <w:rFonts w:ascii="arial" w:eastAsia="arial" w:hAnsi="arial" w:cs="arial"/>
                <w:b w:val="0"/>
                <w:i w:val="0"/>
                <w:strike w:val="0"/>
                <w:noProof w:val="0"/>
                <w:color w:val="000000"/>
                <w:position w:val="0"/>
                <w:sz w:val="18"/>
                <w:u w:val="none"/>
                <w:vertAlign w:val="baseline"/>
              </w:rPr>
              <w:t>=</w:t>
            </w:r>
          </w:p>
        </w:tc>
        <w:tc>
          <w:tcPr>
            <w:tcW w:w="3293" w:type="dxa"/>
            <w:tcMar>
              <w:top w:w="100" w:type="dxa"/>
              <w:bottom w:w="100" w:type="dxa"/>
            </w:tcMar>
            <w:vAlign w:val="top"/>
          </w:tcPr>
          <w:p>
            <w:pPr>
              <w:spacing w:before="120" w:after="0" w:line="220" w:lineRule="atLeast"/>
              <w:ind w:left="360"/>
              <w:jc w:val="left"/>
            </w:pPr>
            <w:r>
              <w:rPr>
                <w:rFonts w:ascii="arial" w:eastAsia="arial" w:hAnsi="arial" w:cs="arial"/>
                <w:b/>
                <w:i w:val="0"/>
                <w:strike w:val="0"/>
                <w:noProof w:val="0"/>
                <w:color w:val="000000"/>
                <w:position w:val="0"/>
                <w:sz w:val="20"/>
                <w:u w:val="none"/>
                <w:vertAlign w:val="baseline"/>
              </w:rPr>
              <w:t>RM34,160.00</w:t>
            </w:r>
          </w:p>
        </w:tc>
      </w:tr>
    </w:tbl>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[49]</w:t>
      </w:r>
      <w:r>
        <w:rPr>
          <w:rFonts w:ascii="arial" w:eastAsia="arial" w:hAnsi="arial" w:cs="arial"/>
          <w:b w:val="0"/>
          <w:i w:val="0"/>
          <w:strike w:val="0"/>
          <w:noProof w:val="0"/>
          <w:color w:val="000000"/>
          <w:position w:val="0"/>
          <w:sz w:val="24"/>
          <w:u w:val="none"/>
          <w:vertAlign w:val="baseline"/>
        </w:rPr>
        <w:t>  The Court hereby orders that the Company pay the Claimant the total sum of Ringgit Malaysia thirty four thousand and one hundred and sixty (RM34,160.00) within 30 days from the date of this Award 8% per annum after thirty one days from the date of this Award if the amount has not been settled.</w:t>
      </w:r>
      <w:r>
        <w:t>
</w:t>
      </w:r>
    </w:p>
    <w:p/>
    <w:p>
      <w:pPr>
        <w:ind w:left="200"/>
      </w:pPr>
      <w:r>
        <w:br/>
      </w:r>
      <w:r>
        <w:pict>
          <v:line id="_x0000_s1026" style="position:absolute;z-index:25165824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Menagah Dewi a/p Nagarasi v Tan Swee Im, Siva &amp; Partners  [2024] ILJU 328</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lowerRoman"/>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i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v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v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v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ix)"/>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x)"/>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x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x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x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xi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x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xv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xv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lowerRoman"/>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2"/>
      <w:numFmt w:val="decimal"/>
      <w:lvlText w:val=" %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lowerRoman"/>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Menagah Dewi a/p Nagarasi v Tan Swee Im, Siva &amp; Partners  [2024] ILJU 328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J3D-5KN3-MB2G-84NM-00000-00">
    <vt:lpwstr>Doc::/shared/document|contextualFeaturePermID::1522468</vt:lpwstr>
  </property>
  <property fmtid="{D5CDD505-2E9C-101B-9397-08002B2CF9AE}" pid="4" name="LNDeliveryID">
    <vt:lpwstr>283274852</vt:lpwstr>
  </property>
  <property fmtid="{D5CDD505-2E9C-101B-9397-08002B2CF9AE}" pid="5" name="UserPermID">
    <vt:lpwstr>urn:user:PA196491919</vt:lpwstr>
  </property>
</Properties>
</file>