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 xml:space="preserve">Mohamad Tuah bin Safar v Beni Sdn Bhd                                                                                                                                                                                                                                       [2023] 1 ILJ 105                              </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(ILJ)</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NOOR AZZAH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 435 OF 2023</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1 March 2023</w:t>
      </w:r>
    </w:p>
    <w:p>
      <w:pPr>
        <w:keepNext/>
        <w:spacing w:before="120" w:after="0" w:line="340" w:lineRule="atLeast"/>
        <w:ind w:left="0" w:right="0" w:firstLine="0"/>
        <w:jc w:val="left"/>
      </w:pPr>
      <w:bookmarkStart w:id="0" w:name="Case Summary"/>
      <w:bookmarkEnd w:id="0"/>
      <w:r>
        <w:rPr>
          <w:rFonts w:ascii="arial" w:eastAsia="arial" w:hAnsi="arial" w:cs="arial"/>
          <w:b/>
          <w:i w:val="0"/>
          <w:strike w:val="0"/>
          <w:noProof w:val="0"/>
          <w:color w:val="000000"/>
          <w:position w:val="0"/>
          <w:sz w:val="28"/>
          <w:u w:val="none"/>
          <w:vertAlign w:val="baseline"/>
        </w:rPr>
        <w:t>Case Summary</w:t>
      </w:r>
    </w:p>
    <w:p>
      <w:pPr>
        <w:spacing w:line="60" w:lineRule="exact"/>
      </w:pPr>
      <w:r>
        <w:pict>
          <v:line id="_x0000_s1025" style="position:absolute;z-index:251658240" from="0,2pt" to="512pt,2pt" strokecolor="#009ddb" strokeweight="2pt">
            <v:stroke linestyle="single"/>
          </v:line>
        </w:pict>
      </w:r>
    </w:p>
    <w:p>
      <w:pPr>
        <w:spacing w:line="240" w:lineRule="exact"/>
      </w:pPr>
    </w:p>
    <w:p>
      <w:pPr>
        <w:keepNext w:val="0"/>
        <w:spacing w:after="0" w:line="300" w:lineRule="atLeast"/>
        <w:ind w:left="0" w:right="0" w:firstLine="0"/>
        <w:jc w:val="left"/>
      </w:pPr>
      <w:bookmarkStart w:id="1" w:name="Catchwords"/>
      <w:bookmarkEnd w:id="1"/>
      <w:r>
        <w:rPr>
          <w:rFonts w:ascii="arial" w:eastAsia="arial" w:hAnsi="arial" w:cs="arial"/>
          <w:b/>
          <w:i w:val="0"/>
          <w:strike w:val="0"/>
          <w:noProof w:val="0"/>
          <w:color w:val="000000"/>
          <w:position w:val="0"/>
          <w:sz w:val="24"/>
          <w:u w:val="none"/>
          <w:vertAlign w:val="baseline"/>
        </w:rPr>
        <w:t xml:space="preserve">Labour Law — Industrial Court — Unfair dismissal — Whether the hearing could be conducted by way of ex-parte — Whether his dismissal was done with just cause or excuse — Industrial Relations </w:t>
      </w:r>
      <w:r>
        <w:rPr>
          <w:rFonts w:ascii="arial" w:eastAsia="arial" w:hAnsi="arial" w:cs="arial"/>
          <w:b/>
          <w:i/>
          <w:strike w:val="0"/>
          <w:noProof w:val="0"/>
          <w:color w:val="000000"/>
          <w:position w:val="0"/>
          <w:sz w:val="24"/>
          <w:u w:val="single"/>
          <w:vertAlign w:val="baseline"/>
        </w:rPr>
        <w:t>Act</w:t>
      </w:r>
      <w:r>
        <w:rPr>
          <w:rFonts w:ascii="arial" w:eastAsia="arial" w:hAnsi="arial" w:cs="arial"/>
          <w:b/>
          <w:i w:val="0"/>
          <w:strike w:val="0"/>
          <w:noProof w:val="0"/>
          <w:color w:val="000000"/>
          <w:position w:val="0"/>
          <w:sz w:val="24"/>
          <w:u w:val="none"/>
          <w:vertAlign w:val="baseline"/>
        </w:rPr>
        <w:t xml:space="preserve"> 1967 ss 20(3), 29(d), 30(5), 30(6A) &amp; Second Schedule</w:t>
      </w:r>
    </w:p>
    <w:p>
      <w:pPr>
        <w:keepNext w:val="0"/>
        <w:spacing w:before="0" w:after="0" w:line="300" w:lineRule="atLeast"/>
        <w:ind w:left="0" w:right="0" w:firstLine="0"/>
        <w:jc w:val="both"/>
      </w:pPr>
      <w:bookmarkStart w:id="2" w:name="Case summary "/>
      <w:bookmarkEnd w:id="2"/>
      <w:r>
        <w:br/>
      </w:r>
      <w:r>
        <w:rPr>
          <w:rFonts w:ascii="arial" w:eastAsia="arial" w:hAnsi="arial" w:cs="arial"/>
          <w:b w:val="0"/>
          <w:i w:val="0"/>
          <w:strike w:val="0"/>
          <w:noProof w:val="0"/>
          <w:color w:val="000000"/>
          <w:position w:val="0"/>
          <w:sz w:val="24"/>
          <w:u w:val="none"/>
          <w:vertAlign w:val="baseline"/>
        </w:rPr>
        <w:t xml:space="preserve">This was a reference made under s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on the dismissal of Mohamad Tuah bin Safar (‘the claimant’) by Beni Sdn. Bhd. (‘the company’) on 13 August 2020. The claimant started employment with the company as a crane operator effective on 1 January 2019 with a basic monthly salary of RM4,000.00 and monthly allowance of RM200.00. During the course of employment, the claimant was added into the ‘Crane Drivers Group’ on WhatsApp (‘the WhatsApp group’) as the main medium of communication between the company and the company’s crane operators. The claimant further stated that on 27 July 2020, the claimant received a phone call from the company’s representative, Chong, where the claimant was told to be on standby to work on a site located at LRT 3, Seksyen 7, Shah Alam, approximately after Eid al-Adha. Later, on 29 July 2020, the claimant called Chong again to reconfirm that he would need to be on standby after Eid al-Adha, to which Chong affirmed. The claimant claimed that on 9 August 2020, the company’s representative, named Yew Che Keong removed the claimant from the WhatsApp Group without prior notice. Puzzled by the said removal, the claimant attempted to contact Chong through phone call, but there was no response despite multiple attempts. After the said removal, the claimant received no further instructions related to the claimant’s duties as a crane operator. The claimant also did not receive any salary for the month of May 2020 onwards. The claimant averred that he had all the times carried out all work dutifully and faithfully. He always performed, met and exceeded the company’s expectation, and had never received any complaints from his employer ie. the company. The issues for the court’s determination were: (a) whether the hearing could be conducted by way of ex-parte; and (b) whether his dismissal was done with just cause or excuse.</w:t>
      </w:r>
      <w:r>
        <w:t>
</w:t>
      </w:r>
    </w:p>
    <w:p>
      <w:pPr>
        <w:keepNext w:val="0"/>
        <w:spacing w:after="0" w:line="300" w:lineRule="atLeast"/>
        <w:ind w:left="0" w:right="0" w:firstLine="0"/>
        <w:jc w:val="both"/>
      </w:pPr>
      <w:bookmarkStart w:id="3" w:name="Holdings of court"/>
      <w:bookmarkEnd w:id="3"/>
      <w:r>
        <w:rPr>
          <w:rFonts w:ascii="arial" w:eastAsia="arial" w:hAnsi="arial" w:cs="arial"/>
          <w:b/>
          <w:i w:val="0"/>
          <w:strike w:val="0"/>
          <w:noProof w:val="0"/>
          <w:color w:val="000000"/>
          <w:position w:val="0"/>
          <w:sz w:val="24"/>
          <w:u w:val="none"/>
          <w:vertAlign w:val="baseline"/>
        </w:rPr>
        <w:t>Held</w:t>
      </w:r>
      <w:r>
        <w:rPr>
          <w:rFonts w:ascii="arial" w:eastAsia="arial" w:hAnsi="arial" w:cs="arial"/>
          <w:b w:val="0"/>
          <w:i w:val="0"/>
          <w:strike w:val="0"/>
          <w:noProof w:val="0"/>
          <w:color w:val="000000"/>
          <w:position w:val="0"/>
          <w:sz w:val="24"/>
          <w:u w:val="none"/>
          <w:vertAlign w:val="baseline"/>
        </w:rPr>
        <w:t>, allowing claim:</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spacing w:line="120" w:lineRule="exact"/>
      </w:pP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burden of proof that the dismissal was done with just cause or excuse is on the company to discharge on a balance of probabilities. The failure of the company to attend court and failure to file the statement in reply showed that the company was not interested in defending itself against the claimant’s claim. As the company was not present to answer the allegations by the claimant, the court has no other option but to conclude that it did not have any explanation as such (see para 30).</w:t>
      </w:r>
      <w:r>
        <w:rPr>
          <w:rFonts w:ascii="arial" w:eastAsia="arial" w:hAnsi="arial" w:cs="arial"/>
          <w:b w:val="0"/>
          <w:i w:val="0"/>
          <w:strike w:val="0"/>
          <w:noProof w:val="0"/>
          <w:color w:val="000000"/>
          <w:position w:val="0"/>
          <w:sz w:val="24"/>
          <w:u w:val="none"/>
          <w:vertAlign w:val="baseline"/>
        </w:rPr>
        <w:t xml:space="preserve"> </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court was satisfied on a balance of probabilities that the claimant’s dismissal was without just cause or excuse. The court had also applied the principles of equity, good conscience and substantial merits of the case without regard to technicalities and legal forms under s 30(5) of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in arriving at this decision. Henceforth, the claimant’s claim was allowed (see para 33).</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 Ini merupakan rujukan yang dibuat di bawah s 20(3) Akta Perhubungan Perusahaan 1967 berhubung pemecatan Mohamad Tuah bin Safar ('penuntut') oleh Beni Sdn. Bhd. ('syarikat') pada 13 Ogos 2020. Penuntut mula bekerja dengan syarikat tersebut sebagai operator kren berkuatkuasa pada 1 Januari 2019 dengan gaji asas bulanan sebanyak RM4,000.00 dan elaun bulanan sebanyak RM200.00. Semasa bekerja, penuntut telah dimasukkan ke dalam 'Kumpulan Pemandu Kren' di WhatsApp ('kumpulan WhatsApp') sebagai medium komunikasi utama antara syarikat dan pengendali kren syarikat. Penuntut selanjutnya menyatakan bahawa pada 27 Julai 2020, penuntut menerima panggilan telefon daripada wakil syarikat, Chong, di mana penuntut hendaklah berada di dalam keadaan siap sedia untuk bekerja di tapak yang terletak di LRT 3, Seksyen 7, Shah Alam selepas cuti Aidil Adha. Kemudian, pada 29 Julai 2020, penuntut itu memanggil Chong sekali lagi untuk mengesahkan bahawa beliau perlu bersiap sedia selepas Aidil Adha, yang mana Chong mengesahkannya. Penuntut menyatakan bahawa pada 9 Ogos 2020, wakil syarikat bernama Yew Che Keong telah mengeluarkan penutut daripada Kumpulan WhatsApp tanpa sebarang notis. Hairan dengan penyingkiran tersebut, penuntut cuba menghubungi Chong melalui panggilan telefon, tetapi tiada maklum balas walaupun terdapat banyak percubaan. Selepas penyingkiran tersebut, pihak menuntut tidak menerima sebarang arahan lanjut berkaitan tugas penuntut sebagai operator kren. Penuntut juga tidak menerima sebarang gaji bagi bulan Mei 2020 dan seterusnya. Penuntut menegaskan bahawa dia sepanjang masa menjalankan semua kerja dengan penuh tanggungjawab dan setia. Dia sentiasa melakukan pekerjaan melebihi jangkaan syarikat, dan tidak pernah menerima sebarang aduan daripada majikannya iaitu syarikat itu. Isu-isu untuk penentuan mahkamah adalah: (a) sama ada perbicaraan boleh dijalankan secara ex-parte; dan (b) sama ada pemecatan beliau dilakukan dengan alasan atau alasan yang adil.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Diputuskan</w:t>
      </w:r>
      <w:r>
        <w:rPr>
          <w:rFonts w:ascii="arial" w:eastAsia="arial" w:hAnsi="arial" w:cs="arial"/>
          <w:b w:val="0"/>
          <w:i w:val="0"/>
          <w:strike w:val="0"/>
          <w:noProof w:val="0"/>
          <w:color w:val="000000"/>
          <w:position w:val="0"/>
          <w:sz w:val="24"/>
          <w:u w:val="none"/>
          <w:vertAlign w:val="baseline"/>
        </w:rPr>
        <w:t>, membenarkan tuntutan:</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spacing w:line="120" w:lineRule="exact"/>
      </w:pP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Beban pembuktian bahawa pemecatan itu dilakukan dengan sebab atau alasan yang adil adalah pada syarikat melebihi imbangan kebarangkalian. Kegagalan syarikat itu hadir ke mahkamah dan kegagalan memfailkan kenyataan pembelaannya sebagai balasan menunjukkan bahawa syarikat itu tidak berminat untuk membela diri terhadap tuntutan pihak menuntut. Oleh kerana syarikat itu tidak hadir untuk menjawab tuntutan pihak yang menuntut, mahkamah tidak mempunyai pilihan lain selain membuat kesimpulan bahawa mereka tidak mempunyai sebarang penjelasan yang munasabah (lihat perenggan 30).</w:t>
      </w:r>
    </w:p>
    <w:p>
      <w:pPr>
        <w:keepNext w:val="0"/>
        <w:numPr>
          <w:numId w:val="4"/>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Mahkamah berpuas hati melebihi imbangan kebarangkalian bahawa pemecatan penuntut itu adalah tanpa sebab atau alasan yang adil. Mahkamah juga telah menggunakan prinsip ekuiti, nilai kesedaran dan merit kes itu tanpa mengambil kira isu teknikal dan undang-undang di bawah s 30(5) Akta Perhubungan Perusahaan 1967 ketika membuat keputusan ini. Oleh itu, tuntutan penuntut dibenarkan (lihat perenggan 33).</w:t>
      </w:r>
      <w:r>
        <w:rPr>
          <w:rFonts w:ascii="arial" w:eastAsia="arial" w:hAnsi="arial" w:cs="arial"/>
          <w:b w:val="0"/>
          <w:i w:val="0"/>
          <w:strike w:val="0"/>
          <w:noProof w:val="0"/>
          <w:color w:val="000000"/>
          <w:position w:val="0"/>
          <w:sz w:val="24"/>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360" w:right="0" w:firstLine="0"/>
        <w:jc w:val="left"/>
      </w:pPr>
      <w:r>
        <w:br/>
      </w:r>
      <w:r>
        <w:rPr>
          <w:rFonts w:ascii="arial" w:eastAsia="arial" w:hAnsi="arial" w:cs="arial"/>
          <w:b/>
          <w:i w:val="0"/>
          <w:strike w:val="0"/>
          <w:noProof w:val="0"/>
          <w:color w:val="000000"/>
          <w:position w:val="0"/>
          <w:sz w:val="24"/>
          <w:u w:val="none"/>
          <w:vertAlign w:val="baseline"/>
        </w:rPr>
        <w:t>Cases referred to</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Ahmad Solehin Ab Sabar v Uropolymers (Malaysia) Sdn Bhd </w:t>
      </w:r>
      <w:r>
        <w:rPr>
          <w:rFonts w:ascii="arial" w:eastAsia="arial" w:hAnsi="arial" w:cs="arial"/>
          <w:b w:val="0"/>
          <w:i w:val="0"/>
          <w:strike w:val="0"/>
          <w:noProof w:val="0"/>
          <w:color w:val="000000"/>
          <w:position w:val="0"/>
          <w:sz w:val="24"/>
          <w:u w:val="none"/>
          <w:vertAlign w:val="baseline"/>
        </w:rPr>
        <w:t xml:space="preserve"> [2021] MELRU 1221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Dr James Alfred v Koperasi Serbaguna Sanya Bhd &amp; Anor </w:t>
      </w:r>
      <w:r>
        <w:rPr>
          <w:rFonts w:ascii="arial" w:eastAsia="arial" w:hAnsi="arial" w:cs="arial"/>
          <w:b w:val="0"/>
          <w:i w:val="0"/>
          <w:strike w:val="0"/>
          <w:noProof w:val="0"/>
          <w:color w:val="000000"/>
          <w:position w:val="0"/>
          <w:sz w:val="24"/>
          <w:u w:val="none"/>
          <w:vertAlign w:val="baseline"/>
        </w:rPr>
        <w:t xml:space="preserve"> [2001] 3 MLJ 529;  [2001] 3 CLJ 541, FC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 xml:space="preserve"> [1981] 2 MLJ 129;  [1981] 1 LNS 30, FC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Navin a/l Karananedi v Perkasa lnterasia Sdn Bhd </w:t>
      </w:r>
      <w:r>
        <w:rPr>
          <w:rFonts w:ascii="arial" w:eastAsia="arial" w:hAnsi="arial" w:cs="arial"/>
          <w:b w:val="0"/>
          <w:i w:val="0"/>
          <w:strike w:val="0"/>
          <w:noProof w:val="0"/>
          <w:color w:val="000000"/>
          <w:position w:val="0"/>
          <w:sz w:val="24"/>
          <w:u w:val="none"/>
          <w:vertAlign w:val="baseline"/>
        </w:rPr>
        <w:t xml:space="preserve"> [2018] 3 ILJ 4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Telekom Malaysia Kawasan Utara v Krishnan Kutty a/l Sanguni Nair &amp; Anor </w:t>
      </w:r>
      <w:r>
        <w:rPr>
          <w:rFonts w:ascii="arial" w:eastAsia="arial" w:hAnsi="arial" w:cs="arial"/>
          <w:b w:val="0"/>
          <w:i w:val="0"/>
          <w:strike w:val="0"/>
          <w:noProof w:val="0"/>
          <w:color w:val="000000"/>
          <w:position w:val="0"/>
          <w:sz w:val="24"/>
          <w:u w:val="none"/>
          <w:vertAlign w:val="baseline"/>
        </w:rPr>
        <w:t xml:space="preserve"> [2002] 3 MLJ 129;  [2002] 3 CLJ 314,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Wong Chee Hong v Cathay Organisation (M) Sdn. Bhd. </w:t>
      </w:r>
      <w:r>
        <w:rPr>
          <w:rFonts w:ascii="arial" w:eastAsia="arial" w:hAnsi="arial" w:cs="arial"/>
          <w:b w:val="0"/>
          <w:i w:val="0"/>
          <w:strike w:val="0"/>
          <w:noProof w:val="0"/>
          <w:color w:val="000000"/>
          <w:position w:val="0"/>
          <w:sz w:val="24"/>
          <w:u w:val="none"/>
          <w:vertAlign w:val="baseline"/>
        </w:rPr>
        <w:t xml:space="preserve"> [1988] 1 MLJ 92 (refd)</w:t>
      </w:r>
      <w:r>
        <w:t>
</w:t>
      </w:r>
    </w:p>
    <w:p>
      <w:pPr>
        <w:keepNext w:val="0"/>
        <w:spacing w:after="0" w:line="300" w:lineRule="atLeast"/>
        <w:ind w:left="360" w:right="0" w:firstLine="0"/>
        <w:jc w:val="left"/>
      </w:pPr>
      <w:r>
        <w:rPr>
          <w:rFonts w:ascii="arial" w:eastAsia="arial" w:hAnsi="arial" w:cs="arial"/>
          <w:b/>
          <w:i w:val="0"/>
          <w:strike w:val="0"/>
          <w:noProof w:val="0"/>
          <w:color w:val="000000"/>
          <w:position w:val="0"/>
          <w:sz w:val="24"/>
          <w:u w:val="none"/>
          <w:vertAlign w:val="baseline"/>
        </w:rPr>
        <w:t>Legislation referred to</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360" w:right="0" w:firstLine="0"/>
        <w:jc w:val="both"/>
      </w:pPr>
      <w:r>
        <w:br/>
      </w:r>
      <w:r>
        <w:rPr>
          <w:rFonts w:ascii="arial" w:eastAsia="arial" w:hAnsi="arial" w:cs="arial"/>
          <w:b w:val="0"/>
          <w:i w:val="0"/>
          <w:strike w:val="0"/>
          <w:noProof w:val="0"/>
          <w:color w:val="000000"/>
          <w:position w:val="0"/>
          <w:sz w:val="24"/>
          <w:u w:val="none"/>
          <w:vertAlign w:val="baseline"/>
        </w:rPr>
        <w:t xml:space="preserve">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ss 20, 20(3), 29(d), 30(5), 30(6A)</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bookmarkStart w:id="4" w:name="Representation"/>
      <w:bookmarkEnd w:id="4"/>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Nasrul Hadi bin Mat Saad (Adnan Sharida &amp; Assoc) Counsel for the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The Company – absent.</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5" w:name="Noor Azzah C"/>
            <w:bookmarkEnd w:id="5"/>
            <w:r>
              <w:rPr>
                <w:rFonts w:ascii="arial" w:eastAsia="arial" w:hAnsi="arial" w:cs="arial"/>
                <w:b/>
                <w:i w:val="0"/>
                <w:strike w:val="0"/>
                <w:noProof w:val="0"/>
                <w:color w:val="000000"/>
                <w:position w:val="0"/>
                <w:sz w:val="30"/>
                <w:u w:val="none"/>
                <w:vertAlign w:val="baseline"/>
              </w:rPr>
              <w:t>Noor Azzah C:</w:t>
            </w:r>
          </w:p>
        </w:tc>
      </w:tr>
    </w:tbl>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Reference: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This is a reference made under 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arising out of the dismissal of </w:t>
      </w:r>
      <w:r>
        <w:rPr>
          <w:rFonts w:ascii="arial" w:eastAsia="arial" w:hAnsi="arial" w:cs="arial"/>
          <w:b w:val="0"/>
          <w:i/>
          <w:strike w:val="0"/>
          <w:noProof w:val="0"/>
          <w:color w:val="000000"/>
          <w:position w:val="0"/>
          <w:sz w:val="24"/>
          <w:u w:val="none"/>
          <w:vertAlign w:val="baseline"/>
        </w:rPr>
        <w:t>Mohamad Tuah bin Safar</w:t>
      </w:r>
      <w:r>
        <w:rPr>
          <w:rFonts w:ascii="arial" w:eastAsia="arial" w:hAnsi="arial" w:cs="arial"/>
          <w:b w:val="0"/>
          <w:i w:val="0"/>
          <w:strike w:val="0"/>
          <w:noProof w:val="0"/>
          <w:color w:val="000000"/>
          <w:position w:val="0"/>
          <w:sz w:val="24"/>
          <w:u w:val="none"/>
          <w:vertAlign w:val="baseline"/>
        </w:rPr>
        <w:t xml:space="preserve"> (hereinafter referred to as “the Claimant”) by </w:t>
      </w:r>
      <w:r>
        <w:rPr>
          <w:rFonts w:ascii="arial" w:eastAsia="arial" w:hAnsi="arial" w:cs="arial"/>
          <w:b w:val="0"/>
          <w:i/>
          <w:strike w:val="0"/>
          <w:noProof w:val="0"/>
          <w:color w:val="000000"/>
          <w:position w:val="0"/>
          <w:sz w:val="24"/>
          <w:u w:val="none"/>
          <w:vertAlign w:val="baseline"/>
        </w:rPr>
        <w:t>Beni Sdn. Bhd.</w:t>
      </w:r>
      <w:r>
        <w:rPr>
          <w:rFonts w:ascii="arial" w:eastAsia="arial" w:hAnsi="arial" w:cs="arial"/>
          <w:b w:val="0"/>
          <w:i w:val="0"/>
          <w:strike w:val="0"/>
          <w:noProof w:val="0"/>
          <w:color w:val="000000"/>
          <w:position w:val="0"/>
          <w:sz w:val="24"/>
          <w:u w:val="none"/>
          <w:vertAlign w:val="baseline"/>
        </w:rPr>
        <w:t xml:space="preserve"> (hereinafter referred to as “the Company”) on 13 August 2020.</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AWARD</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The Ministerial reference in this case required the Court to hear and determine the Claimant’s complaint of dismissal by the Company on 13 August 2020 and was received by the Industrial Court on 19 April 2021.</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Hearing of this case proceeded on 10 November 2022 and concluded on the same day. The Claimant, former Crane Operator of the Company (CLW-1) was the sole witness in this trial.</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This Court had considered all the notes of proceedings in this matter, and the following documents in handing down this Award:</w:t>
      </w: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5"/>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Claimant’s Statement of Case dated 5 October 2022;</w:t>
      </w:r>
      <w:r>
        <w:rPr>
          <w:rFonts w:ascii="arial" w:eastAsia="arial" w:hAnsi="arial" w:cs="arial"/>
          <w:b w:val="0"/>
          <w:i w:val="0"/>
          <w:strike w:val="0"/>
          <w:noProof w:val="0"/>
          <w:color w:val="000000"/>
          <w:position w:val="0"/>
          <w:sz w:val="24"/>
          <w:u w:val="none"/>
          <w:vertAlign w:val="baseline"/>
        </w:rPr>
        <w:t xml:space="preserve"> </w:t>
      </w:r>
    </w:p>
    <w:p>
      <w:pPr>
        <w:keepNext w:val="0"/>
        <w:numPr>
          <w:numId w:val="6"/>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Claimant’s Bundle of Documents marked as “CLB-1”;</w:t>
      </w:r>
      <w:r>
        <w:rPr>
          <w:rFonts w:ascii="arial" w:eastAsia="arial" w:hAnsi="arial" w:cs="arial"/>
          <w:b w:val="0"/>
          <w:i w:val="0"/>
          <w:strike w:val="0"/>
          <w:noProof w:val="0"/>
          <w:color w:val="000000"/>
          <w:position w:val="0"/>
          <w:sz w:val="24"/>
          <w:u w:val="none"/>
          <w:vertAlign w:val="baseline"/>
        </w:rPr>
        <w:t xml:space="preserve"> </w:t>
      </w:r>
    </w:p>
    <w:p>
      <w:pPr>
        <w:keepNext w:val="0"/>
        <w:numPr>
          <w:numId w:val="7"/>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Claimant’s Witness Statement of Mohamad Tuah bin Safar marked as “CLWS-1”; and</w:t>
      </w:r>
      <w:r>
        <w:rPr>
          <w:rFonts w:ascii="arial" w:eastAsia="arial" w:hAnsi="arial" w:cs="arial"/>
          <w:b w:val="0"/>
          <w:i w:val="0"/>
          <w:strike w:val="0"/>
          <w:noProof w:val="0"/>
          <w:color w:val="000000"/>
          <w:position w:val="0"/>
          <w:sz w:val="24"/>
          <w:u w:val="none"/>
          <w:vertAlign w:val="baseline"/>
        </w:rPr>
        <w:t xml:space="preserve"> </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Written Submission dated 24 November 2022.</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A. BACKGROUND OF THE CASE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The case was fixed for e-mention on 2 August 2021, 10 January 2022 and 5 September 2022. The Claimant and his representative attended the mention, but the Company or its representative failed to attend any of the mention date. The Court had given directions for the parties to file the pleadings and relevant documents. Hearing was fixed on 10 November 2022.</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On the hearing date of 10 November 2022, the Claimant and his Counsel attended but the Company or its representative failed to attend Court and failed to file its Statement in Reply and failed to file any document.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xml:space="preserve">  The Claimant’s Counsel then informed the Court that he was ready to proceed with the hearing as the Claimant was present and his papers were in order. The Counsel applied for the case to be heard on an </w:t>
      </w:r>
      <w:r>
        <w:rPr>
          <w:rFonts w:ascii="arial" w:eastAsia="arial" w:hAnsi="arial" w:cs="arial"/>
          <w:b w:val="0"/>
          <w:i/>
          <w:strike w:val="0"/>
          <w:noProof w:val="0"/>
          <w:color w:val="000000"/>
          <w:position w:val="0"/>
          <w:sz w:val="24"/>
          <w:u w:val="none"/>
          <w:vertAlign w:val="baseline"/>
        </w:rPr>
        <w:t>ex-parte</w:t>
      </w:r>
      <w:r>
        <w:rPr>
          <w:rFonts w:ascii="arial" w:eastAsia="arial" w:hAnsi="arial" w:cs="arial"/>
          <w:b w:val="0"/>
          <w:i w:val="0"/>
          <w:strike w:val="0"/>
          <w:noProof w:val="0"/>
          <w:color w:val="000000"/>
          <w:position w:val="0"/>
          <w:sz w:val="24"/>
          <w:u w:val="none"/>
          <w:vertAlign w:val="baseline"/>
        </w:rPr>
        <w:t xml:space="preserve"> basis since the Company or its representative failed to attend Court and failed to file any pleadings.</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strike w:val="0"/>
          <w:noProof w:val="0"/>
          <w:color w:val="000000"/>
          <w:position w:val="0"/>
          <w:sz w:val="24"/>
          <w:u w:val="none"/>
          <w:vertAlign w:val="baseline"/>
        </w:rPr>
        <w:t>B.</w:t>
      </w:r>
      <w:r>
        <w:rPr>
          <w:rFonts w:ascii="arial" w:eastAsia="arial" w:hAnsi="arial" w:cs="arial"/>
          <w:b/>
          <w:i w:val="0"/>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none"/>
          <w:vertAlign w:val="baseline"/>
        </w:rPr>
        <w:t>EX-PARTE</w:t>
      </w:r>
      <w:r>
        <w:rPr>
          <w:rFonts w:ascii="arial" w:eastAsia="arial" w:hAnsi="arial" w:cs="arial"/>
          <w:b/>
          <w:i w:val="0"/>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none"/>
          <w:vertAlign w:val="baseline"/>
        </w:rPr>
        <w:t>HEARING</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xml:space="preserve">  Section 29(d)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provides for an </w:t>
      </w:r>
      <w:r>
        <w:rPr>
          <w:rFonts w:ascii="arial" w:eastAsia="arial" w:hAnsi="arial" w:cs="arial"/>
          <w:b w:val="0"/>
          <w:i/>
          <w:strike w:val="0"/>
          <w:noProof w:val="0"/>
          <w:color w:val="000000"/>
          <w:position w:val="0"/>
          <w:sz w:val="24"/>
          <w:u w:val="none"/>
          <w:vertAlign w:val="baseline"/>
        </w:rPr>
        <w:t>ex-parte</w:t>
      </w:r>
      <w:r>
        <w:rPr>
          <w:rFonts w:ascii="arial" w:eastAsia="arial" w:hAnsi="arial" w:cs="arial"/>
          <w:b w:val="0"/>
          <w:i w:val="0"/>
          <w:strike w:val="0"/>
          <w:noProof w:val="0"/>
          <w:color w:val="000000"/>
          <w:position w:val="0"/>
          <w:sz w:val="24"/>
          <w:u w:val="none"/>
          <w:vertAlign w:val="baseline"/>
        </w:rPr>
        <w:t xml:space="preserve"> hearing without the presence of one of the parties to the dispute as follows: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 Court may, in any proceedings before it—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 …</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(d) hear and determine the matter before it notwithstanding the failure of any party to submit any written statement whether of case or reply to the Court within such time as may be prescribed by the President or in the absence of any party to the proceedings who has been served with a notice or summons to appear;”.</w:t>
      </w:r>
      <w:r>
        <w:t>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strike w:val="0"/>
          <w:noProof w:val="0"/>
          <w:color w:val="000000"/>
          <w:position w:val="0"/>
          <w:sz w:val="24"/>
          <w:u w:val="none"/>
          <w:vertAlign w:val="baseline"/>
        </w:rPr>
        <w:t>OP Malhotra, The Law of Industrial Disputes Volume 1: 6</w:t>
      </w:r>
      <w:r>
        <w:rPr>
          <w:rFonts w:ascii="arial" w:eastAsia="arial" w:hAnsi="arial" w:cs="arial"/>
          <w:b w:val="0"/>
          <w:i/>
          <w:strike w:val="0"/>
          <w:noProof w:val="0"/>
          <w:color w:val="000000"/>
          <w:position w:val="0"/>
          <w:sz w:val="24"/>
          <w:u w:val="none"/>
          <w:vertAlign w:val="superscript"/>
        </w:rPr>
        <w:t>th</w:t>
      </w:r>
      <w:r>
        <w:rPr>
          <w:rFonts w:ascii="arial" w:eastAsia="arial" w:hAnsi="arial" w:cs="arial"/>
          <w:b w:val="0"/>
          <w:i/>
          <w:strike w:val="0"/>
          <w:noProof w:val="0"/>
          <w:color w:val="000000"/>
          <w:position w:val="0"/>
          <w:sz w:val="24"/>
          <w:u w:val="none"/>
          <w:vertAlign w:val="baseline"/>
        </w:rPr>
        <w:t xml:space="preserve"> Edition</w:t>
      </w:r>
      <w:r>
        <w:rPr>
          <w:rFonts w:ascii="arial" w:eastAsia="arial" w:hAnsi="arial" w:cs="arial"/>
          <w:b w:val="0"/>
          <w:i w:val="0"/>
          <w:strike w:val="0"/>
          <w:noProof w:val="0"/>
          <w:color w:val="000000"/>
          <w:position w:val="0"/>
          <w:sz w:val="24"/>
          <w:u w:val="none"/>
          <w:vertAlign w:val="baseline"/>
        </w:rPr>
        <w:t>, at page 1062 states: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“If, however, a party wilfully absents himself in such a way that the adjudication is likely to be impede, or wilfully tries to delay or avoid the proceedings, the tribunal may fix a preemptory hearing on a particular day. After reasonable notice of hearing has been given to the defaulting party, if he still neglects or refuses to attend, the tribunal may and ought to hear in his absence. Prompt discharge of business is of particular importance before a tribunal adjudicating an industrial dispute....”.</w:t>
      </w:r>
      <w:r>
        <w:t>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xml:space="preserve">  Therefore, based on the circumstances of this case, the Court proceeded with </w:t>
      </w:r>
      <w:r>
        <w:rPr>
          <w:rFonts w:ascii="arial" w:eastAsia="arial" w:hAnsi="arial" w:cs="arial"/>
          <w:b w:val="0"/>
          <w:i/>
          <w:strike w:val="0"/>
          <w:noProof w:val="0"/>
          <w:color w:val="000000"/>
          <w:position w:val="0"/>
          <w:sz w:val="24"/>
          <w:u w:val="none"/>
          <w:vertAlign w:val="baseline"/>
        </w:rPr>
        <w:t>ex-parte</w:t>
      </w:r>
      <w:r>
        <w:rPr>
          <w:rFonts w:ascii="arial" w:eastAsia="arial" w:hAnsi="arial" w:cs="arial"/>
          <w:b w:val="0"/>
          <w:i w:val="0"/>
          <w:strike w:val="0"/>
          <w:noProof w:val="0"/>
          <w:color w:val="000000"/>
          <w:position w:val="0"/>
          <w:sz w:val="24"/>
          <w:u w:val="none"/>
          <w:vertAlign w:val="baseline"/>
        </w:rPr>
        <w:t xml:space="preserve"> hearing on 10 November 2020 due to the Company’s failure to attend Court, failure to file its Statement in Reply and failure to file any document. The Court had also sent all the relevant forms, notices and letters to the Company at its last known address, informing the Company of the mention dates and hearing date.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C. THE CLAIMANT’S CASE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The Claimant started employment with the Company via a Letter of Appointment For The Position Of Crane Operator dated 1 January 2019 as a Crane Operator effective on 1 January 2019 with a basic monthly salary of RM4,000.00 and monthly allowance of RM200.00.</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The Claimant states that during the course of employment, the Claimant was added into the “Crane Drivers Group” on WhatsApp (hereinafter referred to as “the WhatsApp Group”) as the main medium of communication between the Company and the Company’s crane operators.</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The Claimant further states that on 27 July 2020, the Claimant received a phone call from the Company’s representative, Chong, where the Claimant was told to be on standby to work on a site located at LRT 3, Seksyen 7, Shah Alam, approximately after Eid al-Adha. Later, on 29 July 2020, the Claimant called Chong again to reconfirm that he would need to be on standby after Eid al-Adha, to which Chong affirmed.</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The Claimant claims that on 9 August 2020, the Company’s representative, named Yew Che Keong removed the Claimant from the WhatsApp Group without prior notice (hereinafter referred to as “the said removal”). Puzzled by the said removal, the Claimant attempted to contact Chong through phone call, but there was no response despite multiple attempts.</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After the said removal, the Claimant received no further instructions relating to the Claimant’s duties as a crane operator. The Claimant also did not receive any salary for the month of May 2020 onwards.</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The Claimant avers that he had all the times carried out all work dutifully and faithfully. He always performed, met and exceeded the Company’s expectation, and has never received any complaints from his employer ie. the Company.</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The Claimant pleads that the Claimant’s last drawn salary was RM4,400.00 and RM200.00 as allowance for the month of March 2020. While in the month of April 2020, the Claimant only received an allowance of RM1,861.40 (RM1,100.00 for allowance and RM761.40 as overtime pay) with no valid reason as to the non-payment of salary for the month of April 2020.</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The Claimant avers that the termination was unlawful and without just cause and reason due to the following reasons:</w:t>
      </w: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9"/>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No proper notice was given for the termination: and</w:t>
      </w:r>
      <w:r>
        <w:rPr>
          <w:rFonts w:ascii="arial" w:eastAsia="arial" w:hAnsi="arial" w:cs="arial"/>
          <w:b w:val="0"/>
          <w:i w:val="0"/>
          <w:strike w:val="0"/>
          <w:noProof w:val="0"/>
          <w:color w:val="000000"/>
          <w:position w:val="0"/>
          <w:sz w:val="24"/>
          <w:u w:val="none"/>
          <w:vertAlign w:val="baseline"/>
        </w:rPr>
        <w:t xml:space="preserve"> </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termination was not in accordance with the employment contract.</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The Claimant further avers that his dismissal was without just cause or excuses and/or in breach of the rules of Natural Justice and/or an unfair labour practice and/or is unlawful.</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Therefore, the Claimant prays for an order that he be reinstated to his former position without loss of seniority, wages, benefit, allowances and/or privileges of any kind, backwages or arrears of salary from the date of his dismissal until the date of the order or reinstatement, or damages in lieu of reinstatement, or any other relief as this Court deems fit and proper.</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D. ROLE OF INDUSTRIAL COURT</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xml:space="preserve">  In </w:t>
      </w:r>
      <w:r>
        <w:rPr>
          <w:rFonts w:ascii="arial" w:eastAsia="arial" w:hAnsi="arial" w:cs="arial"/>
          <w:b w:val="0"/>
          <w:i/>
          <w:strike w:val="0"/>
          <w:noProof w:val="0"/>
          <w:color w:val="000000"/>
          <w:position w:val="0"/>
          <w:sz w:val="24"/>
          <w:u w:val="none"/>
          <w:vertAlign w:val="baseline"/>
        </w:rPr>
        <w:t xml:space="preserve">Wong Chee Hong v. Cathay Organisation (M) Sdn. Bhd. </w:t>
      </w:r>
      <w:r>
        <w:rPr>
          <w:rFonts w:ascii="arial" w:eastAsia="arial" w:hAnsi="arial" w:cs="arial"/>
          <w:b w:val="0"/>
          <w:i w:val="0"/>
          <w:strike w:val="0"/>
          <w:noProof w:val="0"/>
          <w:color w:val="000000"/>
          <w:position w:val="0"/>
          <w:sz w:val="24"/>
          <w:u w:val="none"/>
          <w:vertAlign w:val="baseline"/>
        </w:rPr>
        <w:t xml:space="preserve"> [1988] 1 MLJ 92 the Federal Court held that the role of the Industrial Court pertaining to a reference under 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is to ask itself a question whether there was a dismissal; and, if so, whether it was with or without just cause or excuse. His Lordship Tun Salleh Abas LP at page 302:</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“When the Industrial Court is dealing with a reference under</w:t>
      </w:r>
      <w:r>
        <w:rPr>
          <w:rFonts w:ascii="arial" w:eastAsia="arial" w:hAnsi="arial" w:cs="arial"/>
          <w:b w:val="0"/>
          <w:i w:val="0"/>
          <w:strike w:val="0"/>
          <w:noProof w:val="0"/>
          <w:color w:val="000000"/>
          <w:position w:val="0"/>
          <w:sz w:val="18"/>
          <w:u w:val="none"/>
          <w:vertAlign w:val="baseline"/>
        </w:rPr>
        <w:t xml:space="preserve"> s. 20</w:t>
      </w:r>
      <w:r>
        <w:rPr>
          <w:rFonts w:ascii="arial" w:eastAsia="arial" w:hAnsi="arial" w:cs="arial"/>
          <w:b w:val="0"/>
          <w:i/>
          <w:strike w:val="0"/>
          <w:noProof w:val="0"/>
          <w:color w:val="000000"/>
          <w:position w:val="0"/>
          <w:sz w:val="18"/>
          <w:u w:val="none"/>
          <w:vertAlign w:val="baseline"/>
        </w:rPr>
        <w:t>, the first thing that the Court will have to do is to ask itself a question whether there was a dismissal, and if so, whether it was with or without just cause or excuse.”.</w:t>
      </w:r>
      <w:r>
        <w:t>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xml:space="preserve">  His Lordship Raja Azlan Shah CJ (Malaya) (as His Royal Highness then was) in a Federal Court Case of </w:t>
      </w:r>
      <w:r>
        <w:rPr>
          <w:rFonts w:ascii="arial" w:eastAsia="arial" w:hAnsi="arial" w:cs="arial"/>
          <w:b w:val="0"/>
          <w:i/>
          <w:strike w:val="0"/>
          <w:noProof w:val="0"/>
          <w:color w:val="000000"/>
          <w:position w:val="0"/>
          <w:sz w:val="24"/>
          <w:u w:val="none"/>
          <w:vertAlign w:val="baseline"/>
        </w:rPr>
        <w:t xml:space="preserve">Goon Kwee Phoy v. J&amp;P Coats (M) Bhd. </w:t>
      </w:r>
      <w:r>
        <w:rPr>
          <w:rFonts w:ascii="arial" w:eastAsia="arial" w:hAnsi="arial" w:cs="arial"/>
          <w:b w:val="0"/>
          <w:i w:val="0"/>
          <w:strike w:val="0"/>
          <w:noProof w:val="0"/>
          <w:color w:val="000000"/>
          <w:position w:val="0"/>
          <w:sz w:val="24"/>
          <w:u w:val="none"/>
          <w:vertAlign w:val="baseline"/>
        </w:rPr>
        <w:t xml:space="preserve"> [1981] 1 LNS 30; ; [1981] 2 MLJ 129 at page 136 held as follows: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“Where representations are made and are referred to the Industrial Court for enquiry,</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it is the duty of that court to determine whether the termination or dismissal is with or without just cause or excuse</w:t>
      </w:r>
      <w:r>
        <w:rPr>
          <w:rFonts w:ascii="arial" w:eastAsia="arial" w:hAnsi="arial" w:cs="arial"/>
          <w:b w:val="0"/>
          <w:i/>
          <w:strike w:val="0"/>
          <w:noProof w:val="0"/>
          <w:color w:val="000000"/>
          <w:position w:val="0"/>
          <w:sz w:val="18"/>
          <w:u w:val="none"/>
          <w:vertAlign w:val="baseline"/>
        </w:rPr>
        <w:t>. If the employer chooses to give a reason for the action taken by him, the duty of the Industrial Court will be to enquire whether the excuse or reason has or has not been made out.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If it finds as a fact that it has not been proved, then the inevitable conclusion must be the termination or dismissal was without just cause or excuse.</w:t>
      </w:r>
      <w:r>
        <w:rPr>
          <w:rFonts w:ascii="arial" w:eastAsia="arial" w:hAnsi="arial" w:cs="arial"/>
          <w:b w:val="0"/>
          <w:i/>
          <w:strike w:val="0"/>
          <w:noProof w:val="0"/>
          <w:color w:val="000000"/>
          <w:position w:val="0"/>
          <w:sz w:val="18"/>
          <w:u w:val="none"/>
          <w:vertAlign w:val="baseline"/>
        </w:rPr>
        <w:t xml:space="preserve"> The proper enquiry of the court is the reason advanced by it and that court or the High Court cannot go into another reason not relied on by the employer or find one for it.”.</w:t>
      </w:r>
      <w:r>
        <w:t>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E. BURDEN OF PROOF AND STANDARD OF PROOF</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24"/>
          <w:u w:val="none"/>
          <w:vertAlign w:val="baseline"/>
        </w:rPr>
        <w:t xml:space="preserve"> [2002] 3 CLJ 314 the Court of Appeal had laid down the principle that the standard of proof that is required to prove a case in the Industrial Court is one that is on the balance of probabilities: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 Industrial Court should not be burdened with the technicalities regarding the standard of proof, the rules of evidence and procedures that are applied in the court of law. The Industrial Court should be allowed to discharge its functions as it was intended to by statute and to conduct its proceeding as a ‘court of arbitration’.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It should be more flexible in arriving at its decision, so long as it gives special regard to substantial merits and decide a case in accordance with equity and good conscience.</w:t>
      </w:r>
      <w:r>
        <w:rPr>
          <w:rFonts w:ascii="arial" w:eastAsia="arial" w:hAnsi="arial" w:cs="arial"/>
          <w:b w:val="0"/>
          <w:i/>
          <w:strike w:val="0"/>
          <w:noProof w:val="0"/>
          <w:color w:val="000000"/>
          <w:position w:val="0"/>
          <w:sz w:val="18"/>
          <w:u w:val="none"/>
          <w:vertAlign w:val="baseline"/>
        </w:rPr>
        <w:t>”.</w:t>
      </w:r>
      <w:r>
        <w:t>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The burden of proof that the dismissal was done with just cause or excuse is on the Company to discharge on a balance of probabilities.</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F. EVALUATION OF EVIDENCE AND FINDINGS OF THE COURT</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xml:space="preserve">  All evidence must be scrutinised and evaluated before any decision can be made on the Claimant’s claim in this case although this was an </w:t>
      </w:r>
      <w:r>
        <w:rPr>
          <w:rFonts w:ascii="arial" w:eastAsia="arial" w:hAnsi="arial" w:cs="arial"/>
          <w:b w:val="0"/>
          <w:i/>
          <w:strike w:val="0"/>
          <w:noProof w:val="0"/>
          <w:color w:val="000000"/>
          <w:position w:val="0"/>
          <w:sz w:val="24"/>
          <w:u w:val="none"/>
          <w:vertAlign w:val="baseline"/>
        </w:rPr>
        <w:t>ex-parte</w:t>
      </w:r>
      <w:r>
        <w:rPr>
          <w:rFonts w:ascii="arial" w:eastAsia="arial" w:hAnsi="arial" w:cs="arial"/>
          <w:b w:val="0"/>
          <w:i w:val="0"/>
          <w:strike w:val="0"/>
          <w:noProof w:val="0"/>
          <w:color w:val="000000"/>
          <w:position w:val="0"/>
          <w:sz w:val="24"/>
          <w:u w:val="none"/>
          <w:vertAlign w:val="baseline"/>
        </w:rPr>
        <w:t xml:space="preserve"> hearing and the Company had not adduced any evidence of its own.</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Based on the evidence adduced before the Court, the Claimant had been working with the Company for 1 year 7 months, and his last drawn salary was RM4,400.00 per month and monthly allowance of RM200.00 (as per the Letter of Appointment For The Position Of Crane Operator dated 1 January 2019 at pages 7 – 10 in CLB-1 and the Claimant’s Payslips in pages 13 – 20 of CLB-1). The Court is satisfied based on the evidence adduced by the Claimant and in the absence of anything to the contrary that the Claimant had indeed been employed by the Company in this case.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The Claimant is a confirmed employee based on Clause 2 of the Letter of Appointment For The Position Of Crane Operator. There was nothing before the Court to show that the Claimant was not confirmed in his position. Clause 2 of the Letter of Appointment provides as follows: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“You shall serve a 6 months probationary period or any extended period as determined by the Company. Confirmation of your employment shall depend on your performance and your attitude towards work, teamwork and the Company. Employment is deemed confirmed if without official written letter of confirmation one month after the probationary period.”.</w:t>
      </w:r>
      <w:r>
        <w:t>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The Claimant (CLW-1) in his Witness Statement (CLWS-1) states that he was added into the “Crane Drivers Group” on WhatsApp as the main medium of communication between the Company and the Company’s crane operators. However, on 9 August 2020, the Claimant was removed from the WhatsApp Group without prior notice, by the Company’s representative, named Yew Che Keong:</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“Q.5: Boleh Encik ceritakan kaedah komunikasi di antara Encik dan pihak Syarikat tersebut?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 Semasa saya mula bekerja, saya telah dimasukkan ke dalam satu “Whatsapp group” bernama ‘CRANE DRIVERS GROUP’, di mana pihak Syarikat akan berkomunikasi dengan bersama saya dan Crane Operator yang lain.</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Tangkapan skrin Whatsapp Group tersebut boleh dirujuk di muka surat 12 IDP.”.</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“Q.7: Boleh terangkan kepada Mahkamah, bilakah Encik dibuang kerja?</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 Pada 09.08.2022, saya telah secara tiba-tiba dibuang daripada Whatsapp group CRANE DRIVERS GROUP tersebut oleh wakil Syarikat bernama Yew Che Keong, tanpa apa-apa notis.</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Tangkapan skrin Whatsapp Group tersebut boleh dirujuk di muka surat 12 IDP.</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Selepas pembuangan itu, saya cuba untuk menghubungi Chong melalui telefon, tetapi panggilan-panggilan saya tidak dibalas.</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Tangkapan skrin rekod panggilan Penuntut bersama Chong boleh dirujuk di muka surat 11 IDP.</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Tambahan pula, saya tidak lagi menerima apa-apa arahan daripada pihak Syarikat berkenaan tugas saya sebagai Crane Operator. Saya juga telah berhenti menerima gaji sejak daripada bulan Mei 2020.</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Maka, saya percaya saya telah dibuang kerja sejak daripada itu.”.</w:t>
      </w:r>
      <w:r>
        <w:t>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The Claimant further testifies in his Witness Statement (CLWS-1) that his last drawn salary was RM4,400.00 and RM200.00 as allowance for the month of March 2020. While in the month of April 2020, the Claimant only received an allowance of RM1,861.40, whereby RM1,100.00 was for allowance and RM761.40 as overtime payment. The Company did not pay the salary for the month of May 2020.</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Based on the WhatsApp screenshot in page 12 of CLB-1, the Claimant was removed from the WhatsApp Crane Driver Group on 9 August 2020 by one Beni Akiong, which the Claimant claims to be the Company’s representative, named Yew Che Keong. Hence, the Claimant’s last day of employment with the Company would be on 9 August 2020, that is when he was removed from the WhatsApp Group.</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The burden of proof that the dismissal was done with just cause or excuse is on the Company to discharge on a balance of probabilities. The failure of the Company to attend Court and failure to file the Statement in Reply showed that the Company was not interested in defending itself against the Claimant’s claim. As the Company was not present to answer the allegations by the Claimant, the Court has no other option but to conclude that it did not have any explanation as such.</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Ahmad Solehin Ab Sabar v. Uropolymers (Malaysia) Sdn Bhd </w:t>
      </w:r>
      <w:r>
        <w:rPr>
          <w:rFonts w:ascii="arial" w:eastAsia="arial" w:hAnsi="arial" w:cs="arial"/>
          <w:b w:val="0"/>
          <w:i w:val="0"/>
          <w:strike w:val="0"/>
          <w:noProof w:val="0"/>
          <w:color w:val="000000"/>
          <w:position w:val="0"/>
          <w:sz w:val="24"/>
          <w:u w:val="none"/>
          <w:vertAlign w:val="baseline"/>
        </w:rPr>
        <w:t xml:space="preserve"> [2021] MELRU 1221, the Industrial Court allowed the Claimant’s claims by </w:t>
      </w:r>
      <w:r>
        <w:rPr>
          <w:rFonts w:ascii="arial" w:eastAsia="arial" w:hAnsi="arial" w:cs="arial"/>
          <w:b w:val="0"/>
          <w:i/>
          <w:strike w:val="0"/>
          <w:noProof w:val="0"/>
          <w:color w:val="000000"/>
          <w:position w:val="0"/>
          <w:sz w:val="24"/>
          <w:u w:val="none"/>
          <w:vertAlign w:val="baseline"/>
        </w:rPr>
        <w:t>ex-parte</w:t>
      </w:r>
      <w:r>
        <w:rPr>
          <w:rFonts w:ascii="arial" w:eastAsia="arial" w:hAnsi="arial" w:cs="arial"/>
          <w:b w:val="0"/>
          <w:i w:val="0"/>
          <w:strike w:val="0"/>
          <w:noProof w:val="0"/>
          <w:color w:val="000000"/>
          <w:position w:val="0"/>
          <w:sz w:val="24"/>
          <w:u w:val="none"/>
          <w:vertAlign w:val="baseline"/>
        </w:rPr>
        <w:t xml:space="preserve"> hearing due to the Company’s default of appearance:</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[16]</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As the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Company in our instant case had opted not to defend the Claimant’s claims and/or case against them, there is no evidence to rebut the Claimant’s contention that he was unfairly dismissed</w:t>
      </w:r>
      <w:r>
        <w:rPr>
          <w:rFonts w:ascii="arial" w:eastAsia="arial" w:hAnsi="arial" w:cs="arial"/>
          <w:b w:val="0"/>
          <w:i/>
          <w:strike w:val="0"/>
          <w:noProof w:val="0"/>
          <w:color w:val="000000"/>
          <w:position w:val="0"/>
          <w:sz w:val="18"/>
          <w:u w:val="none"/>
          <w:vertAlign w:val="baseline"/>
        </w:rPr>
        <w:t>. There is also no evidence that the Claimant had committed any misconduct which caused him to be dismissed by the Company.</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[17]</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Therefore, the Court finds that the Claimant was dismissed by the Company without just cause or excuse. Accordingly, the Court allows the Claimant’s claims and/or case against the Company.”.</w:t>
      </w:r>
      <w:r>
        <w:t>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xml:space="preserve">  In another case of </w:t>
      </w:r>
      <w:r>
        <w:rPr>
          <w:rFonts w:ascii="arial" w:eastAsia="arial" w:hAnsi="arial" w:cs="arial"/>
          <w:b w:val="0"/>
          <w:i/>
          <w:strike w:val="0"/>
          <w:noProof w:val="0"/>
          <w:color w:val="000000"/>
          <w:position w:val="0"/>
          <w:sz w:val="24"/>
          <w:u w:val="none"/>
          <w:vertAlign w:val="baseline"/>
        </w:rPr>
        <w:t xml:space="preserve">Navin a/l Karananedi v. Perkasa lnterasia Sdn Bhd </w:t>
      </w:r>
      <w:r>
        <w:rPr>
          <w:rFonts w:ascii="arial" w:eastAsia="arial" w:hAnsi="arial" w:cs="arial"/>
          <w:b w:val="0"/>
          <w:i w:val="0"/>
          <w:strike w:val="0"/>
          <w:noProof w:val="0"/>
          <w:color w:val="000000"/>
          <w:position w:val="0"/>
          <w:sz w:val="24"/>
          <w:u w:val="none"/>
          <w:vertAlign w:val="baseline"/>
        </w:rPr>
        <w:t xml:space="preserve"> [2018] 3 ILJ 4, the Industrial Court held as follows: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“[4] The court, in exercising its power under</w:t>
      </w:r>
      <w:r>
        <w:rPr>
          <w:rFonts w:ascii="arial" w:eastAsia="arial" w:hAnsi="arial" w:cs="arial"/>
          <w:b w:val="0"/>
          <w:i w:val="0"/>
          <w:strike w:val="0"/>
          <w:noProof w:val="0"/>
          <w:color w:val="000000"/>
          <w:position w:val="0"/>
          <w:sz w:val="18"/>
          <w:u w:val="none"/>
          <w:vertAlign w:val="baseline"/>
        </w:rPr>
        <w:t xml:space="preserve"> s 29(d) of the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1969 (‘the IRA’) </w:t>
      </w:r>
      <w:r>
        <w:rPr>
          <w:rFonts w:ascii="arial" w:eastAsia="arial" w:hAnsi="arial" w:cs="arial"/>
          <w:b w:val="0"/>
          <w:i/>
          <w:strike w:val="0"/>
          <w:noProof w:val="0"/>
          <w:color w:val="000000"/>
          <w:position w:val="0"/>
          <w:sz w:val="18"/>
          <w:u w:val="none"/>
          <w:vertAlign w:val="baseline"/>
        </w:rPr>
        <w:t>had allowed the claimant and/or claimant’s counsel’s application to proceed with the hearing of this matter on 6 March 2018 in the absence of the company’s representative.</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[6]</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The court is required to proceed to hear the merits of the case and pass an order on the basis of the evidence placed before it by the party that, in fact participated in the proceedings namely the claimant</w:t>
      </w:r>
      <w:r>
        <w:rPr>
          <w:rFonts w:ascii="arial" w:eastAsia="arial" w:hAnsi="arial" w:cs="arial"/>
          <w:b w:val="0"/>
          <w:i/>
          <w:strike w:val="0"/>
          <w:noProof w:val="0"/>
          <w:color w:val="000000"/>
          <w:position w:val="0"/>
          <w:sz w:val="18"/>
          <w:u w:val="none"/>
          <w:vertAlign w:val="baseline"/>
        </w:rPr>
        <w:t xml:space="preserve"> and regard the company as if they were present but were unwilling to adduce evidence or argue their case. Unlike the civil courts, the Industrial court has no power to enter judgment in default or make an award in default of appearance against the company without having heard the merits of the case.”.</w:t>
      </w:r>
      <w:r>
        <w:t>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xml:space="preserve">  Therefore, having perused all evidence available before the Court and documents filed by the Claimant, and no other evidence on record on behalf of the Company to rebut the Claimant’s claims of unfair dismissal, this Court is satisfied on a balance of probabilities that the Claimant’s dismissal was without just cause or excuse. The Court has also applied the principles of equity, good conscience and substantial merits of the case without regard to technicalities and legal forms under Section 30(5)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in arriving at this decision. Henceforth, the Claimant’s claim is allowed.</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G. REMEDY</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(i) Compensation in lieu of reinstatement</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The Claimant was a confirmed employee and has been employed by the Company since 1 January 2019 and his last day of employment was on 9 August 2020. The Claimant had thus served the Company for a period of 1 year 7 months.</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The Claimant prays that he be reinstated to his former position without any loss of seniority, wages, benefit, allowance, privileges or other benefits. The Claimant further prays for any other alternative relief as the Court deems fir and proper.</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Based on the facts of this case, this Court views that reinstatement of the Claimant to his former position is not a suitable remedy and not in the interest of industrial harmony. Hence, the Court will not order reinstatement of the Claimant.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xml:space="preserve">  As such the appropriate remedy in the circumstances of this case will be compensation in lieu of reinstatement. Based on the number of years in service, the Court will order </w:t>
      </w:r>
      <w:r>
        <w:rPr>
          <w:rFonts w:ascii="arial" w:eastAsia="arial" w:hAnsi="arial" w:cs="arial"/>
          <w:b w:val="0"/>
          <w:i/>
          <w:strike w:val="0"/>
          <w:noProof w:val="0"/>
          <w:color w:val="000000"/>
          <w:position w:val="0"/>
          <w:sz w:val="24"/>
          <w:u w:val="none"/>
          <w:vertAlign w:val="baseline"/>
        </w:rPr>
        <w:t>compensation in lieu of reinstatement at a multiplier of 1 month,</w:t>
      </w:r>
      <w:r>
        <w:rPr>
          <w:rFonts w:ascii="arial" w:eastAsia="arial" w:hAnsi="arial" w:cs="arial"/>
          <w:b w:val="0"/>
          <w:i w:val="0"/>
          <w:strike w:val="0"/>
          <w:noProof w:val="0"/>
          <w:color w:val="000000"/>
          <w:position w:val="0"/>
          <w:sz w:val="24"/>
          <w:u w:val="none"/>
          <w:vertAlign w:val="baseline"/>
        </w:rPr>
        <w:t xml:space="preserve"> that is, one month for each completed year of service.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The Claimant’s last drawn salary was RM4,400.00 and fixed allowance of RM200.00 per month. Therefore, the Court orders that the Claimant be paid of the last drawn salary inclusive of the fixed allowance totalling of RM4,600.00 per month.</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(ii) Backwages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xml:space="preserve">  The Claimant is also entitled for backwages in line with Section 30(6A)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and the factors specified in the Second Schedule which states: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“1. In the event that backwages are to be given, such backwages shall not exceed twenty-four months’ backwages from the date of dismissal based on the last-drawn salary of the person who has been dismissed without just cause or excuse;”.</w:t>
      </w:r>
      <w:r>
        <w:t>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xml:space="preserve">  As such, </w:t>
      </w:r>
      <w:r>
        <w:rPr>
          <w:rFonts w:ascii="arial" w:eastAsia="arial" w:hAnsi="arial" w:cs="arial"/>
          <w:b w:val="0"/>
          <w:i/>
          <w:strike w:val="0"/>
          <w:noProof w:val="0"/>
          <w:color w:val="000000"/>
          <w:position w:val="0"/>
          <w:sz w:val="24"/>
          <w:u w:val="none"/>
          <w:vertAlign w:val="baseline"/>
        </w:rPr>
        <w:t>this Court will order backwages for 17 months only</w:t>
      </w:r>
      <w:r>
        <w:rPr>
          <w:rFonts w:ascii="arial" w:eastAsia="arial" w:hAnsi="arial" w:cs="arial"/>
          <w:b w:val="0"/>
          <w:i w:val="0"/>
          <w:strike w:val="0"/>
          <w:noProof w:val="0"/>
          <w:color w:val="000000"/>
          <w:position w:val="0"/>
          <w:sz w:val="24"/>
          <w:u w:val="none"/>
          <w:vertAlign w:val="baseline"/>
        </w:rPr>
        <w:t xml:space="preserve"> from the date of dismissal.</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[41]</w:t>
      </w:r>
      <w:r>
        <w:rPr>
          <w:rFonts w:ascii="arial" w:eastAsia="arial" w:hAnsi="arial" w:cs="arial"/>
          <w:b w:val="0"/>
          <w:i w:val="0"/>
          <w:strike w:val="0"/>
          <w:noProof w:val="0"/>
          <w:color w:val="000000"/>
          <w:position w:val="0"/>
          <w:sz w:val="24"/>
          <w:u w:val="none"/>
          <w:vertAlign w:val="baseline"/>
        </w:rPr>
        <w:t>  In exercising discretion assessing the quantum of backwages, this Court will consider all relevant matters, including that the Claimant has been gainfully employed elsewhere after his dismissal. The Claimant testifies in Court that after dismissal, he worked as a Grab food delivery rider during the Movement Control Order (MCO). Currently he is doing a freelance crane operator with an uncertain income, depending on request by any company.</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The Claimant has also furnished his EPF Statements for the year 2020, 2021 and 2022 which shows contribution being made until the month of April 2020 only.</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[43]</w:t>
      </w:r>
      <w:r>
        <w:rPr>
          <w:rFonts w:ascii="arial" w:eastAsia="arial" w:hAnsi="arial" w:cs="arial"/>
          <w:b w:val="0"/>
          <w:i w:val="0"/>
          <w:strike w:val="0"/>
          <w:noProof w:val="0"/>
          <w:color w:val="000000"/>
          <w:position w:val="0"/>
          <w:sz w:val="24"/>
          <w:u w:val="none"/>
          <w:vertAlign w:val="baseline"/>
        </w:rPr>
        <w:t xml:space="preserve">  This Court is bound by the principle laid down in the case of </w:t>
      </w:r>
      <w:r>
        <w:rPr>
          <w:rFonts w:ascii="arial" w:eastAsia="arial" w:hAnsi="arial" w:cs="arial"/>
          <w:b w:val="0"/>
          <w:i/>
          <w:strike w:val="0"/>
          <w:noProof w:val="0"/>
          <w:color w:val="000000"/>
          <w:position w:val="0"/>
          <w:sz w:val="24"/>
          <w:u w:val="none"/>
          <w:vertAlign w:val="baseline"/>
        </w:rPr>
        <w:t xml:space="preserve">Dr James Alfred (Sabah) v. Koperasi Serbaguna Sanya Bhd (Sabah) &amp; Anor </w:t>
      </w:r>
      <w:r>
        <w:rPr>
          <w:rFonts w:ascii="arial" w:eastAsia="arial" w:hAnsi="arial" w:cs="arial"/>
          <w:b w:val="0"/>
          <w:i w:val="0"/>
          <w:strike w:val="0"/>
          <w:noProof w:val="0"/>
          <w:color w:val="000000"/>
          <w:position w:val="0"/>
          <w:sz w:val="24"/>
          <w:u w:val="none"/>
          <w:vertAlign w:val="baseline"/>
        </w:rPr>
        <w:t xml:space="preserve"> [2001] 3 CLJ 541 whereby his Lordship Justice Tan Sri Steve Shim CJ (Sabah &amp; Sarawak) in delivering the judgment of the Federal Court held as follows: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“In our view, it is in line with equity and good conscience that the Industrial Court, in assessing quantum of backwages, should take into account the fact, if established by evidence or admitted, that the workman has been gainfully employed elsewhere after his dismissal.</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Failure to do so constitutes a jurisdictional error of law. Certiorari will therefore lie to rectify it. Of course, taking into account of such employment after dismissal does not necessarily mean that the Industrial Court has to conduct a mathematical exercise in deduction. What is important is that the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Industrial Court, in the exercise of its discretion in assessing the quantum of backwages, should take into account all relevant matters including the fact, where it exists, that the workman has been gainfully employed elsewhere after his dismissal</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This discretion is in the nature of a decision-making process.”.</w:t>
      </w:r>
      <w:r>
        <w:t>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[44]</w:t>
      </w:r>
      <w:r>
        <w:rPr>
          <w:rFonts w:ascii="arial" w:eastAsia="arial" w:hAnsi="arial" w:cs="arial"/>
          <w:b w:val="0"/>
          <w:i w:val="0"/>
          <w:strike w:val="0"/>
          <w:noProof w:val="0"/>
          <w:color w:val="000000"/>
          <w:position w:val="0"/>
          <w:sz w:val="24"/>
          <w:u w:val="none"/>
          <w:vertAlign w:val="baseline"/>
        </w:rPr>
        <w:t xml:space="preserve">  Based on the circumstances of this case, this Court rules that there will be a </w:t>
      </w:r>
      <w:r>
        <w:rPr>
          <w:rFonts w:ascii="arial" w:eastAsia="arial" w:hAnsi="arial" w:cs="arial"/>
          <w:b w:val="0"/>
          <w:i/>
          <w:strike w:val="0"/>
          <w:noProof w:val="0"/>
          <w:color w:val="000000"/>
          <w:position w:val="0"/>
          <w:sz w:val="24"/>
          <w:u w:val="none"/>
          <w:vertAlign w:val="baseline"/>
        </w:rPr>
        <w:t>deduction of 5% from the backwages</w:t>
      </w:r>
      <w:r>
        <w:rPr>
          <w:rFonts w:ascii="arial" w:eastAsia="arial" w:hAnsi="arial" w:cs="arial"/>
          <w:b w:val="0"/>
          <w:i w:val="0"/>
          <w:strike w:val="0"/>
          <w:noProof w:val="0"/>
          <w:color w:val="000000"/>
          <w:position w:val="0"/>
          <w:sz w:val="24"/>
          <w:u w:val="none"/>
          <w:vertAlign w:val="baseline"/>
        </w:rPr>
        <w:t xml:space="preserve"> of 17 months awarded in regard to the post-dismissal income.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[45]</w:t>
      </w:r>
      <w:r>
        <w:rPr>
          <w:rFonts w:ascii="arial" w:eastAsia="arial" w:hAnsi="arial" w:cs="arial"/>
          <w:b w:val="0"/>
          <w:i w:val="0"/>
          <w:strike w:val="0"/>
          <w:noProof w:val="0"/>
          <w:color w:val="000000"/>
          <w:position w:val="0"/>
          <w:sz w:val="24"/>
          <w:u w:val="none"/>
          <w:vertAlign w:val="baseline"/>
        </w:rPr>
        <w:t>  Therefore, the total amount of backwages and compensation in lieu of reinstatement payable to the Claimant is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 Backwages</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RM 4,600.00 x 17 months = RM 78,200.00</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Less 5% = RM 3,910.00</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TOTAL = RM 74,290.00</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Add</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(ii) Compensation in lieu of reinstatement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RM 4,600.00 x 1 month = RM 4,600.00</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TOTAL = RM 78,890.00</w:t>
      </w:r>
      <w:r>
        <w:t>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[46]</w:t>
      </w:r>
      <w:r>
        <w:rPr>
          <w:rFonts w:ascii="arial" w:eastAsia="arial" w:hAnsi="arial" w:cs="arial"/>
          <w:b w:val="0"/>
          <w:i w:val="0"/>
          <w:strike w:val="0"/>
          <w:noProof w:val="0"/>
          <w:color w:val="000000"/>
          <w:position w:val="0"/>
          <w:sz w:val="24"/>
          <w:u w:val="none"/>
          <w:vertAlign w:val="baseline"/>
        </w:rPr>
        <w:t>  The Claimant is also entitled to the salary for the month of May, June and July 2020 amounting to RM13,800.00 (RM4,600 x 3 months).</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[47]</w:t>
      </w:r>
      <w:r>
        <w:rPr>
          <w:rFonts w:ascii="arial" w:eastAsia="arial" w:hAnsi="arial" w:cs="arial"/>
          <w:b w:val="0"/>
          <w:i w:val="0"/>
          <w:strike w:val="0"/>
          <w:noProof w:val="0"/>
          <w:color w:val="000000"/>
          <w:position w:val="0"/>
          <w:sz w:val="24"/>
          <w:u w:val="none"/>
          <w:vertAlign w:val="baseline"/>
        </w:rPr>
        <w:t>  As such, the final amount payable to the Claimant by the Company will be RM78,890.00 + RM13,800.00 = RM92,690.00.</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H. FINAL AWARD</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[48]</w:t>
      </w:r>
      <w:r>
        <w:rPr>
          <w:rFonts w:ascii="arial" w:eastAsia="arial" w:hAnsi="arial" w:cs="arial"/>
          <w:b w:val="0"/>
          <w:i w:val="0"/>
          <w:strike w:val="0"/>
          <w:noProof w:val="0"/>
          <w:color w:val="000000"/>
          <w:position w:val="0"/>
          <w:sz w:val="24"/>
          <w:u w:val="none"/>
          <w:vertAlign w:val="baseline"/>
        </w:rPr>
        <w:t xml:space="preserve">  The Court hereby orders that the Company pays the Claimant the total sum of </w:t>
      </w:r>
      <w:r>
        <w:rPr>
          <w:rFonts w:ascii="arial" w:eastAsia="arial" w:hAnsi="arial" w:cs="arial"/>
          <w:b w:val="0"/>
          <w:i/>
          <w:strike w:val="0"/>
          <w:noProof w:val="0"/>
          <w:color w:val="000000"/>
          <w:position w:val="0"/>
          <w:sz w:val="24"/>
          <w:u w:val="none"/>
          <w:vertAlign w:val="baseline"/>
        </w:rPr>
        <w:t>Ringgit Malaysia Ninety Two Thousand Six Hundred Ninety (RM92,690.00) only</w:t>
      </w:r>
      <w:r>
        <w:rPr>
          <w:rFonts w:ascii="arial" w:eastAsia="arial" w:hAnsi="arial" w:cs="arial"/>
          <w:b w:val="0"/>
          <w:i w:val="0"/>
          <w:strike w:val="0"/>
          <w:noProof w:val="0"/>
          <w:color w:val="000000"/>
          <w:position w:val="0"/>
          <w:sz w:val="24"/>
          <w:u w:val="none"/>
          <w:vertAlign w:val="baseline"/>
        </w:rPr>
        <w:t xml:space="preserve"> less any statutory deductions, if any, to the Claimant’s Solicitors, Messrs Adnan Sharida &amp; Associates, within 30 days from the date of this Award.</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right"/>
      </w:pPr>
      <w:r>
        <w:br/>
      </w:r>
      <w:r>
        <w:rPr>
          <w:rFonts w:ascii="arial" w:eastAsia="arial" w:hAnsi="arial" w:cs="arial"/>
          <w:b w:val="0"/>
          <w:i/>
          <w:strike w:val="0"/>
          <w:noProof w:val="0"/>
          <w:color w:val="000000"/>
          <w:position w:val="0"/>
          <w:sz w:val="24"/>
          <w:u w:val="none"/>
          <w:vertAlign w:val="baseline"/>
        </w:rPr>
        <w:t>Claim allowed.</w:t>
      </w:r>
      <w:r>
        <w:t>
</w:t>
      </w:r>
    </w:p>
    <w:p>
      <w:pPr>
        <w:keepNext w:val="0"/>
        <w:spacing w:after="0" w:line="300" w:lineRule="atLeast"/>
        <w:ind w:left="0" w:right="0" w:firstLine="0"/>
        <w:jc w:val="right"/>
      </w:pPr>
      <w:bookmarkStart w:id="6" w:name="Reporter"/>
      <w:bookmarkEnd w:id="6"/>
      <w:r>
        <w:rPr>
          <w:rFonts w:ascii="arial" w:eastAsia="arial" w:hAnsi="arial" w:cs="arial"/>
          <w:b w:val="0"/>
          <w:i w:val="0"/>
          <w:strike w:val="0"/>
          <w:noProof w:val="0"/>
          <w:color w:val="000000"/>
          <w:position w:val="0"/>
          <w:sz w:val="24"/>
          <w:u w:val="none"/>
          <w:vertAlign w:val="baseline"/>
        </w:rPr>
        <w:t>Reported by Muhamad Azham Marwan</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Mohamad Tuah bin Safar v Beni Sdn Bhd                                                                                                                           ....</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Mohamad Tuah bin Safar v Beni Sdn Bhd                                                                                                                                                                                                                                       [2023] 1 ILJ 105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DG-FDV1-FH4C-X2K9-00000-00">
    <vt:lpwstr>Doc::/shared/document|contextualFeaturePermID::1522468</vt:lpwstr>
  </property>
  <property fmtid="{D5CDD505-2E9C-101B-9397-08002B2CF9AE}" pid="4" name="LNDeliveryID">
    <vt:lpwstr>283274969</vt:lpwstr>
  </property>
  <property fmtid="{D5CDD505-2E9C-101B-9397-08002B2CF9AE}" pid="5" name="UserPermID">
    <vt:lpwstr>urn:user:PA196491919</vt:lpwstr>
  </property>
</Properties>
</file>