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Mohd Sofian bin Amirudin v Bank Simpanan Nasional [2026] 9 MLJ 549</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Malayan Law Journal Reports</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HIGH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ANAND PONNUDURAI J</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CIVIL SUIT NO WA-22NCVC-290–05 OF 2022</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20 April 2026</w:t>
      </w:r>
    </w:p>
    <w:p>
      <w:pPr>
        <w:keepNext/>
        <w:spacing w:before="120" w:after="0" w:line="340" w:lineRule="atLeast"/>
        <w:ind w:left="0" w:right="0" w:firstLine="0"/>
        <w:jc w:val="left"/>
      </w:pPr>
      <w:bookmarkStart w:id="0" w:name="Case Summary"/>
      <w:bookmarkEnd w:id="0"/>
      <w:r>
        <w:rPr>
          <w:rFonts w:ascii="arial" w:eastAsia="arial" w:hAnsi="arial" w:cs="arial"/>
          <w:b/>
          <w:i w:val="0"/>
          <w:strike w:val="0"/>
          <w:noProof w:val="0"/>
          <w:color w:val="000000"/>
          <w:position w:val="0"/>
          <w:sz w:val="28"/>
          <w:u w:val="none"/>
          <w:vertAlign w:val="baseline"/>
        </w:rPr>
        <w:t>Case Summary</w:t>
      </w:r>
    </w:p>
    <w:p>
      <w:pPr>
        <w:spacing w:line="60" w:lineRule="exact"/>
      </w:pPr>
      <w:r>
        <w:pict>
          <v:line id="_x0000_s1025" style="position:absolute;z-index:251658240" from="0,2pt" to="512pt,2pt" strokecolor="#009ddb" strokeweight="2pt">
            <v:stroke linestyle="single"/>
          </v:line>
        </w:pict>
      </w:r>
    </w:p>
    <w:p>
      <w:pPr>
        <w:spacing w:line="240" w:lineRule="exact"/>
      </w:pPr>
    </w:p>
    <w:p>
      <w:pPr>
        <w:keepNext w:val="0"/>
        <w:spacing w:after="0" w:line="300" w:lineRule="atLeast"/>
        <w:ind w:left="0" w:right="0" w:firstLine="0"/>
        <w:jc w:val="left"/>
      </w:pPr>
      <w:bookmarkStart w:id="1" w:name="Catchwords"/>
      <w:bookmarkEnd w:id="1"/>
      <w:r>
        <w:rPr>
          <w:rFonts w:ascii="arial" w:eastAsia="arial" w:hAnsi="arial" w:cs="arial"/>
          <w:b/>
          <w:i w:val="0"/>
          <w:strike w:val="0"/>
          <w:noProof w:val="0"/>
          <w:color w:val="000000"/>
          <w:position w:val="0"/>
          <w:sz w:val="24"/>
          <w:u w:val="none"/>
          <w:vertAlign w:val="baseline"/>
        </w:rPr>
        <w:t xml:space="preserve">Contract — Employment contract — Breach — Employer transferred employee to another department — Employee claimed that employer’s conduct amounted to repudiatory breach of his employment contract — Whether the employment was on a genuine fixed term contract basis — Whether transfer of employee to another department constituted breach of employment contract — What relief was available to employee under law of contract and what quantum of damages flowed from such breach — Whether employer’s counterclaim for three months’ salary in lieu of notice was sustainable — Bank Simpanan Nasional </w:t>
      </w:r>
      <w:r>
        <w:rPr>
          <w:rFonts w:ascii="arial" w:eastAsia="arial" w:hAnsi="arial" w:cs="arial"/>
          <w:b/>
          <w:i/>
          <w:strike w:val="0"/>
          <w:noProof w:val="0"/>
          <w:color w:val="000000"/>
          <w:position w:val="0"/>
          <w:sz w:val="24"/>
          <w:u w:val="single"/>
          <w:vertAlign w:val="baseline"/>
        </w:rPr>
        <w:t>Act</w:t>
      </w:r>
      <w:r>
        <w:rPr>
          <w:rFonts w:ascii="arial" w:eastAsia="arial" w:hAnsi="arial" w:cs="arial"/>
          <w:b/>
          <w:i w:val="0"/>
          <w:strike w:val="0"/>
          <w:noProof w:val="0"/>
          <w:color w:val="000000"/>
          <w:position w:val="0"/>
          <w:sz w:val="24"/>
          <w:u w:val="none"/>
          <w:vertAlign w:val="baseline"/>
        </w:rPr>
        <w:t xml:space="preserve"> 1974 s 14 — Contracts </w:t>
      </w:r>
      <w:r>
        <w:rPr>
          <w:rFonts w:ascii="arial" w:eastAsia="arial" w:hAnsi="arial" w:cs="arial"/>
          <w:b/>
          <w:i/>
          <w:strike w:val="0"/>
          <w:noProof w:val="0"/>
          <w:color w:val="000000"/>
          <w:position w:val="0"/>
          <w:sz w:val="24"/>
          <w:u w:val="single"/>
          <w:vertAlign w:val="baseline"/>
        </w:rPr>
        <w:t>Act</w:t>
      </w:r>
      <w:r>
        <w:rPr>
          <w:rFonts w:ascii="arial" w:eastAsia="arial" w:hAnsi="arial" w:cs="arial"/>
          <w:b/>
          <w:i w:val="0"/>
          <w:strike w:val="0"/>
          <w:noProof w:val="0"/>
          <w:color w:val="000000"/>
          <w:position w:val="0"/>
          <w:sz w:val="24"/>
          <w:u w:val="none"/>
          <w:vertAlign w:val="baseline"/>
        </w:rPr>
        <w:t xml:space="preserve"> 1950 ss 40, 65 &amp; 74 — Industrial Relations </w:t>
      </w:r>
      <w:r>
        <w:rPr>
          <w:rFonts w:ascii="arial" w:eastAsia="arial" w:hAnsi="arial" w:cs="arial"/>
          <w:b/>
          <w:i/>
          <w:strike w:val="0"/>
          <w:noProof w:val="0"/>
          <w:color w:val="000000"/>
          <w:position w:val="0"/>
          <w:sz w:val="24"/>
          <w:u w:val="single"/>
          <w:vertAlign w:val="baseline"/>
        </w:rPr>
        <w:t>Act</w:t>
      </w:r>
      <w:r>
        <w:rPr>
          <w:rFonts w:ascii="arial" w:eastAsia="arial" w:hAnsi="arial" w:cs="arial"/>
          <w:b/>
          <w:i w:val="0"/>
          <w:strike w:val="0"/>
          <w:noProof w:val="0"/>
          <w:color w:val="000000"/>
          <w:position w:val="0"/>
          <w:sz w:val="24"/>
          <w:u w:val="none"/>
          <w:vertAlign w:val="baseline"/>
        </w:rPr>
        <w:t xml:space="preserve"> 1967 ss 20 &amp; 52</w:t>
      </w:r>
    </w:p>
    <w:p>
      <w:pPr>
        <w:keepNext w:val="0"/>
        <w:spacing w:before="0" w:after="0" w:line="300" w:lineRule="atLeast"/>
        <w:ind w:left="0" w:right="0" w:firstLine="0"/>
        <w:jc w:val="both"/>
      </w:pPr>
      <w:bookmarkStart w:id="2" w:name="Case summary "/>
      <w:bookmarkEnd w:id="2"/>
      <w:r>
        <w:br/>
      </w:r>
      <w:r>
        <w:rPr>
          <w:rFonts w:ascii="arial" w:eastAsia="arial" w:hAnsi="arial" w:cs="arial"/>
          <w:b w:val="0"/>
          <w:i w:val="0"/>
          <w:strike w:val="0"/>
          <w:noProof w:val="0"/>
          <w:color w:val="000000"/>
          <w:position w:val="0"/>
          <w:sz w:val="24"/>
          <w:u w:val="none"/>
          <w:vertAlign w:val="baseline"/>
        </w:rPr>
        <w:t xml:space="preserve">Mohd Sofian (‘the plaintiff’) had been working with Bank Simpanan Nasional (‘the defendant/the bank’) for 12 years during which he had entered into seven successive fixed term contracts with the defendant. During the subsistence of the seventh contract, the defendant had commenced a disciplinary proceeding against the plaintiff who held, at the material time, the position of Naib Presiden Kanan II (E7), Ketua Perniagaan Kad &amp; CRM. Two days later, the defendant had instructed the plaintiff to report to the Special Project Unit (‘SPU’). However, the plaintiff refused to comply with the transfer contending that it was a demotion and, by letter dated 30 August 2021, the plaintiff declared himself constructively dismissed. The plaintiff then brought the present action claiming, inter alia, a declaration of constructive dismissal, full back wages to retirement age, reputational and general damages. The plaintiff submitted that the transfer barely two days after a warning was given to him following a disciplinary proceeding, was not a lawful redeployment but a step calculated to remove him from his substantive position and fundamentally altered his role, functions and place within the banks organisational structure. The plaintiff argued that the defendant’s conduct amounted to a repudiatory breach of his employment contract. The defendant denied the plaintiff’s claim and counterclaimed the sum of RM108,600 being three months’ basic salary in lieu of notice pursuant to the employment contract as the defendant considered the plaintiff having abandoned employment without notice. The issues in the present case were: (a) whether the employment was on a genuine fixed term contract basis; (b) whether the transfer of the plaintiff to the SPU constituted a breach of the seventh contract, specifically whether it amounted to a demotion in breach of the contractual terms; (c) if a breach was established, what relief was available to the plaintiff under the law of contract and what quantum of damages flowed from such breach; and (d) whether the defendant’s counterclaim for three months’ salary in lieu of notice was sustainable.  </w:t>
      </w:r>
      <w:r>
        <w:t>
</w:t>
      </w:r>
    </w:p>
    <w:p>
      <w:pPr>
        <w:keepNext w:val="0"/>
        <w:spacing w:after="0" w:line="300" w:lineRule="atLeast"/>
        <w:ind w:left="0" w:right="0" w:firstLine="0"/>
        <w:jc w:val="both"/>
      </w:pPr>
      <w:bookmarkStart w:id="3" w:name="Holdings of court"/>
      <w:bookmarkEnd w:id="3"/>
      <w:r>
        <w:rPr>
          <w:rFonts w:ascii="arial" w:eastAsia="arial" w:hAnsi="arial" w:cs="arial"/>
          <w:b/>
          <w:i w:val="0"/>
          <w:strike w:val="0"/>
          <w:noProof w:val="0"/>
          <w:color w:val="000000"/>
          <w:position w:val="0"/>
          <w:sz w:val="24"/>
          <w:u w:val="none"/>
          <w:vertAlign w:val="baseline"/>
        </w:rPr>
        <w:t>Held</w:t>
      </w:r>
      <w:r>
        <w:rPr>
          <w:rFonts w:ascii="arial" w:eastAsia="arial" w:hAnsi="arial" w:cs="arial"/>
          <w:b w:val="0"/>
          <w:i w:val="0"/>
          <w:strike w:val="0"/>
          <w:noProof w:val="0"/>
          <w:color w:val="000000"/>
          <w:position w:val="0"/>
          <w:sz w:val="24"/>
          <w:u w:val="none"/>
          <w:vertAlign w:val="baseline"/>
        </w:rPr>
        <w:t xml:space="preserve">: </w:t>
      </w:r>
    </w:p>
    <w:p>
      <w:pPr>
        <w:spacing w:line="120" w:lineRule="exact"/>
      </w:pP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a consequence of s 52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the provisions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including s 20 thereof, were inapplicable to the plaintiff’s claim for constructive dismissal as the defendant-employer was a statutory body. The defendant was therefore excluded from the remedial framework of the Industrial Court. The court’s jurisdiction was therefore confined to adjudicating the plaintiff’s claim as a matter of common law and contract law in accordance with the Contracts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1950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136’) (see paras 15–16).</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court found that the plaintiff’s employment contracts, in particular, the seventh contract, were genuine fixed term contracts for the following reasons: (a) all seven contracts were offers extended by the defendant and freely accepted by the plaintiff whereby each contained clear, unambiguous terms as to the period of engagement; (b) the plaintiff himself had acknowledged that he read and understood all seven contracts, and that he raised no objection to the duration clause and the transfer clause; (c) none of the seven contracts contained an automatic renewal clause; (d) the plaintiff’s witnesses (PW1 and PW2) confirmed in cross-examination that they knew all senior management employees above Grade E4 were engaged on fixed term contracts, and that this was the defendant’s stated policy; (e) pursuant to s 14 of the Bank Simpanan Nasional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1974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146), there was no legal impediment to the defendant engaging its senior management exclusively on fixed term contracts; and (f) the plaintiff himself had testified that there was a risk that his employment would cease at the end of the seventh contract. Therefore, the plaintiff’s prayer for a declaration of permanent employment was dismissed (see paras 21–27 &amp; 58).</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court found that the transfer of the plaintiff to the SPU fell outside the scope of cl 10.1, and was effected without adequate definition of job scope or duties. Even if cl 10 conferred a power of transfer, such power did not extend to a transfer which in substance and effect stripped the plaintiff of his substantive role and placed him into a materially different and lower position. In this regard, the SPU did not appear as a core operational division in the bank’s macro organisation chart, was a mere unit and not a division of the bank’s core business or carry out any card business, had only two other employees who worked only on some sustainability project, with the unit disbanded barely four months later. The transfer was thus an unlawful and invalid transfer amounting to a repudiatory breach of the contract which the plaintiff was entitled to accept and treat the contract as terminated (see paras 44 &amp; 58).</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position was clear in that the civil court’s jurisdiction upon a wrongful termination of a fixed term contract was to award compensation for the unexpired portion of the contract. Therefore, the court agreed with the defendant that pursuant to s 74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136, the plaintiff was only entitled to the remaining four months’ salary (together with his fixed monthly allowances) being the unexpired part of his fixed term contract amounting to a total sum of RM161,200. As for the plaintiff’s claims for reputational damage, wounded feelings and general damages, these claims were unmaintainable in the court as a matter of law, and were accordingly dismissed (see paras 48–51 &amp; 58).</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law, where a party committed a repudiatory or other material breach of contract, the innocent party was entitled to treat himself as discharged from his obligations under the contract (ss 40 and 65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136). While the court in the present case had not found the transfer to constitute a full repudiation in the Industrial Court sense as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framework did not apply, the finding of breach by the defendant was sufficient to disentitle the defendant from recovering damages for the plaintiff’s non-observance of the notice obligation in cl 11.1. It would be unjust and contrary to principle to allow the defendant to hold the plaintiff to a contractual obligation that arose in consequence of the defendant’s own breach. Accordingly, the defendant’s counterclaim was dismissed (see paras 56–58).</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for cost, having regard to the mixed outcome of the plaintiff succeeding on the breach of contract but recovering only the modest contractual balance, and the defendant’s counterclaim being dismissed, the court awarded the plaintiff costs of RM30,000 subject to allocatur (see para 58).</w:t>
      </w:r>
    </w:p>
    <w:p/>
    <w:p>
      <w:pPr>
        <w:keepNext w:val="0"/>
        <w:spacing w:after="0" w:line="300" w:lineRule="atLeast"/>
        <w:ind w:left="0" w:right="0" w:firstLine="0"/>
        <w:jc w:val="both"/>
      </w:pPr>
      <w:r>
        <w:rPr>
          <w:rFonts w:ascii="arial" w:eastAsia="arial" w:hAnsi="arial" w:cs="arial"/>
          <w:b w:val="0"/>
          <w:i w:val="0"/>
          <w:strike w:val="0"/>
          <w:noProof w:val="0"/>
          <w:color w:val="000000"/>
          <w:position w:val="0"/>
          <w:sz w:val="24"/>
          <w:u w:val="none"/>
          <w:vertAlign w:val="baseline"/>
        </w:rPr>
        <w:t xml:space="preserve">Mohd Sofian (‘plaintif’) telah bekerja dengan Bank Simpanan Nasional (‘defendan/bank tersebut’) selama 12 tahun di mana beliau telah memeterai tujuh kontrak tetap berturut-turut dengan defendan. Semasa kontrak ketujuh masih berkuat kuasa, defendan telah memulakan prosiding tatatertib terhadap plaintif yang pada ketika itu memegang jawatan Naib Presiden Kanan II (E7), Ketua Perniagaan Kad &amp; CRM. Dua hari kemudian, defendan telah mengarahkan plaintif untuk melapor kepada Unit Projek Khas (‘SPU’). Walau bagaimanapun, plaintif enggan mematuhi pemindahan tersebut dengan alasan bahawa ia adalah penurunan pangkat dan, melalui surat bertarikh 30 Ogos 2021, plaintif mengisytiharkan dirinya dipecat secara konstruktif. Plaintif kemudian memfailkan tindakan semasa dengan menuntut, antara lain, pengisytiharan pemecatan konstruktif, gaji kebelakangan penuh sehingga umur persaraan, ganti rugi reputasi dan ganti rugi am. Plaintif berhujah bahawa pemindahan tersebut yang dibuat hanya dua hari selepas amaran diberikan kepadanya susulan prosiding tatatertib, bukanlah penempatan semula yang sah tetapi satu langkah yang dibuat untuk menyingkirkannya daripada jawatan substantifnya dan mengubah secara asas peranan, fungsi dan tempatnya dalam struktur organisasi bank tersebut. Plaintif berhujah bahawa tindakan defendan merupakan satu pelanggaran kontrak yang bersifat menolak (repudiatory breach) terhadap kontrak pekerjaannya. Defendan menafikan tuntutan plaintif dan menuntut balas sejumlah RM108,600 iaitu gaji pokok tiga bulan sebagai ganti notis menurut kontrak pekerjaan kerana defendan menganggap plaintif telah meninggalkan pekerjaan tanpa notis. Isu-isu dalam kes semasa ialah: (a) sama ada pekerjaan plaintif adalah berdasarkan kontrak tetap yang tulen; (b) sama ada pemindahan plaintif ke SPU merupakan pelanggaran kontrak ketujuh, khususnya sama ada ia merupakan penurunan pangkat yang melanggar terma kontrak; (c) jika pelanggaran telah dibuktikan, apakah remedi yang tersedia kepada plaintif di bawah undang-undang kontrak dan berapakah jumlah ganti rugi yang mengalir daripada pelanggaran tersebut; dan (d) sama ada tuntutan balas defendan untuk gaji tiga bulan sebagai ganti notis adalah mampan.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Diputuskan</w:t>
      </w:r>
      <w:r>
        <w:rPr>
          <w:rFonts w:ascii="arial" w:eastAsia="arial" w:hAnsi="arial" w:cs="arial"/>
          <w:b w:val="0"/>
          <w:i w:val="0"/>
          <w:strike w:val="0"/>
          <w:noProof w:val="0"/>
          <w:color w:val="000000"/>
          <w:position w:val="0"/>
          <w:sz w:val="24"/>
          <w:u w:val="none"/>
          <w:vertAlign w:val="baseline"/>
        </w:rPr>
        <w:t xml:space="preserve">: </w:t>
      </w:r>
    </w:p>
    <w:p>
      <w:pPr>
        <w:spacing w:line="120" w:lineRule="exact"/>
      </w:pP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Akibat daripada s 52 Akta Perhubungan Perusahaan 1967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peruntukan-peruntukan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termasuk s 20 daripadanya, tidak terpakai kepada tuntutan plaintif untuk pemecatan konstruktif kerana defendan-majikan adalah badan berkanun. Oleh itu, defendan dikecualikan daripada rangka kerja remedi Mahkamah Perusahaan. Oleh itu, bidang kuasa mahkamah terhad kepada mengadili tuntutan plaintif sebagai perkara ‘common law’ dan undang-undang kontrak mengikut Akta Kontrak 1950 (‘Akta 136’) (lihat perenggan 15–16).</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Mahkamah mendapati bahawa kontrak pekerjaan plaintif, khususnya kontrak ketujuh, adalah kontrak tetap yang tulen atas sebab-sebab berikut: (a) kesemua tujuh kontrak adalah tawaran yang diberikan oleh defendan dan diterima secara sukarela oleh plaintif di mana setiap satu mengandungi terma yang jelas dan tidak samar-samar mengenai tempoh kontrak; (b) plaintif sendiri telah mengakui bahawa dia telah membaca dan memahami kesemua tujuh kontrak, dan bahawa dia tidak membangkitkan apa-apa bantahan terhadap klausa tempoh dan klausa pemindahan; (c) tiada satu pun daripada tujuh kontrak tersebut mengandungi klausa pembaharuan automatik; (d) saksi-saksi plaintif (PW1 dan PW2) mengesahkan dalam pemeriksaan balas bahawa mereka tahu semua pekerja pengurusan kanan di atas Gred E4 diambil bekerja dengan kontrak tetap, dan ini adalah dasar defendan yang dinyatakan; (e) menurut s 14 Akta Bank Simpanan Nasional 1974 (Akta 146), tiada halangan undang-undang kepada defendan untuk mengambil pengurusan kanannya secara eksklusif dengan kontrak tetap; dan (f) plaintif sendiri telah memberi keterangan bahawa terdapat risiko bahawa pekerjaannya akan terhenti pada akhir kontrak ketujuh. Oleh itu, permohonan plaintif untuk pengisytiharan pekerjaan tetap telah ditolak (lihat perenggan 21–27 &amp; 58).</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Mahkamah mendapati bahawa pemindahan plaintif ke SPU berada di luar skop klausa 10.1, dan telah dilaksanakan tanpa definisi skop kerja atau tugas yang mencukupi. Walaupun klausa 10 memberikan kuasa pemindahan, kuasa tersebut tidak meliputi pemindahan yang secara substansial dan berkesan melucutkan peranan substantif plaintif dan meletakkannya pada kedudukan yang berbeza secara material dan lebih rendah. Dalam hal ini, SPU bukanlah bahagian operasi teras dalam carta organisasi makro bank tersebut, SPU juga merupakan unit semata-mata dan bukan bahagian perniagaan teras bank atau menjalankan apa-apa perniagaan kad, hanya mempunyai dua pekerja lain yang hanya menjalankan kerja bagi beberapa projek kemampanan, dengan unit tersebut dibubarkan hanya empat bulan kemudian. Oleh itu, pemindahan tersebut merupakan pemindahan yang menyalahi undang-undang dan tidak sah yang merupakan pelanggaran kontrak yang bersifat menolak yang mana plaintif berhak menerima dan menganggap kontrak tersebut sebagai ditamatkan (lihat perenggan 44 &amp; 58).</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Kedudukannya adalah jelas bahawa bidang kuasa mahkamah sivil ke atas penamatan kontrak terma tetap secara salah adalah untuk memberikan pampasan bagi bahagian kontrak yang belum tamat tempoh. Oleh itu, mahkamah bersetuju dengan defendan bahawa menurut s 74 Akta 136, plaintif hanya berhak mendapat baki gaji empat bulan (bersama-sama dengan elaun bulanan tetapnya) yang merupakan bahagian kontrak terma tetapnya yang masih berbaki dengan jumlah keseluruhan sebanyak RM161,200. Bagi tuntutan plaintif untuk ganti rugi reputasi, perasaan yang terluka dan ganti rugi am, tuntutan-tuntutan ini tidak boleh dikekalkan di mahkamah dari segi undang-undang, dan dengan itu ditolak (lihat perenggan 48–51 &amp; 58).</w:t>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Dalam undang-undang, jika sesuatu pihak melakukan penolakan kontrak atau pelanggaran material yang lain, pihak yang tidak bersalah berhak untuk menganggap dirinya dilepaskan daripada obligasinya di bawah kontrak (ss 40 dan 65 Akta 136). Walaupun mahkamah dalam kes semasa tidak mendapati pemindahan tersebut merupakan penolakan penuh dalam erti kata Mahkamah Perusahaan kerana rangka kerja Akta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tidak terpakai, dapatan berkenaan pelanggaran oleh defendan mencukupi untuk menghalang defendan daripada menuntut ganti rugi atas ketidakpatuhan plaintif terhadap obligasi notis dalam klausa 11.1. Adalah tidak adil dan bertentangan dengan prinsip untuk membenarkan defendan mempertanggungjawabkan plaintif pada obligasi kontraktual yang timbul akibat pelanggaran defendan sendiri. Oleh itu, tuntutan balas defendan telah ditolak (lihat perenggan 56–58).  </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Bagi kos, dengan mengambil kira keputusan yang bercampur-campur di mana plaintif berjaya dalam pelanggaran kontrak tetapi hanya memperoleh pampasan bagi baki kontrak yang sederhana, dan tuntutan balas defendan ditolak, mahkamah mengawardkan kos kepada plaintif sebanyak RM30,000 tertakluk kepada alokatur (lihat perenggan 58).</w:t>
      </w:r>
    </w:p>
    <w:p/>
    <w:p>
      <w:pPr>
        <w:keepNext w:val="0"/>
        <w:spacing w:after="0" w:line="300" w:lineRule="atLeast"/>
        <w:ind w:left="360" w:right="0" w:firstLine="0"/>
        <w:jc w:val="left"/>
      </w:pPr>
      <w:r>
        <w:rPr>
          <w:rFonts w:ascii="arial" w:eastAsia="arial" w:hAnsi="arial" w:cs="arial"/>
          <w:b/>
          <w:i w:val="0"/>
          <w:strike w:val="0"/>
          <w:noProof w:val="0"/>
          <w:color w:val="000000"/>
          <w:position w:val="0"/>
          <w:sz w:val="24"/>
          <w:u w:val="none"/>
          <w:vertAlign w:val="baseline"/>
        </w:rPr>
        <w:t>Cases referred to</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7-Eleven Malaysia Sdn Bhd v Ashvine Hari Krishnan </w:t>
      </w:r>
      <w:r>
        <w:rPr>
          <w:rFonts w:ascii="arial" w:eastAsia="arial" w:hAnsi="arial" w:cs="arial"/>
          <w:b w:val="0"/>
          <w:i w:val="0"/>
          <w:strike w:val="0"/>
          <w:noProof w:val="0"/>
          <w:color w:val="000000"/>
          <w:position w:val="0"/>
          <w:sz w:val="24"/>
          <w:u w:val="none"/>
          <w:vertAlign w:val="baseline"/>
        </w:rPr>
        <w:t xml:space="preserve"> [2023] 3 MLJ 469; [2023] 2 ILR 209, CA (folld)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AETNA Universal Insurance Sdn Bhd v Ooi Meng Sua </w:t>
      </w:r>
      <w:r>
        <w:rPr>
          <w:rFonts w:ascii="arial" w:eastAsia="arial" w:hAnsi="arial" w:cs="arial"/>
          <w:b w:val="0"/>
          <w:i w:val="0"/>
          <w:strike w:val="0"/>
          <w:noProof w:val="0"/>
          <w:color w:val="000000"/>
          <w:position w:val="0"/>
          <w:sz w:val="24"/>
          <w:u w:val="none"/>
          <w:vertAlign w:val="baseline"/>
        </w:rPr>
        <w:t xml:space="preserve"> [2001] 3 MLJ 502; [2001] 3 CLJ 1,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CIMB Bank Bhd v Ahmad Suhairi bin Mat Ali &amp; Anor </w:t>
      </w:r>
      <w:r>
        <w:rPr>
          <w:rFonts w:ascii="arial" w:eastAsia="arial" w:hAnsi="arial" w:cs="arial"/>
          <w:b w:val="0"/>
          <w:i w:val="0"/>
          <w:strike w:val="0"/>
          <w:noProof w:val="0"/>
          <w:color w:val="000000"/>
          <w:position w:val="0"/>
          <w:sz w:val="24"/>
          <w:u w:val="none"/>
          <w:vertAlign w:val="baseline"/>
        </w:rPr>
        <w:t xml:space="preserve"> [2023] 5 MLJ 829, CA (folld)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Fung Keong Rubber Manufacturing (M) Sdn Bhd v Lee Eng Kiat &amp; Ors </w:t>
      </w:r>
      <w:r>
        <w:rPr>
          <w:rFonts w:ascii="arial" w:eastAsia="arial" w:hAnsi="arial" w:cs="arial"/>
          <w:b w:val="0"/>
          <w:i w:val="0"/>
          <w:strike w:val="0"/>
          <w:noProof w:val="0"/>
          <w:color w:val="000000"/>
          <w:position w:val="0"/>
          <w:sz w:val="24"/>
          <w:u w:val="none"/>
          <w:vertAlign w:val="baseline"/>
        </w:rPr>
        <w:t xml:space="preserve"> [1981] 1 MLJ 238, FC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Ma Yanan v AAA Greencell Sdn Bhd dan satu lagi </w:t>
      </w:r>
      <w:r>
        <w:rPr>
          <w:rFonts w:ascii="arial" w:eastAsia="arial" w:hAnsi="arial" w:cs="arial"/>
          <w:b w:val="0"/>
          <w:i w:val="0"/>
          <w:strike w:val="0"/>
          <w:noProof w:val="0"/>
          <w:color w:val="000000"/>
          <w:position w:val="0"/>
          <w:sz w:val="24"/>
          <w:u w:val="none"/>
          <w:vertAlign w:val="baseline"/>
        </w:rPr>
        <w:t xml:space="preserve"> [2023] MLJU 2131, HC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Ng Kim Fong v Menang Corporation (M) Berhad </w:t>
      </w:r>
      <w:r>
        <w:rPr>
          <w:rFonts w:ascii="arial" w:eastAsia="arial" w:hAnsi="arial" w:cs="arial"/>
          <w:b w:val="0"/>
          <w:i w:val="0"/>
          <w:strike w:val="0"/>
          <w:noProof w:val="0"/>
          <w:color w:val="000000"/>
          <w:position w:val="0"/>
          <w:sz w:val="24"/>
          <w:u w:val="none"/>
          <w:vertAlign w:val="baseline"/>
        </w:rPr>
        <w:t xml:space="preserve"> [2020] MLJU 644; [2020] 1 LNS 1263,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Quah Swee Khoon v Sime Darby </w:t>
      </w:r>
      <w:r>
        <w:rPr>
          <w:rFonts w:ascii="arial" w:eastAsia="arial" w:hAnsi="arial" w:cs="arial"/>
          <w:b w:val="0"/>
          <w:i w:val="0"/>
          <w:strike w:val="0"/>
          <w:noProof w:val="0"/>
          <w:color w:val="000000"/>
          <w:position w:val="0"/>
          <w:sz w:val="24"/>
          <w:u w:val="none"/>
          <w:vertAlign w:val="baseline"/>
        </w:rPr>
        <w:t xml:space="preserve"> [2000] 2 MLJ 600; [2001] 1 CLJ 9,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Rajamohan a/l Maniam v GPA Plastics Industries Sdn Bhd </w:t>
      </w:r>
      <w:r>
        <w:rPr>
          <w:rFonts w:ascii="arial" w:eastAsia="arial" w:hAnsi="arial" w:cs="arial"/>
          <w:b w:val="0"/>
          <w:i w:val="0"/>
          <w:strike w:val="0"/>
          <w:noProof w:val="0"/>
          <w:color w:val="000000"/>
          <w:position w:val="0"/>
          <w:sz w:val="24"/>
          <w:u w:val="none"/>
          <w:vertAlign w:val="baseline"/>
        </w:rPr>
        <w:t xml:space="preserve"> [2012] MLJU 211; [2012] 5 CLJ 900,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RHB Bank Bhd v Tan Leong Huat </w:t>
      </w:r>
      <w:r>
        <w:rPr>
          <w:rFonts w:ascii="arial" w:eastAsia="arial" w:hAnsi="arial" w:cs="arial"/>
          <w:b w:val="0"/>
          <w:i w:val="0"/>
          <w:strike w:val="0"/>
          <w:noProof w:val="0"/>
          <w:color w:val="000000"/>
          <w:position w:val="0"/>
          <w:sz w:val="24"/>
          <w:u w:val="none"/>
          <w:vertAlign w:val="baseline"/>
        </w:rPr>
        <w:t xml:space="preserve"> [2024] 2 MLJ 408; [2024] 4 CLJ 378,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Saharunzaman bin Barun v Perodua Sales Sdn Bhd &amp; Anor </w:t>
      </w:r>
      <w:r>
        <w:rPr>
          <w:rFonts w:ascii="arial" w:eastAsia="arial" w:hAnsi="arial" w:cs="arial"/>
          <w:b w:val="0"/>
          <w:i w:val="0"/>
          <w:strike w:val="0"/>
          <w:noProof w:val="0"/>
          <w:color w:val="000000"/>
          <w:position w:val="0"/>
          <w:sz w:val="24"/>
          <w:u w:val="none"/>
          <w:vertAlign w:val="baseline"/>
        </w:rPr>
        <w:t xml:space="preserve"> [2025] 2 MLJ 17; [2025] 2 CLJ 887,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Sakthi Devi a/p Muniandy @ Segaran v Lembaga Rayuan Tatatertib Perkhidmatan Pendidikan &amp; Ors and another case </w:t>
      </w:r>
      <w:r>
        <w:rPr>
          <w:rFonts w:ascii="arial" w:eastAsia="arial" w:hAnsi="arial" w:cs="arial"/>
          <w:b w:val="0"/>
          <w:i w:val="0"/>
          <w:strike w:val="0"/>
          <w:noProof w:val="0"/>
          <w:color w:val="000000"/>
          <w:position w:val="0"/>
          <w:sz w:val="24"/>
          <w:u w:val="none"/>
          <w:vertAlign w:val="baseline"/>
        </w:rPr>
        <w:t xml:space="preserve"> [2023] MLJU 2945; [2023] CLJU 2674, HC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Sudhir a/l AK Kumaren v Industrial Court of Malaysia &amp; Anor </w:t>
      </w:r>
      <w:r>
        <w:rPr>
          <w:rFonts w:ascii="arial" w:eastAsia="arial" w:hAnsi="arial" w:cs="arial"/>
          <w:b w:val="0"/>
          <w:i w:val="0"/>
          <w:strike w:val="0"/>
          <w:noProof w:val="0"/>
          <w:color w:val="000000"/>
          <w:position w:val="0"/>
          <w:sz w:val="24"/>
          <w:u w:val="none"/>
          <w:vertAlign w:val="baseline"/>
        </w:rPr>
        <w:t xml:space="preserve"> [2025] 3 MLJ 698; [2025] 5 CLJ 715,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Tan Lay Peng (representative of the estate of Tan Leong Huat) v RHB Bank Bhd &amp; Anor </w:t>
      </w:r>
      <w:r>
        <w:rPr>
          <w:rFonts w:ascii="arial" w:eastAsia="arial" w:hAnsi="arial" w:cs="arial"/>
          <w:b w:val="0"/>
          <w:i w:val="0"/>
          <w:strike w:val="0"/>
          <w:noProof w:val="0"/>
          <w:color w:val="000000"/>
          <w:position w:val="0"/>
          <w:sz w:val="24"/>
          <w:u w:val="none"/>
          <w:vertAlign w:val="baseline"/>
        </w:rPr>
        <w:t xml:space="preserve"> [2024] 3 MLJ 506; [2024] 6 CLJ 315; [2024] 2 ILR 535, FC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Wan Himratul Azna binti Wan Harun v Pengarah Hospital Serdang &amp; Ors </w:t>
      </w:r>
      <w:r>
        <w:rPr>
          <w:rFonts w:ascii="arial" w:eastAsia="arial" w:hAnsi="arial" w:cs="arial"/>
          <w:b w:val="0"/>
          <w:i w:val="0"/>
          <w:strike w:val="0"/>
          <w:noProof w:val="0"/>
          <w:color w:val="000000"/>
          <w:position w:val="0"/>
          <w:sz w:val="24"/>
          <w:u w:val="none"/>
          <w:vertAlign w:val="baseline"/>
        </w:rPr>
        <w:t xml:space="preserve"> [2020] MLJU 943; [2020] 1 LNS 1169, HC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Wong Chee Hong v Cathay Organisation Malaysia Sdn Bhd </w:t>
      </w:r>
      <w:r>
        <w:rPr>
          <w:rFonts w:ascii="arial" w:eastAsia="arial" w:hAnsi="arial" w:cs="arial"/>
          <w:b w:val="0"/>
          <w:i w:val="0"/>
          <w:strike w:val="0"/>
          <w:noProof w:val="0"/>
          <w:color w:val="000000"/>
          <w:position w:val="0"/>
          <w:sz w:val="24"/>
          <w:u w:val="none"/>
          <w:vertAlign w:val="baseline"/>
        </w:rPr>
        <w:t xml:space="preserve"> [1988] 1 MLJ 92; [1988] 1 CLJ 45, SC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Yeoh Cheng Cheng v APM Automotive Holdings Berhad </w:t>
      </w:r>
      <w:r>
        <w:rPr>
          <w:rFonts w:ascii="arial" w:eastAsia="arial" w:hAnsi="arial" w:cs="arial"/>
          <w:b w:val="0"/>
          <w:i w:val="0"/>
          <w:strike w:val="0"/>
          <w:noProof w:val="0"/>
          <w:color w:val="000000"/>
          <w:position w:val="0"/>
          <w:sz w:val="24"/>
          <w:u w:val="none"/>
          <w:vertAlign w:val="baseline"/>
        </w:rPr>
        <w:t>[2014] 1 ILR 313, IC (refd)</w:t>
      </w:r>
      <w:r>
        <w:t>
</w:t>
      </w:r>
    </w:p>
    <w:p>
      <w:pPr>
        <w:keepNext w:val="0"/>
        <w:spacing w:after="0" w:line="300" w:lineRule="atLeast"/>
        <w:ind w:left="360" w:right="0" w:firstLine="0"/>
        <w:jc w:val="left"/>
      </w:pPr>
      <w:r>
        <w:rPr>
          <w:rFonts w:ascii="arial" w:eastAsia="arial" w:hAnsi="arial" w:cs="arial"/>
          <w:b/>
          <w:i w:val="0"/>
          <w:strike w:val="0"/>
          <w:noProof w:val="0"/>
          <w:color w:val="000000"/>
          <w:position w:val="0"/>
          <w:sz w:val="24"/>
          <w:u w:val="none"/>
          <w:vertAlign w:val="baseline"/>
        </w:rPr>
        <w:t>Legislation referred to</w:t>
      </w:r>
    </w:p>
    <w:p>
      <w:pPr>
        <w:keepNext w:val="0"/>
        <w:spacing w:before="0" w:after="0" w:line="300" w:lineRule="atLeast"/>
        <w:ind w:left="360" w:right="0" w:firstLine="0"/>
        <w:jc w:val="both"/>
      </w:pPr>
      <w:r>
        <w:br/>
      </w:r>
      <w:r>
        <w:rPr>
          <w:rFonts w:ascii="arial" w:eastAsia="arial" w:hAnsi="arial" w:cs="arial"/>
          <w:b w:val="0"/>
          <w:i w:val="0"/>
          <w:strike w:val="0"/>
          <w:noProof w:val="0"/>
          <w:color w:val="000000"/>
          <w:position w:val="0"/>
          <w:sz w:val="24"/>
          <w:u w:val="none"/>
          <w:vertAlign w:val="baseline"/>
        </w:rPr>
        <w:t xml:space="preserve">Bank Simpanan Nasional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1974  ss 14, 17 </w:t>
      </w:r>
    </w:p>
    <w:p>
      <w:pPr>
        <w:keepNext w:val="0"/>
        <w:spacing w:before="0" w:after="0" w:line="300" w:lineRule="atLeast"/>
        <w:ind w:left="360" w:right="0" w:firstLine="0"/>
        <w:jc w:val="both"/>
      </w:pPr>
      <w:r>
        <w:br/>
      </w:r>
      <w:r>
        <w:rPr>
          <w:rFonts w:ascii="arial" w:eastAsia="arial" w:hAnsi="arial" w:cs="arial"/>
          <w:b w:val="0"/>
          <w:i w:val="0"/>
          <w:strike w:val="0"/>
          <w:noProof w:val="0"/>
          <w:color w:val="000000"/>
          <w:position w:val="0"/>
          <w:sz w:val="24"/>
          <w:u w:val="none"/>
          <w:vertAlign w:val="baseline"/>
        </w:rPr>
        <w:t xml:space="preserve">Contracts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1950  ss 40, 65, 74 </w:t>
      </w:r>
    </w:p>
    <w:p>
      <w:pPr>
        <w:keepNext w:val="0"/>
        <w:spacing w:before="0" w:after="0" w:line="300" w:lineRule="atLeast"/>
        <w:ind w:left="360" w:right="0" w:firstLine="0"/>
        <w:jc w:val="both"/>
      </w:pPr>
      <w:r>
        <w:br/>
      </w:r>
      <w:r>
        <w:rPr>
          <w:rFonts w:ascii="arial" w:eastAsia="arial" w:hAnsi="arial" w:cs="arial"/>
          <w:b w:val="0"/>
          <w:i w:val="0"/>
          <w:strike w:val="0"/>
          <w:noProof w:val="0"/>
          <w:color w:val="000000"/>
          <w:position w:val="0"/>
          <w:sz w:val="24"/>
          <w:u w:val="none"/>
          <w:vertAlign w:val="baseline"/>
        </w:rPr>
        <w:t xml:space="preserve">Federal Constitution  </w:t>
      </w:r>
    </w:p>
    <w:p>
      <w:pPr>
        <w:keepNext w:val="0"/>
        <w:spacing w:before="0" w:after="0" w:line="300" w:lineRule="atLeast"/>
        <w:ind w:left="360" w:right="0" w:firstLine="0"/>
        <w:jc w:val="both"/>
      </w:pPr>
      <w:r>
        <w:br/>
      </w:r>
      <w:r>
        <w:rPr>
          <w:rFonts w:ascii="arial" w:eastAsia="arial" w:hAnsi="arial" w:cs="arial"/>
          <w:b w:val="0"/>
          <w:i w:val="0"/>
          <w:strike w:val="0"/>
          <w:noProof w:val="0"/>
          <w:color w:val="000000"/>
          <w:position w:val="0"/>
          <w:sz w:val="24"/>
          <w:u w:val="none"/>
          <w:vertAlign w:val="baseline"/>
        </w:rPr>
        <w:t xml:space="preserve">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ss 20, 52 </w:t>
      </w:r>
    </w:p>
    <w:p>
      <w:pPr>
        <w:keepNext w:val="0"/>
        <w:spacing w:before="0" w:after="0" w:line="300" w:lineRule="atLeast"/>
        <w:ind w:left="360" w:right="0" w:firstLine="0"/>
        <w:jc w:val="both"/>
      </w:pPr>
      <w:r>
        <w:br/>
      </w:r>
      <w:r>
        <w:rPr>
          <w:rFonts w:ascii="arial" w:eastAsia="arial" w:hAnsi="arial" w:cs="arial"/>
          <w:b w:val="0"/>
          <w:i w:val="0"/>
          <w:strike w:val="0"/>
          <w:noProof w:val="0"/>
          <w:color w:val="000000"/>
          <w:position w:val="0"/>
          <w:sz w:val="24"/>
          <w:u w:val="none"/>
          <w:vertAlign w:val="baseline"/>
        </w:rPr>
        <w:t xml:space="preserve">Penal Code  </w:t>
      </w:r>
      <w:r>
        <w:t>
</w:t>
      </w:r>
    </w:p>
    <w:p>
      <w:pPr>
        <w:keepNext w:val="0"/>
        <w:spacing w:before="240" w:after="0" w:line="300" w:lineRule="atLeast"/>
        <w:ind w:left="360" w:right="0" w:firstLine="0"/>
        <w:jc w:val="left"/>
      </w:pPr>
      <w:bookmarkStart w:id="4" w:name="Representation"/>
      <w:bookmarkEnd w:id="4"/>
      <w:r>
        <w:rPr>
          <w:rFonts w:ascii="arial" w:eastAsia="arial" w:hAnsi="arial" w:cs="arial"/>
          <w:b w:val="0"/>
          <w:i/>
          <w:strike w:val="0"/>
          <w:noProof w:val="0"/>
          <w:color w:val="000000"/>
          <w:position w:val="0"/>
          <w:sz w:val="24"/>
          <w:u w:val="none"/>
          <w:vertAlign w:val="baseline"/>
        </w:rPr>
        <w:t>Srividhya Ganapathy (with Eisyarmily Akhtar) (Muhendaran Sri) for the plaintiff.</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S Ravichandaran (with P Tharuny) (S Ravichandaran &amp; Anuar) for the defendant.</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03"/>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5" w:name="Anand Ponnudurai J"/>
            <w:bookmarkEnd w:id="5"/>
            <w:r>
              <w:rPr>
                <w:rFonts w:ascii="arial" w:eastAsia="arial" w:hAnsi="arial" w:cs="arial"/>
                <w:b/>
                <w:i w:val="0"/>
                <w:strike w:val="0"/>
                <w:noProof w:val="0"/>
                <w:color w:val="000000"/>
                <w:position w:val="0"/>
                <w:sz w:val="30"/>
                <w:u w:val="none"/>
                <w:vertAlign w:val="baseline"/>
              </w:rPr>
              <w:t>Anand Ponnudurai J:</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INTRODUCTION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xml:space="preserve">  This action arises from the employment relationship between Mohd Sofian bin Amirudin (‘the plaintiff’) and Bank Simpanan Nasional (‘the defendant’), a statutory body established under the  Bank Simpanan Nasional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1974  (‘the BSN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The plaintiff, who was employed by the defendant as Head of Cards Business &amp; CRM (Naib Presiden Kanan II, Grade E7) under a fixed term contract, received a transfer notice dated 25 August 2021 directing him to report to the Special Project Unit (‘SPU’) effective 1 September 2021. He refused to compfy with the transfer contending it was a demotion and, by letter dated 30 August 2021, declared himself constructively dismissed.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The plaintiff has since commenced these proceedings claiming, among others, a declaration of constructive dismissal, fuii back wages to retirement age, reputational and general damages. The plaintiff submits that the claim is one brought in contract and is founded on the allegation that the defendant’s conduct amounted to a repudiatory breach of his employment contract.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It is the nub of the plaintiff’s case that the transfer barely two days after a warning was given to him following a disciplinary proceeding, was not a lawful redeployment but a step calculated to remove him from his substantive position and fundamentally altered his role, functions and place within the banks organisational structure.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The defendant denies the claim and counterclaims the sum of RM108,600 being three months’ basic salary in lieu of notice pursuant to the employment contract as it considered the plaintiff having abandoned employment without notice.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A full trial was conducted on 2 December 2025, 4 December 2025 and 22 December 2025. At the conclusion of trial, both parties filed written submissions. This judgment is delivered after considering such written submissions as well as the documentary evidence adduced through the several bundles of documents tendered and the oral testimony of the following witnesses:</w:t>
      </w:r>
      <w:r>
        <w:t>
</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Lee Chee Wah (‘PWI’);</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Mohd Kamal bin Yasinan @ Jasman (‘PW2’);</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Mohd Sofian bin Amirudin (‘PW3’);</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Muhammad Izzat bin Mahadzir (‘DW1’); and</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Izham bin Ab Wahab (‘DW2’).</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BACKGROUND FACTS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The background facts and history of the plaintiffs employment with the defendant are not disputed. The plaintiff joined the defendant on 14 November 2009 as Naib Presiden II (Grade E5) in the Cards Business Division. Over the course of approximately 12 years, he entered into a total of seven successive fixed term contracts with the defendant, each a discrete offer letter accepted by the plaintiff, progressively rising through the grades until his final appointment as Naib Presiden Kanan II (E7), Ketua, Perniagaan Kad &amp; CRM, under the seventh contract (‘the seventh contract’) dated 8 July 2019 covering the period 1 January 2020 to 31 December 2021, at a basic salary of RM36,200 per month together with a car allowance of RM2,000, petrol allowance of RM500 and fixed housing allowance of RM1,600 per month.</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For ease of reference, the defendant has set out the plaintiff’s full chronological employment background which was as follows:</w:t>
      </w:r>
    </w:p>
    <w:p>
      <w:pPr>
        <w:keepNext w:val="0"/>
        <w:spacing w:before="0" w:after="0" w:line="300" w:lineRule="atLeast"/>
        <w:ind w:left="0" w:right="0" w:firstLine="0"/>
        <w:jc w:val="both"/>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97.5pt;height:507.75pt">
            <v:imagedata r:id="rId7" o:title=""/>
          </v:shape>
        </w:pict>
      </w:r>
    </w:p>
    <w:p>
      <w:pPr>
        <w:keepNext w:val="0"/>
        <w:spacing w:before="0" w:after="0" w:line="300" w:lineRule="atLeast"/>
        <w:ind w:left="0" w:right="0" w:firstLine="0"/>
        <w:jc w:val="both"/>
      </w:pPr>
      <w:r>
        <w:br/>
      </w:r>
      <w:r>
        <w:pict>
          <v:shape id="_x0000_i1027" type="#_x0000_t75" style="width:404.25pt;height:402.75pt">
            <v:imagedata r:id="rId8" o:title=""/>
          </v:shape>
        </w:pict>
      </w:r>
    </w:p>
    <w:p>
      <w:pPr>
        <w:keepNext w:val="0"/>
        <w:spacing w:before="0" w:after="0" w:line="300" w:lineRule="atLeast"/>
        <w:ind w:left="0" w:right="0" w:firstLine="0"/>
        <w:jc w:val="both"/>
      </w:pPr>
      <w:r>
        <w:br/>
      </w:r>
      <w:r>
        <w:pict>
          <v:shape id="_x0000_i1028" type="#_x0000_t75" style="width:396pt;height:495pt">
            <v:imagedata r:id="rId9" o:title=""/>
          </v:shape>
        </w:pict>
      </w:r>
    </w:p>
    <w:p>
      <w:pPr>
        <w:keepNext w:val="0"/>
        <w:spacing w:before="0" w:after="0" w:line="300" w:lineRule="atLeast"/>
        <w:ind w:left="0" w:right="0" w:firstLine="0"/>
        <w:jc w:val="both"/>
      </w:pPr>
      <w:r>
        <w:br/>
      </w:r>
      <w:r>
        <w:pict>
          <v:shape id="_x0000_i1029" type="#_x0000_t75" style="width:399pt;height:494.25pt">
            <v:imagedata r:id="rId10" o:title=""/>
          </v:shape>
        </w:pic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Some disciplinary proceedings against the plaintiff were commenced in July 2021 which culminated with a warning being meted out to him on the 23 August 2021. Two days later, on 25 August 2021, and with approximately four months remaining on the seventh contract, the defendant issued the plaintiff a transfer letter directing him to report to the SPU effective 1 September 2021. The transfer letter preserved the plaintiffs grade (Naib Presiden II, E7), his basic salary of RM36,200, his car allowance of RM2,000 and his petrol allowance of RM500. The plaintiff was however now to report to the Chief Operation Officer, as opposed to the Chief Business Officer previously.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The plaintiff had admitted in cross-examination that the transfer had no financial impact on him. However, the court notes from the transfer letter that the car and petrol allowance were retained under ‘Terma Khas Untuk Penyandang’ which was extended by way of personal to holder as he was no longer a head of department.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By letter dated 30 August 2021, the plaintiff refused to accept the transfer, characterising it as a ‘demotion’ and declaring the seventh contract constructively terminated. The defendant, by letter dated 31 August 2021, denied the plaintiffs characterisation of the transfer and indicated its willingness to extend the reporting time should the plaintiff request it. The defendant instructed the plaintiff to report to work on 1 September 2021 as directed.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The plaintiff did not report to work at SPU on 1 September 2021. By letter dated 3 September 2021, the defendant informed the plaintiff that his continued absence constituted a wilful breach of his terms and conditions of service and that his employment was terminated effective 1 September 2021. A letter of demand dated 24 September 2021 followed, demanding RM108,600 being three months’ basic salary in lieu of notice pursuant to cl 11.1 of the seventh contract.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ISSUES FOR DETERMINATION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Having regard to the pleadings, the evidence and the submissions of counsel, and as agreed between the parties, the court identifies the following issues for determination:</w:t>
      </w:r>
      <w:r>
        <w:t>
</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the employment contracts entered into between the plaintiff and the defendant were genuine fixed term contracts, or whether they disguised what was in substance a permanent employment relationship?</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the defendant’s transfer of the plaintiff to the SPU constituted a breach of the seventh contract, specifically whether it amounted to a demotion in breach of the contractual terms?</w:t>
      </w:r>
    </w:p>
    <w:p>
      <w:pPr>
        <w:keepNext w:val="0"/>
        <w:numPr>
          <w:numId w:val="1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if a breach is established, what relief is available to the plaintiff under the law of contract and what quantum of damages flows from such breach? and</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the defendant’s countercfaim for three months’ salary in lieu of notice is sustainable?</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GOVERNING LEGAL FRAMEWORK</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xml:space="preserve">  Before turning to the issues, it is necessary to identify the applicable legal framework. The defendant is a creature of statute, established under the BSN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1974. By virtue of s 17 of the BSN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any director, officer and employee of the defendant is deemed to be a public servant within the meaning of the  Penal Code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574’). Section 14 of the BSN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empowers the defendant to appoint officers and employees on such terms and conditions of service as determined by the Board and approved by the Minister. It is not disputed that the plaintiff did not commence any judicial review proceedings but commenced this civil action in May 2022 but the plaintiff’s position is that he was not required to commence judicial review proceedings as he was deemed a public servant within themeaning of the Penal Code only and not the  Federal Constitution.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xml:space="preserve">  As a consequence of s 52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(‘the IRA’), the provisions of the IRA, including s 20 thereof, are inapplicable to the plaintiffs claim of constructive dismissal as the defendant employer is a statutory body. The defendant is therefore excluded from the remedial framework of the Industrial Court. In fact, the evidence reveals that the plaintiff had initially made a representation of unfair dismissal as early as 2 September 2021 to the Industrial Relations Department but was informed by their letter dated 10 September 2021 that it had no jurisdiction to entertain his claim by virtue of s 52.</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xml:space="preserve">  This court’s jurisdiction is therefore confined to adjudicating the plaintiff’s claim as a matter of common law and contract law in accordance with the  Contracts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xml:space="preserve">  As established by the Court of Appeal in </w:t>
      </w:r>
      <w:r>
        <w:rPr>
          <w:rFonts w:ascii="arial" w:eastAsia="arial" w:hAnsi="arial" w:cs="arial"/>
          <w:b w:val="0"/>
          <w:i/>
          <w:strike w:val="0"/>
          <w:noProof w:val="0"/>
          <w:color w:val="000000"/>
          <w:position w:val="0"/>
          <w:sz w:val="24"/>
          <w:u w:val="none"/>
          <w:vertAlign w:val="baseline"/>
        </w:rPr>
        <w:t xml:space="preserve">7-Eleven Malaysia Sdn Bhd v Ashvine Hari Krishnan </w:t>
      </w:r>
      <w:r>
        <w:rPr>
          <w:rFonts w:ascii="arial" w:eastAsia="arial" w:hAnsi="arial" w:cs="arial"/>
          <w:b w:val="0"/>
          <w:i w:val="0"/>
          <w:strike w:val="0"/>
          <w:noProof w:val="0"/>
          <w:color w:val="000000"/>
          <w:position w:val="0"/>
          <w:sz w:val="24"/>
          <w:u w:val="none"/>
          <w:vertAlign w:val="baseline"/>
        </w:rPr>
        <w:t xml:space="preserve"> [2023] 3 MLJ 469; [2023] 2 ILR 209 and reiterated in </w:t>
      </w:r>
      <w:r>
        <w:rPr>
          <w:rFonts w:ascii="arial" w:eastAsia="arial" w:hAnsi="arial" w:cs="arial"/>
          <w:b w:val="0"/>
          <w:i/>
          <w:strike w:val="0"/>
          <w:noProof w:val="0"/>
          <w:color w:val="000000"/>
          <w:position w:val="0"/>
          <w:sz w:val="24"/>
          <w:u w:val="none"/>
          <w:vertAlign w:val="baseline"/>
        </w:rPr>
        <w:t xml:space="preserve">Ma Yanan v AAA Greencell Sdn Bhd dan satu lagi </w:t>
      </w:r>
      <w:r>
        <w:rPr>
          <w:rFonts w:ascii="arial" w:eastAsia="arial" w:hAnsi="arial" w:cs="arial"/>
          <w:b w:val="0"/>
          <w:i w:val="0"/>
          <w:strike w:val="0"/>
          <w:noProof w:val="0"/>
          <w:color w:val="000000"/>
          <w:position w:val="0"/>
          <w:sz w:val="24"/>
          <w:u w:val="none"/>
          <w:vertAlign w:val="baseline"/>
        </w:rPr>
        <w:t xml:space="preserve"> [2023] MLJU 2131, a claim predicated purely on constructive dismissal seeking colossal damages in the civil court is unsustainable as an abuse of process. The common law remedy available to an employee upon wrongful termination is confined to ‘meagre’ damages in the form of salary in lieu of notice or, at most, wages for the unexpired period of a fixed term contract (see the decision of Federal Court in </w:t>
      </w:r>
      <w:r>
        <w:rPr>
          <w:rFonts w:ascii="arial" w:eastAsia="arial" w:hAnsi="arial" w:cs="arial"/>
          <w:b w:val="0"/>
          <w:i/>
          <w:strike w:val="0"/>
          <w:noProof w:val="0"/>
          <w:color w:val="000000"/>
          <w:position w:val="0"/>
          <w:sz w:val="24"/>
          <w:u w:val="none"/>
          <w:vertAlign w:val="baseline"/>
        </w:rPr>
        <w:t xml:space="preserve">Fung Keong Rubber Manufacturing (M) Sdn Bhd v Lee Eng Kiat &amp; Ors </w:t>
      </w:r>
      <w:r>
        <w:rPr>
          <w:rFonts w:ascii="arial" w:eastAsia="arial" w:hAnsi="arial" w:cs="arial"/>
          <w:b w:val="0"/>
          <w:i w:val="0"/>
          <w:strike w:val="0"/>
          <w:noProof w:val="0"/>
          <w:color w:val="000000"/>
          <w:position w:val="0"/>
          <w:sz w:val="24"/>
          <w:u w:val="none"/>
          <w:vertAlign w:val="baseline"/>
        </w:rPr>
        <w:t xml:space="preserve"> [1981] 1 MLJ 238). Claims for wounded feelings, loss of reputation, general damages for constructive dismissal and reputationa! damage are not recoverable at common law in this context.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xml:space="preserve">  Learned counsel for the defendant submits that in light of the decision in cases like </w:t>
      </w:r>
      <w:r>
        <w:rPr>
          <w:rFonts w:ascii="arial" w:eastAsia="arial" w:hAnsi="arial" w:cs="arial"/>
          <w:b w:val="0"/>
          <w:i/>
          <w:strike w:val="0"/>
          <w:noProof w:val="0"/>
          <w:color w:val="000000"/>
          <w:position w:val="0"/>
          <w:sz w:val="24"/>
          <w:u w:val="none"/>
          <w:vertAlign w:val="baseline"/>
        </w:rPr>
        <w:t>7-Eleven</w:t>
      </w:r>
      <w:r>
        <w:rPr>
          <w:rFonts w:ascii="arial" w:eastAsia="arial" w:hAnsi="arial" w:cs="arial"/>
          <w:b w:val="0"/>
          <w:i w:val="0"/>
          <w:strike w:val="0"/>
          <w:noProof w:val="0"/>
          <w:color w:val="000000"/>
          <w:position w:val="0"/>
          <w:sz w:val="24"/>
          <w:u w:val="none"/>
          <w:vertAlign w:val="baseline"/>
        </w:rPr>
        <w:t xml:space="preserve">, this court has no jurisdiction to decide on the plaintiffs complaint of constructive dismissal. With respect, I disagree. The facts herein are significantly different in that unlike the plaintiff employee in </w:t>
      </w:r>
      <w:r>
        <w:rPr>
          <w:rFonts w:ascii="arial" w:eastAsia="arial" w:hAnsi="arial" w:cs="arial"/>
          <w:b w:val="0"/>
          <w:i/>
          <w:strike w:val="0"/>
          <w:noProof w:val="0"/>
          <w:color w:val="000000"/>
          <w:position w:val="0"/>
          <w:sz w:val="24"/>
          <w:u w:val="none"/>
          <w:vertAlign w:val="baseline"/>
        </w:rPr>
        <w:t>7-Eleven</w:t>
      </w:r>
      <w:r>
        <w:rPr>
          <w:rFonts w:ascii="arial" w:eastAsia="arial" w:hAnsi="arial" w:cs="arial"/>
          <w:b w:val="0"/>
          <w:i w:val="0"/>
          <w:strike w:val="0"/>
          <w:noProof w:val="0"/>
          <w:color w:val="000000"/>
          <w:position w:val="0"/>
          <w:sz w:val="24"/>
          <w:u w:val="none"/>
          <w:vertAlign w:val="baseline"/>
        </w:rPr>
        <w:t>’s case who was able to, but chose not to pursue a claim at the Industrial Court, the plaintiff herein was deprived of that opportunity due to s 52 of the IRA.</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xml:space="preserve">  In any event, and as submitted by learned counsel for the plaintiff, this court is therefore approached not as a forum dispensing industrial social justice in accordance with equity and good conscience as that is the province of the Industrial Court, but rather, as a court of law applying the strict provisions of the Contracts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1950. The question before this court is narrowly whether the employment contract was breached, and if so, what is the common law measure of damages flowing therefrom.</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ISSUE (i): WHETHER THE EMPLOYMENT WAS ON A GENUINE FIXED TERM CONTRACT BASIS?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The plaintiff testified/contended at trial that he joined the defendant on the basis that the position was permanent employment, merely ‘shadowed’ by fixed term contracts. He maintains this notwithstanding the clear and express terms of the seven contracts in which they were indeed for fixed terms. I have carefuily considered this contention and reject it for the following reasons.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First, all seven contracts were offers extended by the defendant and freely accepted by the plaintiff. Each contained clear, unambiguous terms as to the period of engagement. The plaintiff had prior experience of permanent employment at Maybank and was therefore well aware of the distinction between permanent employment and a fixed term contract. He confirmed in cross-examination that he knew the difference between the two.</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Secondly, the plaintiff himself acknowledged that he read and understood all seven contracts, and that he raised no objection to any of the clauses contained therein, including the duration clause and the transfer clause. He testified that he never objected to the contracts and never disputed the fixed terms. His professed understanding that the position was ‘permanent’ is directly contradicted by his own conduct of repeatedly executing new fixed term contracts with each containing an express expiry date.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Thirdly, none of the seven contracts contained an automatic renewal clause. Each contract was expressly stated to terminate on a specified date unless renewed in writing by BSN. The absence of automaticity is inconsistent with the plaintiff’s characterisation of the arrangement as disguised permanent employment. In fact, the plaintiff himself testifies and admits that the contracts were fresh contracts.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Fourthly, both of the plaintiff’s own witnesses, PW1 and PW2, confirmed in cross-examination that they knew all senior management employees above Grade E4 were engaged on fixed term contracts, and that this was the defendant’s stated policy. The plaintiff himself conceded awareness of this fact. His denial is therefore an afterthought, calculated to bolster a claim he chose to pursue only when facing the imminent expiry of his contract with no assurance of renewal.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xml:space="preserve">  Fifthly, s 14 of the BSN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clearly and unambiguously empowers the defendant to determine the period and salaries and allowances of its officers and employees, as determined by the Board and approved by the Minister. There is no legal impediment to the defendant engaging its senior management exclusively on fixed term contracts. This statutory mandate reinforces the genuine nature of the contractual arrangement.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Critical in my view was the plaintiff’s own evidence during cross-examination when he was referred to para 24(d) of his statement of claim which pleaded that there was a risk that his employment would cease at the end of the seventh contract. The plaintiff had testified — ‘If they decide not to renew, what can I do?’. In fact, during his re-examination, he testified that it was the banks prerogative and that he didn’t know if they wanted to renew and repeated that if they decided not to renew, he couldn’t say anything about it as it was the banks prerogative. This clearly in my view fortifies a finding that they were indeed genuine fixed term contracts without any legitimate expectation of renewal.</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For all these reasons, I find and hold that the employment contracts, and in particular the seventh contract, were genuine fixed term contracts. The employment was not, in substance or in law, permanent employment. The plaintiff’s contention to the contrary is rejected.</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ISSUE (ii): WHETHER THE TRANSFER TO THE SPU CONSTITUTED A BREACH OF THE SEVENTH CONTRACT?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Notwithstanding the finding that the employment was on a genuinefixed term contract basis, this court must further consider whetherthe defendant, in transferring the plaintiff to the SPU, acted inbreach of the seventh contract. The defendant relies primarily on cll 10.1 and 10.2 of the seventh contract, which I reproduce below:</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10.0 Pertukaran:</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10.1 Pelantikkan ke jawatan ini adalah tertakluk kepada kesediaan dan kesanggupan Tuan untuk ditukar dan bertugas di mana-mana Jabatan / Bahagian / Cawangan BSN atau Anak Syarikat / Syarikat Sekutu di dalam Kumpulan BSN.</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10.2 Pelantikan Tuan juga adalah tertakluk kepada kesediaan diarahkan untuk menjalankan tugas gred jawatan yang lebih rendah dari gred jawatan hakiki Tuan selagi ia tidak menjejaskan skala gaji yang sedang dinikmati.</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The court accepts the defendant’s submission that the plaintiff’s recourse now is wholly premised on a common law claim for breach of contract. I also agree with their submission that this court’s jurisdiction is very much different from that of the Industrial Court in that this court’s jurisdiction is limited to an interpretation of the employment contract to determine if there is a breach and if so, what damages flow therefrom. See the cases of:</w:t>
      </w:r>
      <w:r>
        <w:t>
</w:t>
      </w:r>
    </w:p>
    <w:p>
      <w:pPr>
        <w:keepNext w:val="0"/>
        <w:numPr>
          <w:numId w:val="18"/>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 xml:space="preserve">Sakthi Devi a/p Muniandy @ Segaran v Lembaga Rayuan Tatatertib Perkhidmatan Pendidikan &amp; Ors and another case </w:t>
      </w:r>
      <w:r>
        <w:rPr>
          <w:rFonts w:ascii="arial" w:eastAsia="arial" w:hAnsi="arial" w:cs="arial"/>
          <w:b w:val="0"/>
          <w:i w:val="0"/>
          <w:strike w:val="0"/>
          <w:noProof w:val="0"/>
          <w:color w:val="000000"/>
          <w:position w:val="0"/>
          <w:sz w:val="24"/>
          <w:u w:val="none"/>
          <w:vertAlign w:val="baseline"/>
        </w:rPr>
        <w:t xml:space="preserve"> [2023] MLJU 2945; [2023] CLJU 2674;</w:t>
      </w:r>
    </w:p>
    <w:p>
      <w:pPr>
        <w:keepNext w:val="0"/>
        <w:numPr>
          <w:numId w:val="18"/>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 xml:space="preserve">Wan Himratul Azna binti Wan Harun v Pengarah Hospital Serdang &amp; Ors </w:t>
      </w:r>
      <w:r>
        <w:rPr>
          <w:rFonts w:ascii="arial" w:eastAsia="arial" w:hAnsi="arial" w:cs="arial"/>
          <w:b w:val="0"/>
          <w:i w:val="0"/>
          <w:strike w:val="0"/>
          <w:noProof w:val="0"/>
          <w:color w:val="000000"/>
          <w:position w:val="0"/>
          <w:sz w:val="24"/>
          <w:u w:val="none"/>
          <w:vertAlign w:val="baseline"/>
        </w:rPr>
        <w:t xml:space="preserve"> [2020] MLJU 943; [2020] 1 LNS 1169;</w:t>
      </w:r>
    </w:p>
    <w:p>
      <w:pPr>
        <w:keepNext w:val="0"/>
        <w:numPr>
          <w:numId w:val="18"/>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 xml:space="preserve">Ma Yanan v AAA Greencell Sdn Bhd dan satu lagi </w:t>
      </w:r>
      <w:r>
        <w:rPr>
          <w:rFonts w:ascii="arial" w:eastAsia="arial" w:hAnsi="arial" w:cs="arial"/>
          <w:b w:val="0"/>
          <w:i w:val="0"/>
          <w:strike w:val="0"/>
          <w:noProof w:val="0"/>
          <w:color w:val="000000"/>
          <w:position w:val="0"/>
          <w:sz w:val="24"/>
          <w:u w:val="none"/>
          <w:vertAlign w:val="baseline"/>
        </w:rPr>
        <w:t xml:space="preserve"> [2023] MLJU 2131; and</w:t>
      </w:r>
    </w:p>
    <w:p>
      <w:pPr>
        <w:keepNext w:val="0"/>
        <w:numPr>
          <w:numId w:val="18"/>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 xml:space="preserve">Ng Kim Fong v Menang Corporation (M) Berhad </w:t>
      </w:r>
      <w:r>
        <w:rPr>
          <w:rFonts w:ascii="arial" w:eastAsia="arial" w:hAnsi="arial" w:cs="arial"/>
          <w:b w:val="0"/>
          <w:i w:val="0"/>
          <w:strike w:val="0"/>
          <w:noProof w:val="0"/>
          <w:color w:val="000000"/>
          <w:position w:val="0"/>
          <w:sz w:val="24"/>
          <w:u w:val="none"/>
          <w:vertAlign w:val="baseline"/>
        </w:rPr>
        <w:t xml:space="preserve"> [2020] MLJU 644; [2020] 1 LNS 1263.</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The defendant submits that cl 10.1 authorises a transfer to any Jabatan, Bahagian, or Cawangan within the BSN Group, and cl 10.2 further authorises the plaintiff to be directed to perform duties of a grade lower than his substantive grade, subject to his salary scale not being affected.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The plaintiffs primary objection, as stated in his letter of 30 August 2021 and maintained throughout trial, was that the transfer to the SPU constituted a demotion. He raised as a secondary grievance that the SPU was not referenced in the defendant’s organisational chart and that it did not appear under cl 10.1 (which listed Jabatan, Bahagian or Cawangan, but not a ‘Unit’), that no job scope was defined, and that his supervisory functions and responsibilities would be undermined.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xml:space="preserve">  Firstly, in relation to the applicable law when considering claims of breach of contract/constructive dismissal, it is trite that the correct approach is the contract test and not the reasonable test i.e whether the conduct of the employer amounted to a fundamental or repudiatory breach (see the Federal Court case of </w:t>
      </w:r>
      <w:r>
        <w:rPr>
          <w:rFonts w:ascii="arial" w:eastAsia="arial" w:hAnsi="arial" w:cs="arial"/>
          <w:b w:val="0"/>
          <w:i/>
          <w:strike w:val="0"/>
          <w:noProof w:val="0"/>
          <w:color w:val="000000"/>
          <w:position w:val="0"/>
          <w:sz w:val="24"/>
          <w:u w:val="none"/>
          <w:vertAlign w:val="baseline"/>
        </w:rPr>
        <w:t xml:space="preserve">Tan Lay Peng (representative of the estate of Tan Leong Huat) v RHB Bank Bhd &amp; Anor </w:t>
      </w:r>
      <w:r>
        <w:rPr>
          <w:rFonts w:ascii="arial" w:eastAsia="arial" w:hAnsi="arial" w:cs="arial"/>
          <w:b w:val="0"/>
          <w:i w:val="0"/>
          <w:strike w:val="0"/>
          <w:noProof w:val="0"/>
          <w:color w:val="000000"/>
          <w:position w:val="0"/>
          <w:sz w:val="24"/>
          <w:u w:val="none"/>
          <w:vertAlign w:val="baseline"/>
        </w:rPr>
        <w:t xml:space="preserve"> [2024] 3 MLJ 506; [2024] 6 CLJ 315; [2024] 2 ILR 535). Whilst most claims of constructive dismissal are undoubtedly related to claims under s 20 of the IRA, its principle equally applies to ordinary common iaw contractual rights. It is trite law that in order to claim constructive dismissal, there must be established a breach of contract and the employee left soon after due to the same without delay.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I am cognisant of the defendant’s position that based purely on the four corners of the contract and in particular cl 10, the defendant could transfer the plaintiff to a lower position as long as on same salary, in fact, it was put to the plaintiff during cross-examination that he ought to have accepted the transfer even if it entailed lower duties and this to me is an acknowledgment that the transfer entailed lower duties.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[34]</w:t>
      </w:r>
      <w:r>
        <w:rPr>
          <w:rFonts w:ascii="arial" w:eastAsia="arial" w:hAnsi="arial" w:cs="arial"/>
          <w:b w:val="0"/>
          <w:i w:val="0"/>
          <w:strike w:val="0"/>
          <w:noProof w:val="0"/>
          <w:color w:val="000000"/>
          <w:position w:val="0"/>
          <w:sz w:val="24"/>
          <w:u w:val="none"/>
          <w:vertAlign w:val="baseline"/>
        </w:rPr>
        <w:t xml:space="preserve">  The plaintiff’s case is not that the bank cannot restructure or create the SPU. The plaintiff’s case is that the defendant could not utilise cl 10 to remove him from his substantive office and place him into a non-equivalent unit. He testified that a unit in a bank is the lowest level and that was where he first started work many years ago at Maybank. DW2 also testified that the intent was to ultimately develop the SPU to a </w:t>
      </w:r>
      <w:r>
        <w:rPr>
          <w:rFonts w:ascii="arial" w:eastAsia="arial" w:hAnsi="arial" w:cs="arial"/>
          <w:b w:val="0"/>
          <w:i/>
          <w:strike w:val="0"/>
          <w:noProof w:val="0"/>
          <w:color w:val="000000"/>
          <w:position w:val="0"/>
          <w:sz w:val="24"/>
          <w:u w:val="none"/>
          <w:vertAlign w:val="baseline"/>
        </w:rPr>
        <w:t>Jabatan</w:t>
      </w:r>
      <w:r>
        <w:rPr>
          <w:rFonts w:ascii="arial" w:eastAsia="arial" w:hAnsi="arial" w:cs="arial"/>
          <w:b w:val="0"/>
          <w:i w:val="0"/>
          <w:strike w:val="0"/>
          <w:noProof w:val="0"/>
          <w:color w:val="000000"/>
          <w:position w:val="0"/>
          <w:sz w:val="24"/>
          <w:u w:val="none"/>
          <w:vertAlign w:val="baseline"/>
        </w:rPr>
        <w:t xml:space="preserve"> which again supports the view that a Unit was certainly of a lower level than a Department. In this regard, it is pertinent to set out the plaintiff’s evidence as elaborated at question and answer 23, 24 and 25 of his witness statement as follows: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Q23</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Please refer to page 31 of CBD Part A. What is this document</w:t>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This is the Bank’s letter dated 25.08.2021 transferring me to the SPU effective 01.09.2021. This letter states that I was no longer performing the duties as the Naib Presiden Kanan I Ketua Perniagaan Kad &amp; CRM and was instructed to hand over my duties as the same within 7 days from the date of the letter</w:t>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Q24</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Did you agree with your trans fer to the SPU</w:t>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I disagreed with my transfer to SPU, for these reasons</w:t>
      </w:r>
      <w:r>
        <w:rPr>
          <w:rFonts w:ascii="arial" w:eastAsia="arial" w:hAnsi="arial" w:cs="arial"/>
          <w:b w:val="0"/>
          <w:i w:val="0"/>
          <w:strike w:val="0"/>
          <w:noProof w:val="0"/>
          <w:color w:val="000000"/>
          <w:position w:val="0"/>
          <w:sz w:val="18"/>
          <w:u w:val="none"/>
          <w:vertAlign w:val="baseline"/>
        </w:rPr>
        <w:t>:</w:t>
      </w:r>
      <w:r>
        <w:t>
</w:t>
      </w:r>
    </w:p>
    <w:p>
      <w:pPr>
        <w:keepNext w:val="0"/>
        <w:numPr>
          <w:numId w:val="19"/>
        </w:numPr>
        <w:spacing w:before="120" w:after="0" w:line="240" w:lineRule="atLeast"/>
        <w:ind w:left="1160" w:right="0"/>
        <w:jc w:val="both"/>
      </w:pPr>
      <w:r>
        <w:rPr>
          <w:rFonts w:ascii="arial" w:eastAsia="arial" w:hAnsi="arial" w:cs="arial"/>
          <w:b w:val="0"/>
          <w:i/>
          <w:strike w:val="0"/>
          <w:noProof w:val="0"/>
          <w:color w:val="000000"/>
          <w:position w:val="0"/>
          <w:sz w:val="18"/>
          <w:u w:val="none"/>
          <w:vertAlign w:val="baseline"/>
        </w:rPr>
        <w:t>my appointment letter stated that I would hold the position of Head of Cards &amp; CRM until 31.12.2021</w:t>
      </w:r>
      <w:r>
        <w:rPr>
          <w:rFonts w:ascii="arial" w:eastAsia="arial" w:hAnsi="arial" w:cs="arial"/>
          <w:b w:val="0"/>
          <w:i w:val="0"/>
          <w:strike w:val="0"/>
          <w:noProof w:val="0"/>
          <w:color w:val="000000"/>
          <w:position w:val="0"/>
          <w:sz w:val="18"/>
          <w:u w:val="none"/>
          <w:vertAlign w:val="baseline"/>
        </w:rPr>
        <w:t>;</w:t>
      </w:r>
    </w:p>
    <w:p>
      <w:pPr>
        <w:keepNext w:val="0"/>
        <w:numPr>
          <w:numId w:val="19"/>
        </w:numPr>
        <w:spacing w:before="120" w:after="0" w:line="240" w:lineRule="atLeast"/>
        <w:ind w:left="1160" w:right="0"/>
        <w:jc w:val="both"/>
      </w:pPr>
      <w:r>
        <w:rPr>
          <w:rFonts w:ascii="arial" w:eastAsia="arial" w:hAnsi="arial" w:cs="arial"/>
          <w:b w:val="0"/>
          <w:i/>
          <w:strike w:val="0"/>
          <w:noProof w:val="0"/>
          <w:color w:val="000000"/>
          <w:position w:val="0"/>
          <w:sz w:val="18"/>
          <w:u w:val="none"/>
          <w:vertAlign w:val="baseline"/>
        </w:rPr>
        <w:t>the transfer removed me from that role before the end of the stated period</w:t>
      </w:r>
      <w:r>
        <w:rPr>
          <w:rFonts w:ascii="arial" w:eastAsia="arial" w:hAnsi="arial" w:cs="arial"/>
          <w:b w:val="0"/>
          <w:i w:val="0"/>
          <w:strike w:val="0"/>
          <w:noProof w:val="0"/>
          <w:color w:val="000000"/>
          <w:position w:val="0"/>
          <w:sz w:val="18"/>
          <w:u w:val="none"/>
          <w:vertAlign w:val="baseline"/>
        </w:rPr>
        <w:t>;</w:t>
      </w:r>
    </w:p>
    <w:p>
      <w:pPr>
        <w:keepNext w:val="0"/>
        <w:numPr>
          <w:numId w:val="19"/>
        </w:numPr>
        <w:spacing w:before="120" w:after="0" w:line="240" w:lineRule="atLeast"/>
        <w:ind w:left="1160" w:right="0"/>
        <w:jc w:val="both"/>
      </w:pPr>
      <w:r>
        <w:rPr>
          <w:rFonts w:ascii="arial" w:eastAsia="arial" w:hAnsi="arial" w:cs="arial"/>
          <w:b w:val="0"/>
          <w:i/>
          <w:strike w:val="0"/>
          <w:noProof w:val="0"/>
          <w:color w:val="000000"/>
          <w:position w:val="0"/>
          <w:sz w:val="18"/>
          <w:u w:val="none"/>
          <w:vertAlign w:val="baseline"/>
        </w:rPr>
        <w:t>the SPU had no staff reporting to me, no defined KPIs and no established departmental structure; and</w:t>
      </w:r>
    </w:p>
    <w:p>
      <w:pPr>
        <w:keepNext w:val="0"/>
        <w:numPr>
          <w:numId w:val="19"/>
        </w:numPr>
        <w:spacing w:before="120" w:after="0" w:line="240" w:lineRule="atLeast"/>
        <w:ind w:left="1160" w:right="0"/>
        <w:jc w:val="both"/>
      </w:pPr>
      <w:r>
        <w:rPr>
          <w:rFonts w:ascii="arial" w:eastAsia="arial" w:hAnsi="arial" w:cs="arial"/>
          <w:b w:val="0"/>
          <w:i/>
          <w:strike w:val="0"/>
          <w:noProof w:val="0"/>
          <w:color w:val="000000"/>
          <w:position w:val="0"/>
          <w:sz w:val="18"/>
          <w:u w:val="none"/>
          <w:vertAlign w:val="baseline"/>
        </w:rPr>
        <w:t>the transfer location did not fall within the categories listed in Clause 10.1 of my employment contract</w:t>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These changes altered my duties and responsibilities from those contained in my appointment letter</w:t>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Q25</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Did any members of the Bank’s top management tell you why you were being moved to the Special Project Unit</w:t>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Yes. When I spoke to Encik Mujibburrahman Abd Rashid, he told me things that made the situation clearer</w:t>
      </w:r>
      <w:r>
        <w:rPr>
          <w:rFonts w:ascii="arial" w:eastAsia="arial" w:hAnsi="arial" w:cs="arial"/>
          <w:b w:val="0"/>
          <w:i w:val="0"/>
          <w:strike w:val="0"/>
          <w:noProof w:val="0"/>
          <w:color w:val="000000"/>
          <w:position w:val="0"/>
          <w:sz w:val="18"/>
          <w:u w:val="none"/>
          <w:vertAlign w:val="baseline"/>
        </w:rPr>
        <w:t>:</w:t>
      </w:r>
      <w:r>
        <w:t>
</w:t>
      </w:r>
    </w:p>
    <w:p>
      <w:pPr>
        <w:keepNext w:val="0"/>
        <w:numPr>
          <w:numId w:val="20"/>
        </w:numPr>
        <w:spacing w:before="120" w:after="0" w:line="240" w:lineRule="atLeast"/>
        <w:ind w:left="1160" w:right="0"/>
        <w:jc w:val="both"/>
      </w:pPr>
      <w:r>
        <w:rPr>
          <w:rFonts w:ascii="arial" w:eastAsia="arial" w:hAnsi="arial" w:cs="arial"/>
          <w:b w:val="0"/>
          <w:i/>
          <w:strike w:val="0"/>
          <w:noProof w:val="0"/>
          <w:color w:val="000000"/>
          <w:position w:val="0"/>
          <w:sz w:val="18"/>
          <w:u w:val="none"/>
          <w:vertAlign w:val="baseline"/>
        </w:rPr>
        <w:t>I was told that the real intention behind the transfer was to move me away from direct visibility to the Board and reduce my access to Board members</w:t>
      </w:r>
      <w:r>
        <w:rPr>
          <w:rFonts w:ascii="arial" w:eastAsia="arial" w:hAnsi="arial" w:cs="arial"/>
          <w:b w:val="0"/>
          <w:i w:val="0"/>
          <w:strike w:val="0"/>
          <w:noProof w:val="0"/>
          <w:color w:val="000000"/>
          <w:position w:val="0"/>
          <w:sz w:val="18"/>
          <w:u w:val="none"/>
          <w:vertAlign w:val="baseline"/>
        </w:rPr>
        <w:t>;</w:t>
      </w:r>
    </w:p>
    <w:p>
      <w:pPr>
        <w:keepNext w:val="0"/>
        <w:numPr>
          <w:numId w:val="20"/>
        </w:numPr>
        <w:spacing w:before="120" w:after="0" w:line="240" w:lineRule="atLeast"/>
        <w:ind w:left="1160" w:right="0"/>
        <w:jc w:val="both"/>
      </w:pPr>
      <w:r>
        <w:rPr>
          <w:rFonts w:ascii="arial" w:eastAsia="arial" w:hAnsi="arial" w:cs="arial"/>
          <w:b w:val="0"/>
          <w:i/>
          <w:strike w:val="0"/>
          <w:noProof w:val="0"/>
          <w:color w:val="000000"/>
          <w:position w:val="0"/>
          <w:sz w:val="18"/>
          <w:u w:val="none"/>
          <w:vertAlign w:val="baseline"/>
        </w:rPr>
        <w:t>I was also told that the move was not based on organisational needs, but because certain senior individuals did not want me to continue in my existing role</w:t>
      </w:r>
      <w:r>
        <w:rPr>
          <w:rFonts w:ascii="arial" w:eastAsia="arial" w:hAnsi="arial" w:cs="arial"/>
          <w:b w:val="0"/>
          <w:i w:val="0"/>
          <w:strike w:val="0"/>
          <w:noProof w:val="0"/>
          <w:color w:val="000000"/>
          <w:position w:val="0"/>
          <w:sz w:val="18"/>
          <w:u w:val="none"/>
          <w:vertAlign w:val="baseline"/>
        </w:rPr>
        <w:t>;</w:t>
      </w:r>
    </w:p>
    <w:p>
      <w:pPr>
        <w:keepNext w:val="0"/>
        <w:numPr>
          <w:numId w:val="20"/>
        </w:numPr>
        <w:spacing w:before="120" w:after="0" w:line="240" w:lineRule="atLeast"/>
        <w:ind w:left="1160" w:right="0"/>
        <w:jc w:val="both"/>
      </w:pPr>
      <w:r>
        <w:rPr>
          <w:rFonts w:ascii="arial" w:eastAsia="arial" w:hAnsi="arial" w:cs="arial"/>
          <w:b w:val="0"/>
          <w:i/>
          <w:strike w:val="0"/>
          <w:noProof w:val="0"/>
          <w:color w:val="000000"/>
          <w:position w:val="0"/>
          <w:sz w:val="18"/>
          <w:u w:val="none"/>
          <w:vertAlign w:val="baseline"/>
        </w:rPr>
        <w:t>I was further told that creating a ‘unit’ under the COO was the easiest way to move me because forming a unit did not require Board approval, unlike changes to formal departments. This meant the SPU would only appear in the COO’s internal structure, not in the Bank’s official organisation chart; and</w:t>
      </w:r>
    </w:p>
    <w:p>
      <w:pPr>
        <w:keepNext w:val="0"/>
        <w:numPr>
          <w:numId w:val="20"/>
        </w:numPr>
        <w:spacing w:before="120" w:after="0" w:line="240" w:lineRule="atLeast"/>
        <w:ind w:left="1160" w:right="0"/>
        <w:jc w:val="both"/>
      </w:pPr>
      <w:r>
        <w:rPr>
          <w:rFonts w:ascii="arial" w:eastAsia="arial" w:hAnsi="arial" w:cs="arial"/>
          <w:b w:val="0"/>
          <w:i/>
          <w:strike w:val="0"/>
          <w:noProof w:val="0"/>
          <w:color w:val="000000"/>
          <w:position w:val="0"/>
          <w:sz w:val="18"/>
          <w:u w:val="none"/>
          <w:vertAlign w:val="baseline"/>
        </w:rPr>
        <w:t>additional, I had a disturbing phone call from my former staff, Mr. Damien Lee Chee Wah, that the Bank had started looking for my replacement immediately after the Board Meeting in July 2021. During a phone conversation on 31.07.2021, Mr. Damien told me that Mr. Mujibburrahman had personally offered him to take over my post This alerted me that steps to replace me were already underway even before the transfer letter was issued to me</w:t>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When I put all this together, I believed the transfer was personal in nature targeted at removing me from my responsibilities, and not a genuine restructuring decision</w:t>
      </w:r>
      <w:r>
        <w:rPr>
          <w:rFonts w:ascii="arial" w:eastAsia="arial" w:hAnsi="arial" w:cs="arial"/>
          <w:b w:val="0"/>
          <w:i w:val="0"/>
          <w:strike w:val="0"/>
          <w:noProof w:val="0"/>
          <w:color w:val="000000"/>
          <w:position w:val="0"/>
          <w:sz w:val="18"/>
          <w:u w:val="none"/>
          <w:vertAlign w:val="baseline"/>
        </w:rPr>
        <w:t>. (Emphasis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[35]</w:t>
      </w:r>
      <w:r>
        <w:rPr>
          <w:rFonts w:ascii="arial" w:eastAsia="arial" w:hAnsi="arial" w:cs="arial"/>
          <w:b w:val="0"/>
          <w:i w:val="0"/>
          <w:strike w:val="0"/>
          <w:noProof w:val="0"/>
          <w:color w:val="000000"/>
          <w:position w:val="0"/>
          <w:sz w:val="24"/>
          <w:u w:val="none"/>
          <w:vertAlign w:val="baseline"/>
        </w:rPr>
        <w:t>  It is pertinent to note that the said En Mujibburrahman did not testify even though he is still employed with the defendant. The court notes that DW2 who testified only joined the bank in 2022 after the plaintiff’s departure and testified based on the records only.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[36]</w:t>
      </w:r>
      <w:r>
        <w:rPr>
          <w:rFonts w:ascii="arial" w:eastAsia="arial" w:hAnsi="arial" w:cs="arial"/>
          <w:b w:val="0"/>
          <w:i w:val="0"/>
          <w:strike w:val="0"/>
          <w:noProof w:val="0"/>
          <w:color w:val="000000"/>
          <w:position w:val="0"/>
          <w:sz w:val="24"/>
          <w:u w:val="none"/>
          <w:vertAlign w:val="baseline"/>
        </w:rPr>
        <w:t xml:space="preserve">  Does such transfer clause provide the defendant the unbridled prerogative to invoke such transfer clause to either demote or substantially alter an employee’s status and duties? I think not. It was held by the Court of Appeal in the case of </w:t>
      </w:r>
      <w:r>
        <w:rPr>
          <w:rFonts w:ascii="arial" w:eastAsia="arial" w:hAnsi="arial" w:cs="arial"/>
          <w:b w:val="0"/>
          <w:i/>
          <w:strike w:val="0"/>
          <w:noProof w:val="0"/>
          <w:color w:val="000000"/>
          <w:position w:val="0"/>
          <w:sz w:val="24"/>
          <w:u w:val="none"/>
          <w:vertAlign w:val="baseline"/>
        </w:rPr>
        <w:t xml:space="preserve">Sudhir a/l AK Kumaren v Industrial Court of Malaysia &amp; Anor </w:t>
      </w:r>
      <w:r>
        <w:rPr>
          <w:rFonts w:ascii="arial" w:eastAsia="arial" w:hAnsi="arial" w:cs="arial"/>
          <w:b w:val="0"/>
          <w:i w:val="0"/>
          <w:strike w:val="0"/>
          <w:noProof w:val="0"/>
          <w:color w:val="000000"/>
          <w:position w:val="0"/>
          <w:sz w:val="24"/>
          <w:u w:val="none"/>
          <w:vertAlign w:val="baseline"/>
        </w:rPr>
        <w:t xml:space="preserve"> [2025] 3 MLJ 698; [2025] 5 CLJ 715 that the mere existence of a transfer clause does not immunise the employers conduct from scrutiny. Further, it is an implied term in every contract of employment that an employer would not, demote or substantially alter an employee’s status and duties. In this regard, I rely on the recent Court of Appeal decision in </w:t>
      </w:r>
      <w:r>
        <w:rPr>
          <w:rFonts w:ascii="arial" w:eastAsia="arial" w:hAnsi="arial" w:cs="arial"/>
          <w:b w:val="0"/>
          <w:i/>
          <w:strike w:val="0"/>
          <w:noProof w:val="0"/>
          <w:color w:val="000000"/>
          <w:position w:val="0"/>
          <w:sz w:val="24"/>
          <w:u w:val="none"/>
          <w:vertAlign w:val="baseline"/>
        </w:rPr>
        <w:t xml:space="preserve">CIMB Bank Bhd v Ahmad Suhairi bin Mat Ali &amp; Anor </w:t>
      </w:r>
      <w:r>
        <w:rPr>
          <w:rFonts w:ascii="arial" w:eastAsia="arial" w:hAnsi="arial" w:cs="arial"/>
          <w:b w:val="0"/>
          <w:i w:val="0"/>
          <w:strike w:val="0"/>
          <w:noProof w:val="0"/>
          <w:color w:val="000000"/>
          <w:position w:val="0"/>
          <w:sz w:val="24"/>
          <w:u w:val="none"/>
          <w:vertAlign w:val="baseline"/>
        </w:rPr>
        <w:t xml:space="preserve"> [2023] 5 MLJ 829; [2023] 4 ILR 1 where it was held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[28] Thus, having regard to the nature of the claimant’s complaint vis a vis the bank’s transfer and re-designation order, it is perhaps relevant to quote the following passage from the decision of the High Court in </w:t>
      </w:r>
      <w:r>
        <w:rPr>
          <w:rFonts w:ascii="arial" w:eastAsia="arial" w:hAnsi="arial" w:cs="arial"/>
          <w:b w:val="0"/>
          <w:i/>
          <w:strike w:val="0"/>
          <w:noProof w:val="0"/>
          <w:color w:val="000000"/>
          <w:position w:val="0"/>
          <w:sz w:val="18"/>
          <w:u w:val="none"/>
          <w:vertAlign w:val="baseline"/>
        </w:rPr>
        <w:t xml:space="preserve">Moo Ng v Kiwi Products Sdn Bhd Johor &amp; Anor </w:t>
      </w:r>
      <w:r>
        <w:rPr>
          <w:rFonts w:ascii="arial" w:eastAsia="arial" w:hAnsi="arial" w:cs="arial"/>
          <w:b w:val="0"/>
          <w:i w:val="0"/>
          <w:strike w:val="0"/>
          <w:noProof w:val="0"/>
          <w:color w:val="000000"/>
          <w:position w:val="0"/>
          <w:sz w:val="18"/>
          <w:u w:val="none"/>
          <w:vertAlign w:val="baseline"/>
        </w:rPr>
        <w:t xml:space="preserve"> [1998] MLJU 83; [1998] 3 CLJ 475 at p 498 which neatly and succinctly encapsulated the principle of constructive dismissal as applicable to a complaint that the employer has made such substantial changes to the duties and status;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If an employee asserts that he has been constructively dismissed, he must establish that there has been conduct on the part of the employer which breaches an express or implied term of the contract employment going to the very root of the contract. </w:t>
      </w:r>
      <w:r>
        <w:rPr>
          <w:rFonts w:ascii="arial" w:eastAsia="arial" w:hAnsi="arial" w:cs="arial"/>
          <w:b w:val="0"/>
          <w:i/>
          <w:strike w:val="0"/>
          <w:noProof w:val="0"/>
          <w:color w:val="000000"/>
          <w:position w:val="0"/>
          <w:sz w:val="18"/>
          <w:u w:val="none"/>
          <w:vertAlign w:val="baseline"/>
        </w:rPr>
        <w:t>It can safely be said that one term which, if not express, maybe implied in a contract of employment and it is that the employer will not make such a substantial change in the duties and status of the employee as to constitute a fundamental breach of the contract</w:t>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What has to be ascertained is whether in all the circumstances of the case the responsibilities and duties of the employee have been so altered by the employer as to constitute a breach of a fundamental term of the contract of employment.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[37]</w:t>
      </w:r>
      <w:r>
        <w:rPr>
          <w:rFonts w:ascii="arial" w:eastAsia="arial" w:hAnsi="arial" w:cs="arial"/>
          <w:b w:val="0"/>
          <w:i w:val="0"/>
          <w:strike w:val="0"/>
          <w:noProof w:val="0"/>
          <w:color w:val="000000"/>
          <w:position w:val="0"/>
          <w:sz w:val="24"/>
          <w:u w:val="none"/>
          <w:vertAlign w:val="baseline"/>
        </w:rPr>
        <w:t xml:space="preserve">  There have been many decided cases which have dealt with this issue of the true effect of changes in an employee’s role. In the case of </w:t>
      </w:r>
      <w:r>
        <w:rPr>
          <w:rFonts w:ascii="arial" w:eastAsia="arial" w:hAnsi="arial" w:cs="arial"/>
          <w:b w:val="0"/>
          <w:i/>
          <w:strike w:val="0"/>
          <w:noProof w:val="0"/>
          <w:color w:val="000000"/>
          <w:position w:val="0"/>
          <w:sz w:val="24"/>
          <w:u w:val="none"/>
          <w:vertAlign w:val="baseline"/>
        </w:rPr>
        <w:t xml:space="preserve">Quah Swee Khoon v Sime Darby </w:t>
      </w:r>
      <w:r>
        <w:rPr>
          <w:rFonts w:ascii="arial" w:eastAsia="arial" w:hAnsi="arial" w:cs="arial"/>
          <w:b w:val="0"/>
          <w:i w:val="0"/>
          <w:strike w:val="0"/>
          <w:noProof w:val="0"/>
          <w:color w:val="000000"/>
          <w:position w:val="0"/>
          <w:sz w:val="24"/>
          <w:u w:val="none"/>
          <w:vertAlign w:val="baseline"/>
        </w:rPr>
        <w:t xml:space="preserve"> [2000] 2 MLJ 600; [2001] 1 CLJ 9, the Court of Appeal recognised that a change in role which reduces an employee’s real authority and standing amounted to a repudiation. The Court of Appeal in the case of </w:t>
      </w:r>
      <w:r>
        <w:rPr>
          <w:rFonts w:ascii="arial" w:eastAsia="arial" w:hAnsi="arial" w:cs="arial"/>
          <w:b w:val="0"/>
          <w:i/>
          <w:strike w:val="0"/>
          <w:noProof w:val="0"/>
          <w:color w:val="000000"/>
          <w:position w:val="0"/>
          <w:sz w:val="24"/>
          <w:u w:val="none"/>
          <w:vertAlign w:val="baseline"/>
        </w:rPr>
        <w:t xml:space="preserve">RHB Bank Bhd v Tan Leong Huat </w:t>
      </w:r>
      <w:r>
        <w:rPr>
          <w:rFonts w:ascii="arial" w:eastAsia="arial" w:hAnsi="arial" w:cs="arial"/>
          <w:b w:val="0"/>
          <w:i w:val="0"/>
          <w:strike w:val="0"/>
          <w:noProof w:val="0"/>
          <w:color w:val="000000"/>
          <w:position w:val="0"/>
          <w:sz w:val="24"/>
          <w:u w:val="none"/>
          <w:vertAlign w:val="baseline"/>
        </w:rPr>
        <w:t xml:space="preserve"> [2024] 2 MLJ 408; [2024] 4 CLJ 378 also agrees with the finding in </w:t>
      </w:r>
      <w:r>
        <w:rPr>
          <w:rFonts w:ascii="arial" w:eastAsia="arial" w:hAnsi="arial" w:cs="arial"/>
          <w:b w:val="0"/>
          <w:i/>
          <w:strike w:val="0"/>
          <w:noProof w:val="0"/>
          <w:color w:val="000000"/>
          <w:position w:val="0"/>
          <w:sz w:val="24"/>
          <w:u w:val="none"/>
          <w:vertAlign w:val="baseline"/>
        </w:rPr>
        <w:t>Quah Swee Khoon</w:t>
      </w:r>
      <w:r>
        <w:rPr>
          <w:rFonts w:ascii="arial" w:eastAsia="arial" w:hAnsi="arial" w:cs="arial"/>
          <w:b w:val="0"/>
          <w:i w:val="0"/>
          <w:strike w:val="0"/>
          <w:noProof w:val="0"/>
          <w:color w:val="000000"/>
          <w:position w:val="0"/>
          <w:sz w:val="24"/>
          <w:u w:val="none"/>
          <w:vertAlign w:val="baseline"/>
        </w:rPr>
        <w:t xml:space="preserve">’s case that a disguised demotion amounts to constructive dismissal and that it also amounts to a fundamental breach of contract on the part of the employer. Similarly, in the case of </w:t>
      </w:r>
      <w:r>
        <w:rPr>
          <w:rFonts w:ascii="arial" w:eastAsia="arial" w:hAnsi="arial" w:cs="arial"/>
          <w:b w:val="0"/>
          <w:i/>
          <w:strike w:val="0"/>
          <w:noProof w:val="0"/>
          <w:color w:val="000000"/>
          <w:position w:val="0"/>
          <w:sz w:val="24"/>
          <w:u w:val="none"/>
          <w:vertAlign w:val="baseline"/>
        </w:rPr>
        <w:t xml:space="preserve">Rajamohan a/l Maniam v GPA Plastics Industries Sdn Bhd </w:t>
      </w:r>
      <w:r>
        <w:rPr>
          <w:rFonts w:ascii="arial" w:eastAsia="arial" w:hAnsi="arial" w:cs="arial"/>
          <w:b w:val="0"/>
          <w:i w:val="0"/>
          <w:strike w:val="0"/>
          <w:noProof w:val="0"/>
          <w:color w:val="000000"/>
          <w:position w:val="0"/>
          <w:sz w:val="24"/>
          <w:u w:val="none"/>
          <w:vertAlign w:val="baseline"/>
        </w:rPr>
        <w:t xml:space="preserve"> [2012] MLJU 211; [2012] 5 CLJ 900, the Court of Appeal held that unchanged pay does not prevent a transfer from amounting to a disguised demotion where the employee is stripped of the real content, significance and responsibility of the former position. Also, in the case of </w:t>
      </w:r>
      <w:r>
        <w:rPr>
          <w:rFonts w:ascii="arial" w:eastAsia="arial" w:hAnsi="arial" w:cs="arial"/>
          <w:b w:val="0"/>
          <w:i/>
          <w:strike w:val="0"/>
          <w:noProof w:val="0"/>
          <w:color w:val="000000"/>
          <w:position w:val="0"/>
          <w:sz w:val="24"/>
          <w:u w:val="none"/>
          <w:vertAlign w:val="baseline"/>
        </w:rPr>
        <w:t xml:space="preserve">Wong Chee Hong v Cathay Organisation Malaysia Sdn Bhd </w:t>
      </w:r>
      <w:r>
        <w:rPr>
          <w:rFonts w:ascii="arial" w:eastAsia="arial" w:hAnsi="arial" w:cs="arial"/>
          <w:b w:val="0"/>
          <w:i w:val="0"/>
          <w:strike w:val="0"/>
          <w:noProof w:val="0"/>
          <w:color w:val="000000"/>
          <w:position w:val="0"/>
          <w:sz w:val="24"/>
          <w:u w:val="none"/>
          <w:vertAlign w:val="baseline"/>
        </w:rPr>
        <w:t xml:space="preserve"> [1988] 1 MLJ 92; [1988] 1 CLJ 45, the Supreme Court held that a transfer that relegates an employee to a position of lesser responsibilities, even on the same terms and conditions, may amount to dismissal. Further, in the case of </w:t>
      </w:r>
      <w:r>
        <w:rPr>
          <w:rFonts w:ascii="arial" w:eastAsia="arial" w:hAnsi="arial" w:cs="arial"/>
          <w:b w:val="0"/>
          <w:i/>
          <w:strike w:val="0"/>
          <w:noProof w:val="0"/>
          <w:color w:val="000000"/>
          <w:position w:val="0"/>
          <w:sz w:val="24"/>
          <w:u w:val="none"/>
          <w:vertAlign w:val="baseline"/>
        </w:rPr>
        <w:t xml:space="preserve">Saharunzaman bin Barun v Perodua Sales Sdn Bhd &amp; Anor </w:t>
      </w:r>
      <w:r>
        <w:rPr>
          <w:rFonts w:ascii="arial" w:eastAsia="arial" w:hAnsi="arial" w:cs="arial"/>
          <w:b w:val="0"/>
          <w:i w:val="0"/>
          <w:strike w:val="0"/>
          <w:noProof w:val="0"/>
          <w:color w:val="000000"/>
          <w:position w:val="0"/>
          <w:sz w:val="24"/>
          <w:u w:val="none"/>
          <w:vertAlign w:val="baseline"/>
        </w:rPr>
        <w:t xml:space="preserve"> [2025] 2 MLJ 17; [2025] 2 CLJ 887, the court there reiterated that a transfer power cannot be excercised arbitrarily or as a device to force an employee into a materially altered position under a guise of managerial prerogative.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[38]</w:t>
      </w:r>
      <w:r>
        <w:rPr>
          <w:rFonts w:ascii="arial" w:eastAsia="arial" w:hAnsi="arial" w:cs="arial"/>
          <w:b w:val="0"/>
          <w:i w:val="0"/>
          <w:strike w:val="0"/>
          <w:noProof w:val="0"/>
          <w:color w:val="000000"/>
          <w:position w:val="0"/>
          <w:sz w:val="24"/>
          <w:u w:val="none"/>
          <w:vertAlign w:val="baseline"/>
        </w:rPr>
        <w:t>  Reverting then to the facts of this case. I have considered the evidence adduced and submissions carefully. I find that the defendant’s transfer of the plaintiff to the SPU is not squarely within the literal terms of cl 10.1, which refers to a ‘Jabatan/Bahagian/Cawangan’ ie organisational units of a defined nature but rather, to a newly constituted ‘Unit’ of indeterminate scope. The SPU was not an established department, branch or division at the time the transfer was directed. The plaintiff’s contract made no reference to such a unit, and none of the seven contracts expressly authorised transfer to an ad hoc unit of undefined remit, it was clear that the plaintiff’s expertise all the years had related to the banks card business and it was undisputed that the SPU had absolutely nothing to do with the bank’s cards business. DW2 also agreed in cross-examination that whilst the plaintiffs salary remained the same, he no longer had functions as a head of department.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[39]</w:t>
      </w:r>
      <w:r>
        <w:rPr>
          <w:rFonts w:ascii="arial" w:eastAsia="arial" w:hAnsi="arial" w:cs="arial"/>
          <w:b w:val="0"/>
          <w:i w:val="0"/>
          <w:strike w:val="0"/>
          <w:noProof w:val="0"/>
          <w:color w:val="000000"/>
          <w:position w:val="0"/>
          <w:sz w:val="24"/>
          <w:u w:val="none"/>
          <w:vertAlign w:val="baseline"/>
        </w:rPr>
        <w:t>  Moreover, the SPU had no defined job scope communicated to the plaintiff at the time of the transfer. The defendant concedes, through the evidence of PW2, that when PW2 himself joined the SPU, he was simply briefed on a preliminary task of developing a climate change charter and was uncertain whether the SPU would replace or supplement an existing department. The defendant’s own witness DW2 described the SPU in terms of corporate restructuring but conceded that its operational scope was evolving. No evidence was adduced of any organisation restructuring. In these circumstances, it cannot be said that the transfer was a movement within an established organisational structure as cl 10.1 contemplates.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[40]</w:t>
      </w:r>
      <w:r>
        <w:rPr>
          <w:rFonts w:ascii="arial" w:eastAsia="arial" w:hAnsi="arial" w:cs="arial"/>
          <w:b w:val="0"/>
          <w:i w:val="0"/>
          <w:strike w:val="0"/>
          <w:noProof w:val="0"/>
          <w:color w:val="000000"/>
          <w:position w:val="0"/>
          <w:sz w:val="24"/>
          <w:u w:val="none"/>
          <w:vertAlign w:val="baseline"/>
        </w:rPr>
        <w:t>  Of significance also was the evidence of DW2 on the establishment of the SPU. In this regard, he testified that the SPU was established on 1 September 2021 by the CEO without Board approval as it was not required as opposed to situations where board approval is required if a new Department was to be established. His evidence was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SG: So earlier we look at the carta organisasi Macro BSN yang diluluskan dan kita sudah mengesahkan bahawa Special Project Unit tidak wujud dalam carta tersebut. Siapakah yang meluluskan penubuhan SPU, jika ada?</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DW2: Ketua Eksekutif Bank Simpanan Nasional, Rashid Ujang dengan pengurusan kanan yang lain.</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SG: Dan bila dia ditubuhkan?</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DW2: Ia ditubuhkan perancangan untuk ditubuhkan pada 1 September 2021.</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SG: Adakah kelulusan lembaga pengarah diperlukan bagi penubuhan sebuah unit?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DW2: Tidak.</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SG: Bagaimana dengan penubuhan sebuah jabatan atau bahagian di BS?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DW2: Penubuhan sebuah jabatan perlu melalui Board Nomination and Nomination Committee dan seterusnya di maklumkan kepada Lembaga Pengarah untuk kelulusan.</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YA: So, jabatan needs approval but kalau unit tak payah.</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DW2: Anything lower than jabatan tidak memerlukan kelulusan daripada Lembaga pengarah, cuma pemakluman saja perlu maklumkan.</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SG: Dan dalam kes ini, adakah kelulusan Lembaga pengarah diperolehl bag! SPU? Tidak perlu, is it?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DW2: Tidak perlu sebab ia bukan sebuah jabatan.</w:t>
      </w:r>
      <w:r>
        <w:t>
</w:t>
      </w:r>
    </w:p>
    <w:p/>
    <w:p>
      <w:pPr>
        <w:keepNext w:val="0"/>
        <w:spacing w:after="0" w:line="300" w:lineRule="atLeast"/>
        <w:ind w:left="0" w:right="0" w:firstLine="0"/>
        <w:jc w:val="both"/>
      </w:pPr>
      <w:r>
        <w:rPr>
          <w:rFonts w:ascii="arial" w:eastAsia="arial" w:hAnsi="arial" w:cs="arial"/>
          <w:b w:val="0"/>
          <w:i w:val="0"/>
          <w:strike w:val="0"/>
          <w:noProof w:val="0"/>
          <w:color w:val="000000"/>
          <w:position w:val="0"/>
          <w:sz w:val="24"/>
          <w:u w:val="none"/>
          <w:vertAlign w:val="baseline"/>
        </w:rPr>
        <w:t>The above supports a conclusion that the plaintiffs new position was indeed a demoted position.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[41]</w:t>
      </w:r>
      <w:r>
        <w:rPr>
          <w:rFonts w:ascii="arial" w:eastAsia="arial" w:hAnsi="arial" w:cs="arial"/>
          <w:b w:val="0"/>
          <w:i w:val="0"/>
          <w:strike w:val="0"/>
          <w:noProof w:val="0"/>
          <w:color w:val="000000"/>
          <w:position w:val="0"/>
          <w:sz w:val="24"/>
          <w:u w:val="none"/>
          <w:vertAlign w:val="baseline"/>
        </w:rPr>
        <w:t>  I further note that whilst cl 10.2 permits the plaintiff to be directed to carry out duties of a lower grade (provided his salary is not affected), this provision must be read as an operative term of the employment relationship rather than an unlimited licence for the defendant to side-line a senior officer into a unit of undefined purpose. The key safeguard in cl 10.2 is that the salary scale must not be prejudiced. That condition is satisfied here. However, a transfer that effectively removes a head of department from a substantive role and places him in a newly created, undefined unit with no clear functions, no staff to supervise (as opposed to 170 subordinates previously), and no defined reporting obligations beyond those of the COO, in the final four months of a contract, carries the hallmarks of a unilateral and material change to the nature and substance of the plaintiffs role, which in the court’s view, goes beyond what a reasonable reading of cl 10.1 and 10.2 authorises. In fact. The defendants own witness DW2 testified and agreed under cross-examination that with such transfer, the plaintiff would no longer have functions as a head of department and no longer carry out duties as Naib Presiden Kanan/Ketua Perniagaan Kad &amp; CRM. In the court’s view, the transfer did not preserve the plaintiff’s contractual position in substance.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[42]</w:t>
      </w:r>
      <w:r>
        <w:rPr>
          <w:rFonts w:ascii="arial" w:eastAsia="arial" w:hAnsi="arial" w:cs="arial"/>
          <w:b w:val="0"/>
          <w:i w:val="0"/>
          <w:strike w:val="0"/>
          <w:noProof w:val="0"/>
          <w:color w:val="000000"/>
          <w:position w:val="0"/>
          <w:sz w:val="24"/>
          <w:u w:val="none"/>
          <w:vertAlign w:val="baseline"/>
        </w:rPr>
        <w:t xml:space="preserve">  I accept that an employer’s prerogative to transfer is broad, and that the proper course ordinarily is for an employee to comply with a transfer and challenge it afterwards as submitted by the defendants relying on the case of </w:t>
      </w:r>
      <w:r>
        <w:rPr>
          <w:rFonts w:ascii="arial" w:eastAsia="arial" w:hAnsi="arial" w:cs="arial"/>
          <w:b w:val="0"/>
          <w:i/>
          <w:strike w:val="0"/>
          <w:noProof w:val="0"/>
          <w:color w:val="000000"/>
          <w:position w:val="0"/>
          <w:sz w:val="24"/>
          <w:u w:val="none"/>
          <w:vertAlign w:val="baseline"/>
        </w:rPr>
        <w:t xml:space="preserve">Yeoh Cheng Cheng v APM Automotive Holdings Berhad </w:t>
      </w:r>
      <w:r>
        <w:rPr>
          <w:rFonts w:ascii="arial" w:eastAsia="arial" w:hAnsi="arial" w:cs="arial"/>
          <w:b w:val="0"/>
          <w:i w:val="0"/>
          <w:strike w:val="0"/>
          <w:noProof w:val="0"/>
          <w:color w:val="000000"/>
          <w:position w:val="0"/>
          <w:sz w:val="24"/>
          <w:u w:val="none"/>
          <w:vertAlign w:val="baseline"/>
        </w:rPr>
        <w:t>[2014] 1 ILR 313. However, this principle has its limits. Where, as here, the transfer was to a unit of no defined scope or function and one done in the last quarter of a fixed term contract coupled with a failure to communicate any meaningful description of the SPU’s mandate, duties or objectives to the plaintiff, I find that the defendant failed to perform the transfer in a manner consistent with the contractual terms. The bank did not produce any contemporaneous internal documents explaining the need and purpose of the SPU. If there was such a genuine need, one would expect there to be internal records etc on this but there is none. Similarly, no witness was produced in relation to the actual decision makers responsible for the plaintiffs removal from his substantial role to SPU.</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[43]</w:t>
      </w:r>
      <w:r>
        <w:rPr>
          <w:rFonts w:ascii="arial" w:eastAsia="arial" w:hAnsi="arial" w:cs="arial"/>
          <w:b w:val="0"/>
          <w:i w:val="0"/>
          <w:strike w:val="0"/>
          <w:noProof w:val="0"/>
          <w:color w:val="000000"/>
          <w:position w:val="0"/>
          <w:sz w:val="24"/>
          <w:u w:val="none"/>
          <w:vertAlign w:val="baseline"/>
        </w:rPr>
        <w:t>  The court has also considered the evidence that the SPU did not appear on the macro organisation charts for 2021, 2022 and 2023 and that there were only two staff in the said unit of which PW2 was one of them who testified that by end of 2021, it no longer existed as a unit.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[44]</w:t>
      </w:r>
      <w:r>
        <w:rPr>
          <w:rFonts w:ascii="arial" w:eastAsia="arial" w:hAnsi="arial" w:cs="arial"/>
          <w:b w:val="0"/>
          <w:i w:val="0"/>
          <w:strike w:val="0"/>
          <w:noProof w:val="0"/>
          <w:color w:val="000000"/>
          <w:position w:val="0"/>
          <w:sz w:val="24"/>
          <w:u w:val="none"/>
          <w:vertAlign w:val="baseline"/>
        </w:rPr>
        <w:t>  I therefore find and hold that the defendant’s transfer of the plaintiff to the SPU constituted a breach of the seventh contract in that the transfer fell outside the scope of cl 10.1, and was effected without adequate definition of job scope or duties. Even if cl 10 conferred a power of transfer, such power did not extend to a transfer which in substance and effect stripped the plaintiff of his substantive role and placed him into a materially different and lower position. To reiterate, the SPU did not appear as a core operational division in the bank’s macro organisation chart, was a mere unit and not a division of the bank’s core business or carry out any card business, had only two other employees’ who worked only on some sustainability project, with the unit disbanded barely four months later. The transfer was thus in the court’s view an unlawful and invalid transfer amounting to a repudiatory breach of the contract which the plaintiff was entitled to accept and treat the contract as terminated.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[45]</w:t>
      </w:r>
      <w:r>
        <w:rPr>
          <w:rFonts w:ascii="arial" w:eastAsia="arial" w:hAnsi="arial" w:cs="arial"/>
          <w:b w:val="0"/>
          <w:i w:val="0"/>
          <w:strike w:val="0"/>
          <w:noProof w:val="0"/>
          <w:color w:val="000000"/>
          <w:position w:val="0"/>
          <w:sz w:val="24"/>
          <w:u w:val="none"/>
          <w:vertAlign w:val="baseline"/>
        </w:rPr>
        <w:t>  In so finding, this court reiterates that it is not adjudicating the matter as one of constructive dismissal under the IRA but is interpreting the contract and finding, within the four corners of that document, that the defendant’s purported exercise of its transfer power exceeded what the contract permitted.</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ISSUE (iii): RELIEF AVAILABLE TO THE PLAINTIFF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[46]</w:t>
      </w:r>
      <w:r>
        <w:rPr>
          <w:rFonts w:ascii="arial" w:eastAsia="arial" w:hAnsi="arial" w:cs="arial"/>
          <w:b w:val="0"/>
          <w:i w:val="0"/>
          <w:strike w:val="0"/>
          <w:noProof w:val="0"/>
          <w:color w:val="000000"/>
          <w:position w:val="0"/>
          <w:sz w:val="24"/>
          <w:u w:val="none"/>
          <w:vertAlign w:val="baseline"/>
        </w:rPr>
        <w:t xml:space="preserve">  Having found a breach of contract by the defendant, the court must consider the appropriate remedy. This is governed by the Contracts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1950, and not the IRA. The plaintiffs claim seeks, at its highest, full back wages from 31 August 2021 until his retirement age, together with reputational damages and general damages.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[47]</w:t>
      </w:r>
      <w:r>
        <w:rPr>
          <w:rFonts w:ascii="arial" w:eastAsia="arial" w:hAnsi="arial" w:cs="arial"/>
          <w:b w:val="0"/>
          <w:i w:val="0"/>
          <w:strike w:val="0"/>
          <w:noProof w:val="0"/>
          <w:color w:val="000000"/>
          <w:position w:val="0"/>
          <w:sz w:val="24"/>
          <w:u w:val="none"/>
          <w:vertAlign w:val="baseline"/>
        </w:rPr>
        <w:t xml:space="preserve">  I am bound by the settled principles of common law as confirmed by the Malaysian appellate courts. In </w:t>
      </w:r>
      <w:r>
        <w:rPr>
          <w:rFonts w:ascii="arial" w:eastAsia="arial" w:hAnsi="arial" w:cs="arial"/>
          <w:b w:val="0"/>
          <w:i/>
          <w:strike w:val="0"/>
          <w:noProof w:val="0"/>
          <w:color w:val="000000"/>
          <w:position w:val="0"/>
          <w:sz w:val="24"/>
          <w:u w:val="none"/>
          <w:vertAlign w:val="baseline"/>
        </w:rPr>
        <w:t>7-Eleven Malaysia Sdn Bhd v Asvine Hari Krishnan</w:t>
      </w:r>
      <w:r>
        <w:rPr>
          <w:rFonts w:ascii="arial" w:eastAsia="arial" w:hAnsi="arial" w:cs="arial"/>
          <w:b w:val="0"/>
          <w:i w:val="0"/>
          <w:strike w:val="0"/>
          <w:noProof w:val="0"/>
          <w:color w:val="000000"/>
          <w:position w:val="0"/>
          <w:sz w:val="24"/>
          <w:u w:val="none"/>
          <w:vertAlign w:val="baseline"/>
        </w:rPr>
        <w:t xml:space="preserve">, the Court of Appeal held unequivocally that whilst an employee may file a common law claim in the civil court upon wrongful termination, such a claim is confined to ‘meagre’ damages in the form of salary in lieu of notice, or, in the context of a fixed term contract, the salary for the unexpired balance of the term. Claims for loss of employment, future income to retirement age, wounded feelings, reputational damage and general damages flowing from an alleged constructive dismissal are not recoverable at common law (see cases of: </w:t>
      </w:r>
      <w:r>
        <w:rPr>
          <w:rFonts w:ascii="arial" w:eastAsia="arial" w:hAnsi="arial" w:cs="arial"/>
          <w:b w:val="0"/>
          <w:i/>
          <w:strike w:val="0"/>
          <w:noProof w:val="0"/>
          <w:color w:val="000000"/>
          <w:position w:val="0"/>
          <w:sz w:val="24"/>
          <w:u w:val="none"/>
          <w:vertAlign w:val="baseline"/>
        </w:rPr>
        <w:t xml:space="preserve">Fung Keong Rubber Manufacturing (M) Sdn Bhd v Lee Eng Kiat &amp; Ors </w:t>
      </w:r>
      <w:r>
        <w:rPr>
          <w:rFonts w:ascii="arial" w:eastAsia="arial" w:hAnsi="arial" w:cs="arial"/>
          <w:b w:val="0"/>
          <w:i w:val="0"/>
          <w:strike w:val="0"/>
          <w:noProof w:val="0"/>
          <w:color w:val="000000"/>
          <w:position w:val="0"/>
          <w:sz w:val="24"/>
          <w:u w:val="none"/>
          <w:vertAlign w:val="baseline"/>
        </w:rPr>
        <w:t xml:space="preserve"> [1981] 1 MLJ 238; and </w:t>
      </w:r>
      <w:r>
        <w:rPr>
          <w:rFonts w:ascii="arial" w:eastAsia="arial" w:hAnsi="arial" w:cs="arial"/>
          <w:b w:val="0"/>
          <w:i/>
          <w:strike w:val="0"/>
          <w:noProof w:val="0"/>
          <w:color w:val="000000"/>
          <w:position w:val="0"/>
          <w:sz w:val="24"/>
          <w:u w:val="none"/>
          <w:vertAlign w:val="baseline"/>
        </w:rPr>
        <w:t xml:space="preserve">AETNA Universal Insurance Sdn Bhd v Ooi Meng Sua </w:t>
      </w:r>
      <w:r>
        <w:rPr>
          <w:rFonts w:ascii="arial" w:eastAsia="arial" w:hAnsi="arial" w:cs="arial"/>
          <w:b w:val="0"/>
          <w:i w:val="0"/>
          <w:strike w:val="0"/>
          <w:noProof w:val="0"/>
          <w:color w:val="000000"/>
          <w:position w:val="0"/>
          <w:sz w:val="24"/>
          <w:u w:val="none"/>
          <w:vertAlign w:val="baseline"/>
        </w:rPr>
        <w:t xml:space="preserve"> [2001] 3 MLJ 502; [2001] 3 CLJ 1).</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[48]</w:t>
      </w:r>
      <w:r>
        <w:rPr>
          <w:rFonts w:ascii="arial" w:eastAsia="arial" w:hAnsi="arial" w:cs="arial"/>
          <w:b w:val="0"/>
          <w:i w:val="0"/>
          <w:strike w:val="0"/>
          <w:noProof w:val="0"/>
          <w:color w:val="000000"/>
          <w:position w:val="0"/>
          <w:sz w:val="24"/>
          <w:u w:val="none"/>
          <w:vertAlign w:val="baseline"/>
        </w:rPr>
        <w:t>  The position is clear in that the civil court’s jurisdiction upon a wrongful termination of a fixed term contract is to award compensation for the unexpired portion of the contract. The plaintiff is not a permanent employee, as found above. The seventh contract was due to expire on 31 December 2021. The plaintiff ceased employment effective 1 September 2021, leaving a balance of approximately four months.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[49]</w:t>
      </w:r>
      <w:r>
        <w:rPr>
          <w:rFonts w:ascii="arial" w:eastAsia="arial" w:hAnsi="arial" w:cs="arial"/>
          <w:b w:val="0"/>
          <w:i w:val="0"/>
          <w:strike w:val="0"/>
          <w:noProof w:val="0"/>
          <w:color w:val="000000"/>
          <w:position w:val="0"/>
          <w:sz w:val="24"/>
          <w:u w:val="none"/>
          <w:vertAlign w:val="baseline"/>
        </w:rPr>
        <w:t xml:space="preserve">  The defendant submits that in the event a breach of contract is established, then pursuant to s 74 of the Contracts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the plaintiff is only entitled to the remaining four months salary being the unexpired part of his fixed term contract. I agree.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[50]</w:t>
      </w:r>
      <w:r>
        <w:rPr>
          <w:rFonts w:ascii="arial" w:eastAsia="arial" w:hAnsi="arial" w:cs="arial"/>
          <w:b w:val="0"/>
          <w:i w:val="0"/>
          <w:strike w:val="0"/>
          <w:noProof w:val="0"/>
          <w:color w:val="000000"/>
          <w:position w:val="0"/>
          <w:sz w:val="24"/>
          <w:u w:val="none"/>
          <w:vertAlign w:val="baseline"/>
        </w:rPr>
        <w:t>  Accordingly, the plaintiff is entitled to damages representing four months’ basic salary for the unexpired balance of the seventh contract, being the period from 1 September 2021 to 31 December 2021, calculated on the basis of his contractual salary of RM36,200 and his fixed monthly allowances amounting to a total sum of RM161,200.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[51]</w:t>
      </w:r>
      <w:r>
        <w:rPr>
          <w:rFonts w:ascii="arial" w:eastAsia="arial" w:hAnsi="arial" w:cs="arial"/>
          <w:b w:val="0"/>
          <w:i w:val="0"/>
          <w:strike w:val="0"/>
          <w:noProof w:val="0"/>
          <w:color w:val="000000"/>
          <w:position w:val="0"/>
          <w:sz w:val="24"/>
          <w:u w:val="none"/>
          <w:vertAlign w:val="baseline"/>
        </w:rPr>
        <w:t>  As for the plaintiff’s claims for reputational damage, wounded feelings and general damages, these claims are unmaintainable in this court as a matter of law, and are accordingly dismissed.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[52]</w:t>
      </w:r>
      <w:r>
        <w:rPr>
          <w:rFonts w:ascii="arial" w:eastAsia="arial" w:hAnsi="arial" w:cs="arial"/>
          <w:b w:val="0"/>
          <w:i w:val="0"/>
          <w:strike w:val="0"/>
          <w:noProof w:val="0"/>
          <w:color w:val="000000"/>
          <w:position w:val="0"/>
          <w:sz w:val="24"/>
          <w:u w:val="none"/>
          <w:vertAlign w:val="baseline"/>
        </w:rPr>
        <w:t>  Further, and in passing, I also note that the plaintiff has made much hay of the fact that the defendant had reported his four previous disciplinary proceedings in an employee screening form dated 28 February 2022 under a Bank Negara policy ie post termination whereby he asserts that this has made it difficult for him to obtain a job of comparable standing post termination. Quite apart from the fact that he has not adduced any evidence, to support this assertion or a causal link to him not securing new employment and whilst it is true that the defendant did make reference to his four past disciplinary matters in such report, they had also clearly highlighted in the screening report that they were not cases relating to honesty and integrity. In any event, such employee screening report relating to his previous disciplinary proceedings were post termination and hence, with respect, are not relevant in determining breach of contract. In any event, I am not persuaded that such screening disclosures damaged his future employability. After all, the plaintiff himself testified that he had managed to secure employment overseas but was not prepared to accept such offers.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ISSUE (iv): THE DEFENDANT’S COUNTERCLAIM</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[53]</w:t>
      </w:r>
      <w:r>
        <w:rPr>
          <w:rFonts w:ascii="arial" w:eastAsia="arial" w:hAnsi="arial" w:cs="arial"/>
          <w:b w:val="0"/>
          <w:i w:val="0"/>
          <w:strike w:val="0"/>
          <w:noProof w:val="0"/>
          <w:color w:val="000000"/>
          <w:position w:val="0"/>
          <w:sz w:val="24"/>
          <w:u w:val="none"/>
          <w:vertAlign w:val="baseline"/>
        </w:rPr>
        <w:t>  The defendant counterclaims RM108,600, being three months’ basic salary in lieu of notice pursuant to cl 11.1 of the seventh contract, on the basis that the plaintiff breached the contract by failing to provide the required notice period before ceasing employment.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[54]</w:t>
      </w:r>
      <w:r>
        <w:rPr>
          <w:rFonts w:ascii="arial" w:eastAsia="arial" w:hAnsi="arial" w:cs="arial"/>
          <w:b w:val="0"/>
          <w:i w:val="0"/>
          <w:strike w:val="0"/>
          <w:noProof w:val="0"/>
          <w:color w:val="000000"/>
          <w:position w:val="0"/>
          <w:sz w:val="24"/>
          <w:u w:val="none"/>
          <w:vertAlign w:val="baseline"/>
        </w:rPr>
        <w:t>  Clause 11.1 of the seventh contract provides that either party may terminate the contract by giving three months’ notice or by paying three months’ basic salary in lieu of notice. The defendant’s position is that the plaintiff walked out of his employment without giving notice and without paying the salary in lieu, thereby breaching cl 11.1.</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[55]</w:t>
      </w:r>
      <w:r>
        <w:rPr>
          <w:rFonts w:ascii="arial" w:eastAsia="arial" w:hAnsi="arial" w:cs="arial"/>
          <w:b w:val="0"/>
          <w:i w:val="0"/>
          <w:strike w:val="0"/>
          <w:noProof w:val="0"/>
          <w:color w:val="000000"/>
          <w:position w:val="0"/>
          <w:sz w:val="24"/>
          <w:u w:val="none"/>
          <w:vertAlign w:val="baseline"/>
        </w:rPr>
        <w:t>  However, the defendant’s counterclaim must be considered against the backdrop of this court’s finding that the defendant itself breached the seventh contract by transferring the plaintiff to the SPU in a manner that fell outside the scope of the contractual transfer provisions. The plaintiffs refusal to comply with a transfer that constituted a breach of contract cannot, in these circumstances, itself be characterised as a breach of cl 11.1 requiring the payment of notice in lieu. To hold otherwise would be to require the plaintiff to give notice for terminating a contract that the defendant had already fundamentally altered in breach.</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[56]</w:t>
      </w:r>
      <w:r>
        <w:rPr>
          <w:rFonts w:ascii="arial" w:eastAsia="arial" w:hAnsi="arial" w:cs="arial"/>
          <w:b w:val="0"/>
          <w:i w:val="0"/>
          <w:strike w:val="0"/>
          <w:noProof w:val="0"/>
          <w:color w:val="000000"/>
          <w:position w:val="0"/>
          <w:sz w:val="24"/>
          <w:u w:val="none"/>
          <w:vertAlign w:val="baseline"/>
        </w:rPr>
        <w:t xml:space="preserve">  In law, where a party commits a repudiatory or other material breach of contract, the innocent party is entitled to treat himself as discharged from his obligations under the contract ( ss 40 and 65 of the Contracts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1950). While this court has not found the transfer to constitute a full repudiation in the Industrial Court sense as the IRA framework does not apply, the finding of breach by the defendant is sufficient to disentitle the defendant from recovering damages for the plaintiffs non-observance of the notice obligation in cl 11.1. It would be unjust and contrary to principle to allow the defendant to hold the plaintiff to a contractual obligation that arose in consequence of the defendant’s own breach.</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[57]</w:t>
      </w:r>
      <w:r>
        <w:rPr>
          <w:rFonts w:ascii="arial" w:eastAsia="arial" w:hAnsi="arial" w:cs="arial"/>
          <w:b w:val="0"/>
          <w:i w:val="0"/>
          <w:strike w:val="0"/>
          <w:noProof w:val="0"/>
          <w:color w:val="000000"/>
          <w:position w:val="0"/>
          <w:sz w:val="24"/>
          <w:u w:val="none"/>
          <w:vertAlign w:val="baseline"/>
        </w:rPr>
        <w:t>  Accordingly, the defendant’s counterclaim is dismissed.</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CONCLUSION AND ORDERS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[58]</w:t>
      </w:r>
      <w:r>
        <w:rPr>
          <w:rFonts w:ascii="arial" w:eastAsia="arial" w:hAnsi="arial" w:cs="arial"/>
          <w:b w:val="0"/>
          <w:i w:val="0"/>
          <w:strike w:val="0"/>
          <w:noProof w:val="0"/>
          <w:color w:val="000000"/>
          <w:position w:val="0"/>
          <w:sz w:val="24"/>
          <w:u w:val="none"/>
          <w:vertAlign w:val="baseline"/>
        </w:rPr>
        <w:t>  For the reasons set out above, the court makes the following findings and orders:</w:t>
      </w:r>
      <w:r>
        <w:t>
</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plaintiffs employment under the seventh contract and all preceding contracts was on a genuine fixed term contract basis. The plaintiffs prayer for a declaration of permanent employment is therefore dismissed;</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defendant committed a breach of the seventh contract dated 8 July 2019 by directing the plaintiff to transfer to the Special Project Unit in a manner that exceeded the scope of cl 10.1 and 10.2 of the said contract;</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consequence of the said breach, the plaintiff is entitled to damages ie the unexpired balance of the seventh contract, being four months’ basic salary and fixed allowances in the sum of RM161,200;</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plaintiffs claims for back wages to retirement age, reputational damage and general damages are dismissed as unmaintainable in this court;</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defendant’s counterclaim for three months’ salary in lieu of notice (RM108,600) is dismissed; and</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for cost, having regard to the mixed outcome of the plaintiff succeeding on the breach of contract but recovering oniy the modest contractual balance, and the defendant’s counterclaim being dismissed, I award the plaintiff costs of RM30,000 subject to alocator.</w:t>
      </w:r>
    </w:p>
    <w:p>
      <w:pPr>
        <w:keepNext w:val="0"/>
        <w:spacing w:before="0" w:after="0" w:line="300" w:lineRule="atLeast"/>
        <w:ind w:left="0" w:right="0" w:firstLine="0"/>
        <w:jc w:val="right"/>
      </w:pPr>
      <w:r>
        <w:br/>
      </w:r>
      <w:r>
        <w:rPr>
          <w:rFonts w:ascii="arial" w:eastAsia="arial" w:hAnsi="arial" w:cs="arial"/>
          <w:b w:val="0"/>
          <w:i/>
          <w:strike w:val="0"/>
          <w:noProof w:val="0"/>
          <w:color w:val="000000"/>
          <w:position w:val="0"/>
          <w:sz w:val="24"/>
          <w:u w:val="none"/>
          <w:vertAlign w:val="baseline"/>
        </w:rPr>
        <w:t>Order accordingly.</w:t>
      </w:r>
      <w:r>
        <w:t>
</w:t>
      </w:r>
    </w:p>
    <w:p>
      <w:pPr>
        <w:keepNext w:val="0"/>
        <w:spacing w:after="0" w:line="300" w:lineRule="atLeast"/>
        <w:ind w:left="0" w:right="0" w:firstLine="0"/>
        <w:jc w:val="right"/>
      </w:pPr>
      <w:bookmarkStart w:id="6" w:name="Reporter"/>
      <w:bookmarkEnd w:id="6"/>
      <w:r>
        <w:rPr>
          <w:rFonts w:ascii="arial" w:eastAsia="arial" w:hAnsi="arial" w:cs="arial"/>
          <w:b w:val="0"/>
          <w:i w:val="0"/>
          <w:strike w:val="0"/>
          <w:noProof w:val="0"/>
          <w:color w:val="000000"/>
          <w:position w:val="0"/>
          <w:sz w:val="24"/>
          <w:u w:val="none"/>
          <w:vertAlign w:val="baseline"/>
        </w:rPr>
        <w:t>Reported by Dzulqarnain Ab Fatar</w:t>
      </w:r>
    </w:p>
    <w:p/>
    <w:p>
      <w:pPr>
        <w:ind w:left="200"/>
      </w:pPr>
      <w:r>
        <w:br/>
      </w:r>
      <w:r>
        <w:pict>
          <v:line id="_x0000_s1030"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Mohd Sofian bin Amirudin v Bank Simpanan Nasional [2026] 9 MLJ 549</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3"/>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4"/>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5"/>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6"/>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2"/>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3"/>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4"/>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5"/>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6"/>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lowerLetter"/>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lowerLetter"/>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jpeg"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jpeg" /><Relationship Id="rId8" Type="http://schemas.openxmlformats.org/officeDocument/2006/relationships/image" Target="media/image2.jpeg" /><Relationship Id="rId9"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Mohd Sofian bin Amirudin v Bank Simpanan Nasional [2026] 9 MLJ 549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P8-J7V3-MX3G-4000-00000-00">
    <vt:lpwstr>Doc::/shared/document|contextualFeaturePermID::1522468</vt:lpwstr>
  </property>
  <property fmtid="{D5CDD505-2E9C-101B-9397-08002B2CF9AE}" pid="4" name="LNDeliveryID">
    <vt:lpwstr>286221707</vt:lpwstr>
  </property>
  <property fmtid="{D5CDD505-2E9C-101B-9397-08002B2CF9AE}" pid="5" name="UserPermID">
    <vt:lpwstr>urn:user:PA196491919</vt:lpwstr>
  </property>
</Properties>
</file>