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Muhammad Fariq bin Rosli v Airasia X Bhd  [2024] ILJU 386</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1308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27 August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Ismail Nasaruddin (National Union of Flight Attendants Malaysia)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Rebecca Sonali Alfred (with Sebastian Tay Hanxin) (T Thavalingam &amp; Co)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dated 22 October 2020 made by the Minister of Human Resources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Muhammad Fariq bin Rosli</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Airasia X Berhad</w:t>
      </w:r>
      <w:r>
        <w:rPr>
          <w:rFonts w:ascii="arial" w:eastAsia="arial" w:hAnsi="arial" w:cs="arial"/>
          <w:b w:val="0"/>
          <w:i w:val="0"/>
          <w:strike w:val="0"/>
          <w:noProof w:val="0"/>
          <w:color w:val="000000"/>
          <w:position w:val="0"/>
          <w:sz w:val="24"/>
          <w:u w:val="none"/>
          <w:vertAlign w:val="baseline"/>
        </w:rPr>
        <w:t xml:space="preserve"> (“the Company”) on 14 June 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Claimant joined the Company on 11 July 2011 as a Flight Attendant in Air Asia Berhad. Subsequently in a letter dated 24 September 2013 was appointed as a Flight Attendant with the Company on a permanent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Company is the leading low-cost carrier air in Malaysia and perhaps globally. As with any business or enterprise in the field of travel, accommodation, entertainment and other tourism related industry, the Company suffered from the recent pandemic and the Government’s decision to issue a Movement Control Order (MCO) on 18 March 2020. The effect of which this Court is still proceeding with cases from the event to date.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The Company had claimed that it had suffered terrible losses the preceding year, namely 2019 due in most part also to the onset of the pandemic because people did not want to travel especially to this region when the virus was first detected in Asia. According to the Company, this loss had significantly affected the Company and the MCO caused the Company more losses.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Company had no choice but to conduct a business alignment exercise which caused the redundancy. The Claimant was dismissed on 10 June 2020, as part of the said alignment exercise, on the grounds of redundancy.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Court has gone through the evidence as given through testimony in Court and the documents and submission that have been filed. Those documents and submissions are listed for ease of reference as follows:</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20 December 2020;</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8 April 2021;</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15 April 2021;</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Bundle of Documents (1) marked as exhibit </w:t>
      </w:r>
      <w:r>
        <w:rPr>
          <w:rFonts w:ascii="arial" w:eastAsia="arial" w:hAnsi="arial" w:cs="arial"/>
          <w:b w:val="0"/>
          <w:i/>
          <w:strike w:val="0"/>
          <w:noProof w:val="0"/>
          <w:color w:val="000000"/>
          <w:position w:val="0"/>
          <w:sz w:val="24"/>
          <w:u w:val="none"/>
          <w:vertAlign w:val="baseline"/>
        </w:rPr>
        <w:t>CLB-1;</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Loose Documents marked as exhibit </w:t>
      </w:r>
      <w:r>
        <w:rPr>
          <w:rFonts w:ascii="arial" w:eastAsia="arial" w:hAnsi="arial" w:cs="arial"/>
          <w:b w:val="0"/>
          <w:i/>
          <w:strike w:val="0"/>
          <w:noProof w:val="0"/>
          <w:color w:val="000000"/>
          <w:position w:val="0"/>
          <w:sz w:val="24"/>
          <w:u w:val="none"/>
          <w:vertAlign w:val="baseline"/>
        </w:rPr>
        <w:t>CLB-2;</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Bundle of Documents (Vol. 1) filed on 9 January 2023 marked as exhibit </w:t>
      </w:r>
      <w:r>
        <w:rPr>
          <w:rFonts w:ascii="arial" w:eastAsia="arial" w:hAnsi="arial" w:cs="arial"/>
          <w:b w:val="0"/>
          <w:i/>
          <w:strike w:val="0"/>
          <w:noProof w:val="0"/>
          <w:color w:val="000000"/>
          <w:position w:val="0"/>
          <w:sz w:val="24"/>
          <w:u w:val="none"/>
          <w:vertAlign w:val="baseline"/>
        </w:rPr>
        <w:t>COB-1;</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Bundle of Documents (Vol. 2) filed on 9 January 2023 marked as exhibit </w:t>
      </w:r>
      <w:r>
        <w:rPr>
          <w:rFonts w:ascii="arial" w:eastAsia="arial" w:hAnsi="arial" w:cs="arial"/>
          <w:b w:val="0"/>
          <w:i/>
          <w:strike w:val="0"/>
          <w:noProof w:val="0"/>
          <w:color w:val="000000"/>
          <w:position w:val="0"/>
          <w:sz w:val="24"/>
          <w:u w:val="none"/>
          <w:vertAlign w:val="baseline"/>
        </w:rPr>
        <w:t>COB-2;</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Bundle of Documents (Vol. 3) filed on 12 January 2023 marked as exhibit </w:t>
      </w:r>
      <w:r>
        <w:rPr>
          <w:rFonts w:ascii="arial" w:eastAsia="arial" w:hAnsi="arial" w:cs="arial"/>
          <w:b w:val="0"/>
          <w:i/>
          <w:strike w:val="0"/>
          <w:noProof w:val="0"/>
          <w:color w:val="000000"/>
          <w:position w:val="0"/>
          <w:sz w:val="24"/>
          <w:u w:val="none"/>
          <w:vertAlign w:val="baseline"/>
        </w:rPr>
        <w:t>COB-3;</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Witness Statement of Lim Gaik Peng signed on 17 January 2023 marked as exhibit </w:t>
      </w:r>
      <w:r>
        <w:rPr>
          <w:rFonts w:ascii="arial" w:eastAsia="arial" w:hAnsi="arial" w:cs="arial"/>
          <w:b w:val="0"/>
          <w:i/>
          <w:strike w:val="0"/>
          <w:noProof w:val="0"/>
          <w:color w:val="000000"/>
          <w:position w:val="0"/>
          <w:sz w:val="24"/>
          <w:u w:val="none"/>
          <w:vertAlign w:val="baseline"/>
        </w:rPr>
        <w:t>COWS-1;</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Witness Statement of Wong Poh Yeng signed on 1 August 2023 marked as exhibit </w:t>
      </w:r>
      <w:r>
        <w:rPr>
          <w:rFonts w:ascii="arial" w:eastAsia="arial" w:hAnsi="arial" w:cs="arial"/>
          <w:b w:val="0"/>
          <w:i/>
          <w:strike w:val="0"/>
          <w:noProof w:val="0"/>
          <w:color w:val="000000"/>
          <w:position w:val="0"/>
          <w:sz w:val="24"/>
          <w:u w:val="none"/>
          <w:vertAlign w:val="baseline"/>
        </w:rPr>
        <w:t>COWS-2;</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Witness Statement of Kuleswary A/P Tanabarlah signed on 1 August 2023 marked as exhibit </w:t>
      </w:r>
      <w:r>
        <w:rPr>
          <w:rFonts w:ascii="arial" w:eastAsia="arial" w:hAnsi="arial" w:cs="arial"/>
          <w:b w:val="0"/>
          <w:i/>
          <w:strike w:val="0"/>
          <w:noProof w:val="0"/>
          <w:color w:val="000000"/>
          <w:position w:val="0"/>
          <w:sz w:val="24"/>
          <w:u w:val="none"/>
          <w:vertAlign w:val="baseline"/>
        </w:rPr>
        <w:t>COWS-3;</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Muhammad Fariq Bin Rosli signed on 21 September 2023 marked as exhibit </w:t>
      </w:r>
      <w:r>
        <w:rPr>
          <w:rFonts w:ascii="arial" w:eastAsia="arial" w:hAnsi="arial" w:cs="arial"/>
          <w:b w:val="0"/>
          <w:i/>
          <w:strike w:val="0"/>
          <w:noProof w:val="0"/>
          <w:color w:val="000000"/>
          <w:position w:val="0"/>
          <w:sz w:val="24"/>
          <w:u w:val="none"/>
          <w:vertAlign w:val="baseline"/>
        </w:rPr>
        <w:t>CLWS;</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dated 21 February 2024;</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 of Authorities (Volume 1) filed on 2 February 2024;</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 Written Submission filed on 5 March 2024;</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Authority filed 5 March 2024;</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in Reply dated 16 May 2024;</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Supplementary Bundle of Authorities filed on 13 February 2023; and</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 in Reply filed on 1 August 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xml:space="preserve">  The above are the general facts of the case. The case has the same facts and arguments as the case that this Court has decided and furnished by the Company, namely the case of </w:t>
      </w:r>
      <w:r>
        <w:rPr>
          <w:rFonts w:ascii="arial" w:eastAsia="arial" w:hAnsi="arial" w:cs="arial"/>
          <w:b w:val="0"/>
          <w:i/>
          <w:strike w:val="0"/>
          <w:noProof w:val="0"/>
          <w:color w:val="000000"/>
          <w:position w:val="0"/>
          <w:sz w:val="24"/>
          <w:u w:val="none"/>
          <w:vertAlign w:val="baseline"/>
        </w:rPr>
        <w:t xml:space="preserve">Shairazi Aslam Abd Aziz v. Air Asia Berhad </w:t>
      </w:r>
      <w:r>
        <w:rPr>
          <w:rFonts w:ascii="arial" w:eastAsia="arial" w:hAnsi="arial" w:cs="arial"/>
          <w:b w:val="0"/>
          <w:i w:val="0"/>
          <w:strike w:val="0"/>
          <w:noProof w:val="0"/>
          <w:color w:val="000000"/>
          <w:position w:val="0"/>
          <w:sz w:val="24"/>
          <w:u w:val="none"/>
          <w:vertAlign w:val="baseline"/>
        </w:rPr>
        <w:t xml:space="preserve">[2023] MELRU 2174 as well as the case of </w:t>
      </w:r>
      <w:r>
        <w:rPr>
          <w:rFonts w:ascii="arial" w:eastAsia="arial" w:hAnsi="arial" w:cs="arial"/>
          <w:b w:val="0"/>
          <w:i/>
          <w:strike w:val="0"/>
          <w:noProof w:val="0"/>
          <w:color w:val="000000"/>
          <w:position w:val="0"/>
          <w:sz w:val="24"/>
          <w:u w:val="none"/>
          <w:vertAlign w:val="baseline"/>
        </w:rPr>
        <w:t xml:space="preserve">Muhammad Azri Bin Zulkifli v. Air Asia Berhad Award No. : 2173 of 2023. </w:t>
      </w:r>
      <w:r>
        <w:rPr>
          <w:rFonts w:ascii="arial" w:eastAsia="arial" w:hAnsi="arial" w:cs="arial"/>
          <w:b w:val="0"/>
          <w:i w:val="0"/>
          <w:strike w:val="0"/>
          <w:noProof w:val="0"/>
          <w:color w:val="000000"/>
          <w:position w:val="0"/>
          <w:sz w:val="24"/>
          <w:u w:val="none"/>
          <w:vertAlign w:val="baseline"/>
        </w:rPr>
        <w:t xml:space="preserve"> The Court is reluctant to repeat the entire discussion all over again. Nonetheless, the Court will go through the normal process in any Award.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Chair and 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This Court has mentioned in previous cases regarding the change of Chairperson of the Court who has been transferred and this award is being given by the new Chairman. The Court will not repeat the same but invite the parties repeat the same but reference could also be made to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above. In that award this Court referred to the case of </w:t>
      </w:r>
      <w:r>
        <w:rPr>
          <w:rFonts w:ascii="arial" w:eastAsia="arial" w:hAnsi="arial" w:cs="arial"/>
          <w:b w:val="0"/>
          <w:i/>
          <w:strike w:val="0"/>
          <w:noProof w:val="0"/>
          <w:color w:val="000000"/>
          <w:position w:val="0"/>
          <w:sz w:val="24"/>
          <w:u w:val="none"/>
          <w:vertAlign w:val="baseline"/>
        </w:rPr>
        <w:t xml:space="preserve">Bax Global (Malaysia) Sdn Bhd V. Sukhdev Singh Pritam Singh &amp; Anor </w:t>
      </w:r>
      <w:r>
        <w:rPr>
          <w:rFonts w:ascii="arial" w:eastAsia="arial" w:hAnsi="arial" w:cs="arial"/>
          <w:b w:val="0"/>
          <w:i w:val="0"/>
          <w:strike w:val="0"/>
          <w:noProof w:val="0"/>
          <w:color w:val="000000"/>
          <w:position w:val="0"/>
          <w:sz w:val="24"/>
          <w:u w:val="none"/>
          <w:vertAlign w:val="baseline"/>
        </w:rPr>
        <w:t xml:space="preserve">[2011] 2 CLJ 534 and subsection 23(6) </w:t>
      </w:r>
      <w:r>
        <w:rPr>
          <w:rFonts w:ascii="arial" w:eastAsia="arial" w:hAnsi="arial" w:cs="arial"/>
          <w:b w:val="0"/>
          <w:i/>
          <w:strike w:val="0"/>
          <w:noProof w:val="0"/>
          <w:color w:val="000000"/>
          <w:position w:val="0"/>
          <w:sz w:val="24"/>
          <w:u w:val="single"/>
          <w:vertAlign w:val="baseline"/>
        </w:rPr>
        <w:t>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Similarly, the Court reiterates its stand in the above case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where the Court refers to the oft-cited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Court is duty bound to determine whether there was a termination or dismissal, and that the termination or dismissal was with just cause and excuse. The fact that the Claimant was terminated was never an issue and accepted by the Parties. In fact, this is a rather straightforward case of whether the termination by the Company on the grounds of redundancy fulfils the requirements set out in the case precedent above.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Issues Similar to the Previous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In both the earlier cases, this Court has already highlighted the issues raised such as the economic downturn effects. The Court will not repeat the same and suffice for parties to refer to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mentioned above. The point, economic downturn, is valid for the Company to raise as reasons for the termination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The Court accepts that the Company, in 2019 it had suffered net operating losses amounting to RM382.534 million. The Company also claimed that in the first quarter of 2020, the Company accumulated losses amounting to RM477 million, whilst the AirAsia X Group recorded a net operating loss of RM347.8 million. There were further losses in the first quarter of the 2020 and more losses up to the date of the Claimant’s termination. These losses were accumulated before the Movement Control Order (“MCO”). At this point the Court had agreed with the Company that the Company’s parent or holding company did suffer economically. The amounts being different in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Court then referred to the issue of redundancy of the Claimants, which the Court always referred to the High Court case of </w:t>
      </w:r>
      <w:r>
        <w:rPr>
          <w:rFonts w:ascii="arial" w:eastAsia="arial" w:hAnsi="arial" w:cs="arial"/>
          <w:b w:val="0"/>
          <w:i/>
          <w:strike w:val="0"/>
          <w:noProof w:val="0"/>
          <w:color w:val="000000"/>
          <w:position w:val="0"/>
          <w:sz w:val="24"/>
          <w:u w:val="none"/>
          <w:vertAlign w:val="baseline"/>
        </w:rPr>
        <w:t xml:space="preserve">Stephen Bong v. FCB (M) Sdn Bhd &amp; Anor </w:t>
      </w:r>
      <w:r>
        <w:rPr>
          <w:rFonts w:ascii="arial" w:eastAsia="arial" w:hAnsi="arial" w:cs="arial"/>
          <w:b w:val="0"/>
          <w:i w:val="0"/>
          <w:strike w:val="0"/>
          <w:noProof w:val="0"/>
          <w:color w:val="000000"/>
          <w:position w:val="0"/>
          <w:sz w:val="24"/>
          <w:u w:val="none"/>
          <w:vertAlign w:val="baseline"/>
        </w:rPr>
        <w:t xml:space="preserve">[1999] 3 MLJ 411 The Court also referred to the Court of Appeal case of </w:t>
      </w:r>
      <w:r>
        <w:rPr>
          <w:rFonts w:ascii="arial" w:eastAsia="arial" w:hAnsi="arial" w:cs="arial"/>
          <w:b w:val="0"/>
          <w:i/>
          <w:strike w:val="0"/>
          <w:noProof w:val="0"/>
          <w:color w:val="000000"/>
          <w:position w:val="0"/>
          <w:sz w:val="24"/>
          <w:u w:val="none"/>
          <w:vertAlign w:val="baseline"/>
        </w:rPr>
        <w:t xml:space="preserve">William Jacks &amp; Co. (M) Sdn. Bhd. v. S. Balasingam </w:t>
      </w:r>
      <w:r>
        <w:rPr>
          <w:rFonts w:ascii="arial" w:eastAsia="arial" w:hAnsi="arial" w:cs="arial"/>
          <w:b w:val="0"/>
          <w:i w:val="0"/>
          <w:strike w:val="0"/>
          <w:noProof w:val="0"/>
          <w:color w:val="000000"/>
          <w:position w:val="0"/>
          <w:sz w:val="24"/>
          <w:u w:val="none"/>
          <w:vertAlign w:val="baseline"/>
        </w:rPr>
        <w:t xml:space="preserve">[1997] 3 CLJ 235. Which were all raised in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and the Court maintains the same position.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Based on the two cases mentioned above and also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the Court had accepted the fact that the Company term redundancy or retrenchment is used interchangeably. However, the Court wishes to illustrate the fundamental issue, notwithstanding whether it is either of the terms, occurs when a company has made a decision to reduce or downsize its workforce, for whatever reason it may be. The Court believes that it is the Court’s duty in a redundancy or retrenchment situation to see whether the position is truly redundant and that the termination or retrenchment or redundancy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Furthermore, the Court must make a finding of fact on the peculiar facts of the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As stated in the case mentioned earlier, the impact of the pandemic and MCO is far reaching and includes the effect it had on employees of several companies. This Court had also referred the issue of redundancy and retrenchment in answering three questions. The three questions are as follows:</w:t>
      </w:r>
      <w:r>
        <w:t>
</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there was a genuine need for the reorganisation exercise by the Company:</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a genuine redundancy situation had arisen which led to the retrenchment of the Claimant; and</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Company had complied with the accepted standards and procedure when selecting and retrenching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Again, the Court is of the opinion that the Company had answered all the questions above in the positive. The third question was answered through the Company’s use of a “best fit” principle, which the Company felt was better suited for them. Despite the principle being different, the Court believes that it has fulfilled the requirement of the third question.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The next issue was that of the last in, first out principle or LIFO. LIFO is not mandatory and this Court acknowledges that but should still carry some weight. The Court is also guided by the Federal Court case of </w:t>
      </w:r>
      <w:r>
        <w:rPr>
          <w:rFonts w:ascii="arial" w:eastAsia="arial" w:hAnsi="arial" w:cs="arial"/>
          <w:b w:val="0"/>
          <w:i/>
          <w:strike w:val="0"/>
          <w:noProof w:val="0"/>
          <w:color w:val="000000"/>
          <w:position w:val="0"/>
          <w:sz w:val="24"/>
          <w:u w:val="none"/>
          <w:vertAlign w:val="baseline"/>
        </w:rPr>
        <w:t xml:space="preserve">Dynacraft Industries Sdn Bhd v. Kamaruddin Kana Mohd Shariff &amp; Ors </w:t>
      </w:r>
      <w:r>
        <w:rPr>
          <w:rFonts w:ascii="arial" w:eastAsia="arial" w:hAnsi="arial" w:cs="arial"/>
          <w:b w:val="0"/>
          <w:i w:val="0"/>
          <w:strike w:val="0"/>
          <w:noProof w:val="0"/>
          <w:color w:val="000000"/>
          <w:position w:val="0"/>
          <w:sz w:val="24"/>
          <w:u w:val="none"/>
          <w:vertAlign w:val="baseline"/>
        </w:rPr>
        <w:t>[2012] 9 CLJ 21 who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[13]</w:t>
      </w:r>
      <w:r>
        <w:rPr>
          <w:rFonts w:ascii="arial" w:eastAsia="arial" w:hAnsi="arial" w:cs="arial"/>
          <w:b w:val="0"/>
          <w:i w:val="0"/>
          <w:strike w:val="0"/>
          <w:noProof w:val="0"/>
          <w:color w:val="000000"/>
          <w:position w:val="0"/>
          <w:sz w:val="18"/>
          <w:u w:val="none"/>
          <w:vertAlign w:val="baseline"/>
        </w:rPr>
        <w:t xml:space="preserve"> We will deal with the first question posed in this appeal. It concerns the correctness of the application of the LIFO principle by the Industrial Court. </w:t>
      </w:r>
      <w:r>
        <w:rPr>
          <w:rFonts w:ascii="arial" w:eastAsia="arial" w:hAnsi="arial" w:cs="arial"/>
          <w:b/>
          <w:i w:val="0"/>
          <w:strike w:val="0"/>
          <w:noProof w:val="0"/>
          <w:color w:val="000000"/>
          <w:position w:val="0"/>
          <w:sz w:val="18"/>
          <w:u w:val="none"/>
          <w:vertAlign w:val="baseline"/>
        </w:rPr>
        <w:t>The LIFO</w:t>
      </w:r>
      <w:r>
        <w:rPr>
          <w:rFonts w:ascii="arial" w:eastAsia="arial" w:hAnsi="arial" w:cs="arial"/>
          <w:b w:val="0"/>
          <w:i w:val="0"/>
          <w:strike w:val="0"/>
          <w:noProof w:val="0"/>
          <w:color w:val="000000"/>
          <w:position w:val="0"/>
          <w:sz w:val="18"/>
          <w:u w:val="none"/>
          <w:vertAlign w:val="baseline"/>
        </w:rPr>
        <w:t xml:space="preserve"> (last in first out) or “last come first go” </w:t>
      </w:r>
      <w:r>
        <w:rPr>
          <w:rFonts w:ascii="arial" w:eastAsia="arial" w:hAnsi="arial" w:cs="arial"/>
          <w:b/>
          <w:i w:val="0"/>
          <w:strike w:val="0"/>
          <w:noProof w:val="0"/>
          <w:color w:val="000000"/>
          <w:position w:val="0"/>
          <w:sz w:val="18"/>
          <w:u w:val="none"/>
          <w:vertAlign w:val="baseline"/>
        </w:rPr>
        <w:t>principle requires the most junior employee to be retrenched before the more senior ones in the same category.</w:t>
      </w:r>
      <w:r>
        <w:rPr>
          <w:rFonts w:ascii="arial" w:eastAsia="arial" w:hAnsi="arial" w:cs="arial"/>
          <w:b w:val="0"/>
          <w:i w:val="0"/>
          <w:strike w:val="0"/>
          <w:noProof w:val="0"/>
          <w:color w:val="000000"/>
          <w:position w:val="0"/>
          <w:sz w:val="18"/>
          <w:u w:val="none"/>
          <w:vertAlign w:val="baseline"/>
        </w:rPr>
        <w:t xml:space="preserve"> The principle is </w:t>
      </w:r>
      <w:r>
        <w:rPr>
          <w:rFonts w:ascii="arial" w:eastAsia="arial" w:hAnsi="arial" w:cs="arial"/>
          <w:b/>
          <w:i w:val="0"/>
          <w:strike w:val="0"/>
          <w:noProof w:val="0"/>
          <w:color w:val="000000"/>
          <w:position w:val="0"/>
          <w:sz w:val="18"/>
          <w:u w:val="none"/>
          <w:vertAlign w:val="baseline"/>
        </w:rPr>
        <w:t>intended to afford a healthy safeguard against discrimination of workmen in the matter of retrenchment</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Swadesamitran Ltd v. Their Workmen, AIR, </w:t>
      </w:r>
      <w:r>
        <w:rPr>
          <w:rFonts w:ascii="arial" w:eastAsia="arial" w:hAnsi="arial" w:cs="arial"/>
          <w:b w:val="0"/>
          <w:i w:val="0"/>
          <w:strike w:val="0"/>
          <w:noProof w:val="0"/>
          <w:color w:val="000000"/>
          <w:position w:val="0"/>
          <w:sz w:val="18"/>
          <w:u w:val="none"/>
          <w:vertAlign w:val="baseline"/>
        </w:rPr>
        <w:t xml:space="preserve">1960 (SC) 762]. Explaining this principle, in </w:t>
      </w:r>
      <w:r>
        <w:rPr>
          <w:rFonts w:ascii="arial" w:eastAsia="arial" w:hAnsi="arial" w:cs="arial"/>
          <w:b w:val="0"/>
          <w:i/>
          <w:strike w:val="0"/>
          <w:noProof w:val="0"/>
          <w:color w:val="000000"/>
          <w:position w:val="0"/>
          <w:sz w:val="18"/>
          <w:u w:val="none"/>
          <w:vertAlign w:val="baseline"/>
        </w:rPr>
        <w:t>Workmen of Sudder Workshop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Jorehaut Tea Co Ltd v. The Management of Jorehaut Tea Co Ltd, AIR 1980, SC 1454 </w:t>
      </w:r>
      <w:r>
        <w:rPr>
          <w:rFonts w:ascii="arial" w:eastAsia="arial" w:hAnsi="arial" w:cs="arial"/>
          <w:b w:val="0"/>
          <w:i w:val="0"/>
          <w:strike w:val="0"/>
          <w:noProof w:val="0"/>
          <w:color w:val="000000"/>
          <w:position w:val="0"/>
          <w:sz w:val="18"/>
          <w:u w:val="none"/>
          <w:vertAlign w:val="baseline"/>
        </w:rPr>
        <w:t>, the Supreme Court said: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The rule is that the employer shall retrench the workman who came last, first, popularly known as ‘last come first go’.</w:t>
      </w:r>
      <w:r>
        <w:t>
</w:t>
      </w:r>
    </w:p>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[14]</w:t>
      </w:r>
      <w:r>
        <w:rPr>
          <w:rFonts w:ascii="arial" w:eastAsia="arial" w:hAnsi="arial" w:cs="arial"/>
          <w:b w:val="0"/>
          <w:i w:val="0"/>
          <w:strike w:val="0"/>
          <w:noProof w:val="0"/>
          <w:color w:val="000000"/>
          <w:position w:val="0"/>
          <w:sz w:val="18"/>
          <w:u w:val="none"/>
          <w:vertAlign w:val="baseline"/>
        </w:rPr>
        <w:t xml:space="preserve"> It is well-established and accepted in Industrial law that in effecting retrenchment, </w:t>
      </w:r>
      <w:r>
        <w:rPr>
          <w:rFonts w:ascii="arial" w:eastAsia="arial" w:hAnsi="arial" w:cs="arial"/>
          <w:b/>
          <w:i w:val="0"/>
          <w:strike w:val="0"/>
          <w:noProof w:val="0"/>
          <w:color w:val="000000"/>
          <w:position w:val="0"/>
          <w:sz w:val="18"/>
          <w:u w:val="none"/>
          <w:vertAlign w:val="baseline"/>
        </w:rPr>
        <w:t>an employer should comply with the principle of last in first out unless there are some valid reasons for departure</w:t>
      </w:r>
      <w:r>
        <w:rPr>
          <w:rFonts w:ascii="arial" w:eastAsia="arial" w:hAnsi="arial" w:cs="arial"/>
          <w:b w:val="0"/>
          <w:i w:val="0"/>
          <w:strike w:val="0"/>
          <w:noProof w:val="0"/>
          <w:color w:val="000000"/>
          <w:position w:val="0"/>
          <w:sz w:val="18"/>
          <w:u w:val="none"/>
          <w:vertAlign w:val="baseline"/>
        </w:rPr>
        <w:t xml:space="preserve"> [see</w:t>
      </w:r>
      <w:r>
        <w:rPr>
          <w:rFonts w:ascii="arial" w:eastAsia="arial" w:hAnsi="arial" w:cs="arial"/>
          <w:b w:val="0"/>
          <w:i/>
          <w:strike w:val="0"/>
          <w:noProof w:val="0"/>
          <w:color w:val="000000"/>
          <w:position w:val="0"/>
          <w:sz w:val="18"/>
          <w:u w:val="none"/>
          <w:vertAlign w:val="baseline"/>
        </w:rPr>
        <w:t xml:space="preserve"> Firex Sdn Bhd v. Ng Shoo Waa </w:t>
      </w:r>
      <w:r>
        <w:rPr>
          <w:rFonts w:ascii="arial" w:eastAsia="arial" w:hAnsi="arial" w:cs="arial"/>
          <w:b w:val="0"/>
          <w:i w:val="0"/>
          <w:strike w:val="0"/>
          <w:noProof w:val="0"/>
          <w:color w:val="000000"/>
          <w:position w:val="0"/>
          <w:sz w:val="18"/>
          <w:u w:val="none"/>
          <w:vertAlign w:val="baseline"/>
        </w:rPr>
        <w:t>[1990] 1 ILR 226]</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strike w:val="0"/>
          <w:noProof w:val="0"/>
          <w:color w:val="000000"/>
          <w:position w:val="0"/>
          <w:sz w:val="18"/>
          <w:u w:val="none"/>
          <w:vertAlign w:val="baseline"/>
        </w:rPr>
        <w:t xml:space="preserve">Om Oil and Oil Seeds Exchange Ltd Delhi v. Their Workmen, </w:t>
      </w:r>
      <w:r>
        <w:rPr>
          <w:rFonts w:ascii="arial" w:eastAsia="arial" w:hAnsi="arial" w:cs="arial"/>
          <w:b w:val="0"/>
          <w:i w:val="0"/>
          <w:strike w:val="0"/>
          <w:noProof w:val="0"/>
          <w:color w:val="000000"/>
          <w:position w:val="0"/>
          <w:sz w:val="18"/>
          <w:u w:val="none"/>
          <w:vertAlign w:val="baseline"/>
        </w:rPr>
        <w:t>1966 AIR (SC) 1657, the Supreme Court said: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(3) It is an accepted principle of industrial law that in ordering retrenchment ordinarily the management should commence with the latest recruit, and progressively retrench employees higher up in the list of seniority. But the rule is not immutable, and for valid reasons may be departed from. It was observed by this Court in </w:t>
      </w:r>
      <w:r>
        <w:rPr>
          <w:rFonts w:ascii="arial" w:eastAsia="arial" w:hAnsi="arial" w:cs="arial"/>
          <w:b w:val="0"/>
          <w:i/>
          <w:strike w:val="0"/>
          <w:noProof w:val="0"/>
          <w:color w:val="000000"/>
          <w:position w:val="0"/>
          <w:sz w:val="18"/>
          <w:u w:val="none"/>
          <w:vertAlign w:val="baseline"/>
        </w:rPr>
        <w:t xml:space="preserve">Swadesamitran Ltd., Madras v. Their Workmen, </w:t>
      </w:r>
      <w:r>
        <w:rPr>
          <w:rFonts w:ascii="arial" w:eastAsia="arial" w:hAnsi="arial" w:cs="arial"/>
          <w:b w:val="0"/>
          <w:i w:val="0"/>
          <w:strike w:val="0"/>
          <w:noProof w:val="0"/>
          <w:color w:val="000000"/>
          <w:position w:val="0"/>
          <w:sz w:val="18"/>
          <w:u w:val="none"/>
          <w:vertAlign w:val="baseline"/>
        </w:rPr>
        <w:t xml:space="preserve">1960-1 Lab LJ 504: (AIR; 1960 SC 762), that if a case for retrenchment is made out, </w:t>
      </w:r>
      <w:r>
        <w:rPr>
          <w:rFonts w:ascii="arial" w:eastAsia="arial" w:hAnsi="arial" w:cs="arial"/>
          <w:b/>
          <w:i w:val="0"/>
          <w:strike w:val="0"/>
          <w:noProof w:val="0"/>
          <w:color w:val="000000"/>
          <w:position w:val="0"/>
          <w:sz w:val="18"/>
          <w:u w:val="none"/>
          <w:vertAlign w:val="baseline"/>
        </w:rPr>
        <w:t>it would normally be for the employer to decide which of the employees should be retrenched; but there can be no doubt that the ordinary industrial rule of retrenchment is “first come, last go” and where other things are equal, this rule has to be followed by the employer in effecting retrenchment.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The Court has emphasised some portions of the judgment above which are relevant to this case. The Claimant’s representative has claimed that LIFO should be applied, whilst the Company said that it had valid reasons to depart from the principle. Similarly in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the Court notes that the Federal Court above, said “...where other things are equal...”. This connotes that a prerequisite is that LIFO should only be used when there is equilibrium between the employees that are being considered for retrenchment. Based on that understanding, the Court understands the stand taken by the Company in that the employees were not equal.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The Court notes that the Company’s actions in dealing with the third question on redundancy also fulfils the requirements in LIFO. The performance ratings had graded the employees is evidence that the employees were not equal. The Company had used these criteria to ascertain whether the Claimant was best fit of the Company. The Court believes that the Company had successfully proven that the Claimant did not fulfil the said criteria and is acceptable to the principles above. As such in this case LIFO was not an issue.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Besides the issues above, there is also the issue of the Code of Conduct of Industrial Harmony (“Code”). The Court is aware of the different views on both sides namely the Court of Appeal cases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 xml:space="preserve">[2012] 1 LNS 1296 and </w:t>
      </w:r>
      <w:r>
        <w:rPr>
          <w:rFonts w:ascii="arial" w:eastAsia="arial" w:hAnsi="arial" w:cs="arial"/>
          <w:b w:val="0"/>
          <w:i/>
          <w:strike w:val="0"/>
          <w:noProof w:val="0"/>
          <w:color w:val="000000"/>
          <w:position w:val="0"/>
          <w:sz w:val="24"/>
          <w:u w:val="none"/>
          <w:vertAlign w:val="baseline"/>
        </w:rPr>
        <w:t xml:space="preserve">Ng Chong Seng v Technip Geoproduction (M) Sdn Bhd &amp; Anor </w:t>
      </w:r>
      <w:r>
        <w:rPr>
          <w:rFonts w:ascii="arial" w:eastAsia="arial" w:hAnsi="arial" w:cs="arial"/>
          <w:b w:val="0"/>
          <w:i w:val="0"/>
          <w:strike w:val="0"/>
          <w:noProof w:val="0"/>
          <w:color w:val="000000"/>
          <w:position w:val="0"/>
          <w:sz w:val="24"/>
          <w:u w:val="none"/>
          <w:vertAlign w:val="baseline"/>
        </w:rPr>
        <w:t xml:space="preserve">[2021] 1 MLJ 447. These are two very distinct cases and decisions, one where the Code is binding and another where the Code is not binding. The Court has stated in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that the latest case had stated it is binding and this Court is bound by the precedent set. This would mean that the Code is binding, by extension on all the parties in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Referring to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and the Code, there were specific relevant articles from the Code, which this Court will not repeat. Suffice to state that as stated in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illustrates that the provisions are persuasive and more of a guideline. Nonetheless, taking the Court of Appeal decision of </w:t>
      </w:r>
      <w:r>
        <w:rPr>
          <w:rFonts w:ascii="arial" w:eastAsia="arial" w:hAnsi="arial" w:cs="arial"/>
          <w:b/>
          <w:i/>
          <w:strike w:val="0"/>
          <w:noProof w:val="0"/>
          <w:color w:val="000000"/>
          <w:position w:val="0"/>
          <w:sz w:val="24"/>
          <w:u w:val="none"/>
          <w:vertAlign w:val="baseline"/>
        </w:rPr>
        <w:t>Ng Chong Seng,</w:t>
      </w:r>
      <w:r>
        <w:rPr>
          <w:rFonts w:ascii="arial" w:eastAsia="arial" w:hAnsi="arial" w:cs="arial"/>
          <w:b w:val="0"/>
          <w:i w:val="0"/>
          <w:strike w:val="0"/>
          <w:noProof w:val="0"/>
          <w:color w:val="000000"/>
          <w:position w:val="0"/>
          <w:sz w:val="24"/>
          <w:u w:val="none"/>
          <w:vertAlign w:val="baseline"/>
        </w:rPr>
        <w:t xml:space="preserve"> this Court is of the opinion that the Code is binding but the application is based on the capacity and capability of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The Court agrees that the Company has already stated earlier above that it is not using the LIFO principle and instead using the best fit concept. The other issue raised regarding the early information, again this Court believes has been fulfilled. This can be seen where the Company had tried to cushion the impact of the information over a period of several months.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Based on the above and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the Court is of the belief that the Company has sufficiently shown that its actions were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Despite the fact that the actions of the Company may seem to be contradictory to the Code, it has tried to be fair to its employees. All the employees within the same category were treated and measured using the same yardstick. There was no singling out, discriminating or focusing on certain posts or employees.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The other issues raised that was similar to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is the promise of re-engagement by Air Asia Group CEO is not a matter within this Court’s jurisdiction. This was referred to by the Claimant and supported by the relevant newspaper article stating the same. This was also a part of the Code which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23. Employees, who are retrenched, should be given priority of engagement/re-engagement, as far as is possible, by the employer when he engages workers.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The promises of the Group CEO was merely an extension of a compulsory Code to be followed by both employers and employees. However, as stated in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should the Claimant intend to proceed with legal proceedings to invoke the right, a separate suit should be initiated in the relevant Court. The duty of this Court ends once it was determined whether the termination was done with just cause and excuse as well as any other relief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remedy allowed by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is reinstatement and re-engagement.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All the above facts were weighted in when this Court deliberated this Award. The Court is also aware that the obligations placed on it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being a social legislation to assist the workers, but it must be balanced the requirements of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So, the above are where all the same issues were similar in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case. The Court has, after construing several cases of similar ilk, considered the entire termination of the Claimant in this case and both the cases of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val="0"/>
          <w:strike w:val="0"/>
          <w:noProof w:val="0"/>
          <w:color w:val="000000"/>
          <w:position w:val="0"/>
          <w:sz w:val="24"/>
          <w:u w:val="none"/>
          <w:vertAlign w:val="baseline"/>
        </w:rPr>
        <w:t>Award No. 2173 of 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The Court must also acknowledge the fact that the Company had also referred to the</w:t>
      </w:r>
      <w:r>
        <w:rPr>
          <w:rFonts w:ascii="arial" w:eastAsia="arial" w:hAnsi="arial" w:cs="arial"/>
          <w:b w:val="0"/>
          <w:i w:val="0"/>
          <w:strike w:val="0"/>
          <w:noProof w:val="0"/>
          <w:color w:val="000000"/>
          <w:position w:val="0"/>
          <w:sz w:val="24"/>
          <w:u w:val="single"/>
          <w:vertAlign w:val="baseline"/>
        </w:rPr>
        <w:t xml:space="preserve"> Employment (Termination and Lay-Offs Benefits) Regulations 1980</w:t>
      </w:r>
      <w:r>
        <w:rPr>
          <w:rFonts w:ascii="arial" w:eastAsia="arial" w:hAnsi="arial" w:cs="arial"/>
          <w:b w:val="0"/>
          <w:i w:val="0"/>
          <w:strike w:val="0"/>
          <w:noProof w:val="0"/>
          <w:color w:val="000000"/>
          <w:position w:val="0"/>
          <w:sz w:val="24"/>
          <w:u w:val="none"/>
          <w:vertAlign w:val="baseline"/>
        </w:rPr>
        <w:t xml:space="preserve"> PU (A) 278/80. This consideration is in line with this Court’s view on this matter and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[2012] 1 LNS 1296 which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“[19]</w:t>
      </w:r>
      <w:r>
        <w:rPr>
          <w:rFonts w:ascii="arial" w:eastAsia="arial" w:hAnsi="arial" w:cs="arial"/>
          <w:b w:val="0"/>
          <w:i w:val="0"/>
          <w:strike w:val="0"/>
          <w:noProof w:val="0"/>
          <w:color w:val="000000"/>
          <w:position w:val="0"/>
          <w:sz w:val="18"/>
          <w:u w:val="none"/>
          <w:vertAlign w:val="baseline"/>
        </w:rPr>
        <w:t xml:space="preserve"> We say so because a compensation of back wages is based on the underlying principle envisaged under the</w:t>
      </w:r>
      <w:r>
        <w:rPr>
          <w:rFonts w:ascii="arial" w:eastAsia="arial" w:hAnsi="arial" w:cs="arial"/>
          <w:b w:val="0"/>
          <w:i w:val="0"/>
          <w:strike w:val="0"/>
          <w:noProof w:val="0"/>
          <w:color w:val="000000"/>
          <w:position w:val="0"/>
          <w:sz w:val="18"/>
          <w:u w:val="single"/>
          <w:vertAlign w:val="baseline"/>
        </w:rPr>
        <w:t xml:space="preserve"> Employment (Termination and Lay-Offs Benefits) Regulations 1980,</w:t>
      </w:r>
      <w:r>
        <w:rPr>
          <w:rFonts w:ascii="arial" w:eastAsia="arial" w:hAnsi="arial" w:cs="arial"/>
          <w:b w:val="0"/>
          <w:i w:val="0"/>
          <w:strike w:val="0"/>
          <w:noProof w:val="0"/>
          <w:color w:val="000000"/>
          <w:position w:val="0"/>
          <w:sz w:val="18"/>
          <w:u w:val="none"/>
          <w:vertAlign w:val="baseline"/>
        </w:rPr>
        <w:t xml:space="preserve"> made under the</w:t>
      </w:r>
      <w:r>
        <w:rPr>
          <w:rFonts w:ascii="arial" w:eastAsia="arial" w:hAnsi="arial" w:cs="arial"/>
          <w:b w:val="0"/>
          <w:i w:val="0"/>
          <w:strike w:val="0"/>
          <w:noProof w:val="0"/>
          <w:color w:val="000000"/>
          <w:position w:val="0"/>
          <w:sz w:val="18"/>
          <w:u w:val="single"/>
          <w:vertAlign w:val="baseline"/>
        </w:rPr>
        <w:t xml:space="preserve">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The</w:t>
      </w:r>
      <w:r>
        <w:rPr>
          <w:rFonts w:ascii="arial" w:eastAsia="arial" w:hAnsi="arial" w:cs="arial"/>
          <w:b w:val="0"/>
          <w:i w:val="0"/>
          <w:strike w:val="0"/>
          <w:noProof w:val="0"/>
          <w:color w:val="000000"/>
          <w:position w:val="0"/>
          <w:sz w:val="18"/>
          <w:u w:val="single"/>
          <w:vertAlign w:val="baseline"/>
        </w:rPr>
        <w:t xml:space="preserve">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is not applicable to the respondent, he not being an employee with less than RM2,000 salary per month. Even under the Regulations, a person employed more than one year would be entitled to ten days wages for one year of service. For others, it would depend on his contract of employment or in a case of unionised employee the term of their respective collective agreements. A standard industry labour practice is to compensate the retrenched employee with a salary of one month to one year of service. The compensation granted in this case far exceeded any of these.”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The above clearly provides that the</w:t>
      </w:r>
      <w:r>
        <w:rPr>
          <w:rFonts w:ascii="arial" w:eastAsia="arial" w:hAnsi="arial" w:cs="arial"/>
          <w:b w:val="0"/>
          <w:i w:val="0"/>
          <w:strike w:val="0"/>
          <w:noProof w:val="0"/>
          <w:color w:val="000000"/>
          <w:position w:val="0"/>
          <w:sz w:val="24"/>
          <w:u w:val="single"/>
          <w:vertAlign w:val="baseline"/>
        </w:rPr>
        <w:t xml:space="preserve"> Employment (Termination and Lay-Offs Benefits) Regulations 1980</w:t>
      </w:r>
      <w:r>
        <w:rPr>
          <w:rFonts w:ascii="arial" w:eastAsia="arial" w:hAnsi="arial" w:cs="arial"/>
          <w:b w:val="0"/>
          <w:i w:val="0"/>
          <w:strike w:val="0"/>
          <w:noProof w:val="0"/>
          <w:color w:val="000000"/>
          <w:position w:val="0"/>
          <w:sz w:val="24"/>
          <w:u w:val="none"/>
          <w:vertAlign w:val="baseline"/>
        </w:rPr>
        <w:t xml:space="preserve"> PU (A) 278/80 was applicable, notwithstanding the Practice Direction made by the President of the Industrial Court. The law referred to above is not specifically within the purview of the Industrial Court but one, where the Court should consider based on the case law above and subsection 30(6)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Subsection 30(6)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allows the Court to consider any matter or thing which it thinks necessary or expedient for the purpose of settling the trade dispute or the reference to it under subsection 20(3). This enabling clause applies to this Court and gives it authority to refer to other laws.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xml:space="preserve">  This illustrates that the Company had gone the extra mile on this matter. Despite the social nature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the Court must follow the law and in this case there are no laws providing for the any recompense for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Therefore, based on all the factors above,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namely equity, good conscience and substantial merits of the case without regard to technicalities and legal form and all the evidence adduced in this Court, on the balance of probabilities this Court finds the Company had done enough to show that there was redundancy and that the retrenchment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and the Claimant’s case is struck off.</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Muhammad Fariq bin Rosli v Airasia X Bhd  [2024] ILJU 386</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Fariq bin Rosli v Airasia X Bhd  [2024] ILJU 386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4X-3403-MB84-616P-00000-00">
    <vt:lpwstr>Doc::/shared/document|contextualFeaturePermID::1522468</vt:lpwstr>
  </property>
  <property fmtid="{D5CDD505-2E9C-101B-9397-08002B2CF9AE}" pid="4" name="LNDeliveryID">
    <vt:lpwstr>286221414</vt:lpwstr>
  </property>
  <property fmtid="{D5CDD505-2E9C-101B-9397-08002B2CF9AE}" pid="5" name="UserPermID">
    <vt:lpwstr>urn:user:PA196491919</vt:lpwstr>
  </property>
</Properties>
</file>