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Muhammad bin Abdullah v Exxonmobil Exploration Andproduction Malaysia Inc  [2024] ILJU 314</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988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4 July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The claimant self-represented.</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Sharifullah bin Majeed (with Arissa Ahrom) (Lee Hishammuddin Allen &amp; Gledhill)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ur Fauzah Mokhtar C"/>
            <w:bookmarkEnd w:id="1"/>
            <w:r>
              <w:rPr>
                <w:rFonts w:ascii="arial" w:eastAsia="arial" w:hAnsi="arial" w:cs="arial"/>
                <w:b/>
                <w:i w:val="0"/>
                <w:strike w:val="0"/>
                <w:noProof w:val="0"/>
                <w:color w:val="000000"/>
                <w:position w:val="0"/>
                <w:sz w:val="30"/>
                <w:u w:val="none"/>
                <w:vertAlign w:val="baseline"/>
              </w:rPr>
              <w:t>Nur Fauzah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single"/>
          <w:vertAlign w:val="baseline"/>
        </w:rPr>
        <w:t>REFERENCE</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Director General for Industrial Relations to the Industrial Court of Malaysia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MUHAMMAD BIN ABDULLAH</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EXXONMOBIL EXPLORATION AND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PRODUCTION MALAYSIA INC</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21st January 2022</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Claimant was initially represented by a Legal Counsel from Messrs Engku Aminuddin &amp; Co. The said Legal Counsel had filed the Statement of Case and Rejoinder on behalf of the Claimant as directed by this Court. However, on the first day of hearing i.e. 21st June 2023, this Court was informed that the Claimant had elected to discharge the said Legal Counsel and opt for the right to self-representation in the legal proceedings.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Following thereto, having confirmed the same with the Claimant, this Court proceeded to hear the case on 21st June 2023. The hearing concluded on 26th October 2023. The Company called three (3) witnesses i.e. Eyza Farizan Mokhtar (“COW-1”), Ahmad Raihan Daud (“COW-2”) and Dr. Rozhan Sharif Mohamed Radzi (“COW-3”). The Claimant gave evidence under oath and was further supported by the evidence given by Dr. Manimalar Selvi Naicker (“CLW- 2”).</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Witness Statement of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(“CLWS1”);</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CLW-2 (“CLWS2”);</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(“COWS1”);</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(“COWS2”); and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COW-3 (“COWS3”);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11th September 2022;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3rd October 2022;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11th October 2022;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Bundles of Documents marked as CLB1, CLB2, CLB3, CLB4 and CLB5;</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 COB2, COB3 and COB4;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4th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4th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8th January 2024;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Rebuttal dated 8th January 2024.</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his employment with the Company in April 2014 2002 as a Technician in the Operations Department with a starting basic salary of RM2,500.00 per month as well as training allowance of RM500.00 per month during basic training. The Training allowance would then be replaced with an offshore allowance of RM1,750.00 per month. These monetary payments as well as other expressed conditions of the Claimant’s employment are stipulated in the letter of Employment Offer dated 9th December 2013 (“Letter of Offer”) which was duly accepted by the Claimant on 25th December 2013;</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Letter of Offer further stipulates that the Claimant was also required to undergo a probation period of six (6) months which would commence upon the completion of the Claimant’s basic training programme at INSTEP;</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Letter of Offer, the Claimant was to be based at the Company’s Offshore Platforms in Terengganu. The Claimant was later assigned to work at the Company’s OUG Platform known as Lawit-A as a Mechanical Technician;</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also required to sign an Intellectual Property Agreement, which he duly signed on 25th December 2013, whereby the effective date of the said agreement is the date the Claimant commences employment with the Company;</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last drawn basic monthly salary was RM5,266.00. At that point of time, the Claimant was also entitled to a fixed transportation allowances amounting to RM150.00, offshore allowances amounting to RM2,123.00 and crew change by boat allowances amounting to RM875.00; and</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dismissed from his employment on 21 st January 2022 as per the Company’s Termination of Employment letter (“Termination Letter”) dated the same day.</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avers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the Claimant’s tenure of seven (7) years and ten (10) months with the Company, the Claimant was a good employee, without any disciplinary problem or health issues;</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his work performance, throughout his tenure he has been making good improvement based on the performance evaluation review whereby he received Ranking 3 for the first job performance evaluation, then rising to Ranking 2 and also Ranking 1. The results of his latest work performance evaluation (August 2020 – July 2021) i.e. prior to his termination, was not communicated to him;</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August 2021, he was informed about the Company’s new rules regarding the need to be fully vaccinated against COVID-19 to access the Company’s facilities. In relation thereto, the Claimant informed the Company’s representative that he did not intent to get vaccinated; and</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discussions between the Claimant and the representatives of the Company’s management then took place on August 2021. Subsequent to the said discussions, the Company issued him the Termination Letter.</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further avers as follows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5th August 2021, the Company’s representative and also the Person in Charge, one Mohd Baharudeen Abd Karim, informed the Claimant via WhatsApp that new rules for offshore mobilization will be enforced on a date to be announced later. According to Mohd Baharudeen Abd Karim, from mid-August 2021, only individuals who have received a minimum of one dose of COVID-19 vaccine will be allowed to go offshore and from mid-September 2021 only individuals who have completed two doses of the said vaccine will be allowed for offshore mobilisation;</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22nd August 2021, the Company’s Maintenance Supervisor, one Puvendran Sendera Segar, informed the Claimant via WhatsApp that his offshore mobilisation has been put on hold following discussions with the management. This would remain until the Company’s Human Resource and legal team are able to engage with the Claimant as regards the way forward;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25th August 2021, the Claimant contacted Puvendran Sendera Segar to inquire whether official communication has been issued by the Company regarding the new COVID-19 vaccination requirements and was informed that no official communication has been issued relating to the same. Puvendran Sendera Segar also advised the Claimant to contact one Arzizi Abdul Rahman, Person-In-Charge North Gas / Lawit-A, for more information;</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27th August 2021 the Claimant received official communication from the Company regarding the COVID-19 Vaccination Requirement for access to Offshore (and related) Facilities, whereby, the official communication states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…COVID-19 full vaccination will be part of Company requirement [sic] for all personnel entering ExxonMobil- operated offshore facilities, transport, and onshore facilities supporting offshore operations, like Kemaman Supply Base and Pulau Duyong Jetty Terminal…</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sent an email to Arzizi Abdul Rahman on 30th August 2021 seeking an explanation regarding the work suspension status that has been imposed on him. Arzizi Abdul Rahman replied vide email on the same day and reiterated the Company’s official communication which had been conveyed on 27th August 2021;</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subsequent thereto, on 31st August 2021 the Claimant forwarded an email to the Company’s North Gas Asset Manager (Lawit &amp; Jerneh), one Ahmad Raihan Daud i.e. COW-2, informing his concerns regarding the vaccination requirement and enclosing a letter from his counsel i.e. </w:t>
      </w:r>
      <w:r>
        <w:rPr>
          <w:rFonts w:ascii="arial" w:eastAsia="arial" w:hAnsi="arial" w:cs="arial"/>
          <w:b w:val="0"/>
          <w:i/>
          <w:strike w:val="0"/>
          <w:noProof w:val="0"/>
          <w:color w:val="000000"/>
          <w:position w:val="0"/>
          <w:sz w:val="24"/>
          <w:u w:val="none"/>
          <w:vertAlign w:val="baseline"/>
        </w:rPr>
        <w:t>“Notis Penolakan Untuk Menerima Suntikan Vaksin COVID-19”</w:t>
      </w:r>
      <w:r>
        <w:rPr>
          <w:rFonts w:ascii="arial" w:eastAsia="arial" w:hAnsi="arial" w:cs="arial"/>
          <w:b w:val="0"/>
          <w:i w:val="0"/>
          <w:strike w:val="0"/>
          <w:noProof w:val="0"/>
          <w:color w:val="000000"/>
          <w:position w:val="0"/>
          <w:sz w:val="24"/>
          <w:u w:val="none"/>
          <w:vertAlign w:val="baseline"/>
        </w:rPr>
        <w:t xml:space="preserve"> (“Notice of Refusal to Vaccinate”). The Notice of Refusal to Vaccinate basically states that the Claimant has the right not to take the COVID-19 vaccine, an experimental vaccine, for various reasons especially for his personal health and safety;</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COW-2 informed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email dated 7th September 2021 that the matter has been referred to the Company’s Human Resource and legal team as it involves the Company’s compliance with PETRONAS’ </w:t>
      </w:r>
      <w:r>
        <w:rPr>
          <w:rFonts w:ascii="arial" w:eastAsia="arial" w:hAnsi="arial" w:cs="arial"/>
          <w:b w:val="0"/>
          <w:i/>
          <w:strike w:val="0"/>
          <w:noProof w:val="0"/>
          <w:color w:val="000000"/>
          <w:position w:val="0"/>
          <w:sz w:val="24"/>
          <w:u w:val="none"/>
          <w:vertAlign w:val="baseline"/>
        </w:rPr>
        <w:t>“Green Bubble”</w:t>
      </w:r>
      <w:r>
        <w:rPr>
          <w:rFonts w:ascii="arial" w:eastAsia="arial" w:hAnsi="arial" w:cs="arial"/>
          <w:b w:val="0"/>
          <w:i w:val="0"/>
          <w:strike w:val="0"/>
          <w:noProof w:val="0"/>
          <w:color w:val="000000"/>
          <w:position w:val="0"/>
          <w:sz w:val="24"/>
          <w:u w:val="none"/>
          <w:vertAlign w:val="baseline"/>
        </w:rPr>
        <w:t xml:space="preserve"> Requirement;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15th September 2021 COW-2 forwarded an email to the Claimant enclosing a letter in reply in response to the Claimant’s email dated 31st August 2021, which basically provided the explanation regarding </w:t>
      </w:r>
      <w:r>
        <w:rPr>
          <w:rFonts w:ascii="arial" w:eastAsia="arial" w:hAnsi="arial" w:cs="arial"/>
          <w:b w:val="0"/>
          <w:i/>
          <w:strike w:val="0"/>
          <w:noProof w:val="0"/>
          <w:color w:val="000000"/>
          <w:position w:val="0"/>
          <w:sz w:val="24"/>
          <w:u w:val="none"/>
          <w:vertAlign w:val="baseline"/>
        </w:rPr>
        <w:t>the COVID-19 Full Vaccination Requirement</w:t>
      </w:r>
      <w:r>
        <w:rPr>
          <w:rFonts w:ascii="arial" w:eastAsia="arial" w:hAnsi="arial" w:cs="arial"/>
          <w:b w:val="0"/>
          <w:i w:val="0"/>
          <w:strike w:val="0"/>
          <w:noProof w:val="0"/>
          <w:color w:val="000000"/>
          <w:position w:val="0"/>
          <w:sz w:val="24"/>
          <w:u w:val="none"/>
          <w:vertAlign w:val="baseline"/>
        </w:rPr>
        <w:t xml:space="preserve">. The said letter also stated that the requirement was in line with,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PETRONAS’ requirement as the industry regulator for 100% full vaccination in the Upstream Oil and Gas Industry in Malaysia by 1st October 2021;</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then forwarded his reply vide letter dated 19th September 2021 stating that he is willing to comply with the Company’s wishes to take the experimental vaccine subject to the Company’s explanation of the matters raised in the Claimant’s letter of Notice of Refusal to Vaccinate. The Claimant had also requested that the Company provide a copy of PETRONAS’ requirement;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4th October 2021, an online discussion was held involving the Claimant, COW-2, representative from the Company’s Law Department, representative for the Company’s Human Resources Department and the Company’s Medical and Occupational Health Department, one Dr Rozhan Shariff Mohamed Radzi. During the said online discussion, the Claimant was informed that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not able to provide the Claimant with a copy PETRONAS’ requirement as it was confidential; and</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vaccination was important to ensure the safety of other personnel;</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subsequent thereto, a telecommunication was held between the Claimant and COW-2 on 8th October 2021 whereby the Claimant was informed vide letter dated the same day that his movement offshore has been postponed until 30th October 2021 to allow him time to get vaccinated. The Claimant was also informed that he will not be given his offshore allowance and transport allowance until further notice;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vide e-mail dated 13th October 2021, sought the Company’s written response to his letter of Notice of Refusal to Vaccinate;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further communications were held between the Claimant and the Company as follows:</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e-mail from COW-2 dated 14th October 2021 stating that the Claimant could contact Dr Rozhan Shariff Mohamed Radzi regarding any concerns or issues raised by the Claimant;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e-mail from the Claimant dated 18th October 2021 seeking the Company’s written response to his letter of Notice of Refusal to Vaccinate;</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e-mail from COW-2 dated 22nd October 2021 stating that the Vaccination Program was run by the Government through the Covid19 Immunization Task Force (CITF) and for the Claimant to personally contact the CITF of the Ministry of Health Malaysia or any Healthcare Facility relating to the same;</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e-mail from the Claimant dated 24th October 2021 stating that the Vaccination Program was voluntary and requested the Company to provide its justification in imposing the requirement to be vaccinated;</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e-mail from COW-2 dated 29th October 2021 attaching the document of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which could provide the answers to the concerns and issues raised by the Claimant. The Claimant was also given until 8th November 2021 to provide his reply as to whether he would comply with Company’s vaccination requirement; and</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e-mail from the Claimant dated 8th November 2021 regarding his refusal to be vaccinated due to his concerns as regards the safety of the vaccine;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a telecommunication was held on 7 th December 2021 between the Claimant and COW-2 whereby a show cause letter was read to the Claimant and a copy of the said letter was also forwarded to the Claimant vide e-mail on the same day. The show cause letter alleged that the Claimant’s conduct in refusing to be vaccinated and failure to report for duty on his scheduled hitch commencement date of 9 th November 2021 amounted to misconduct and insubordination and the Claimant was given until 10th December 2021 to provide his written explanation. The Claimant replied to the show cause letter on 10th December 2021; and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21st January 2022 another telecommunication was held between the Claimant and COW-2 and during the said telecommunication a letter of termination dated the same day was read to the Claimant whereby the Claimant was terminated with immediate effect.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 also avers as follows –</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his reply to the show cause letter, he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Annex 48 document is a document produced for the reference of those with a medical background, not for individuals like him. Mistakes could happen if he himself were to interpret the information from the document. The Claimant had raised the issues of interpreting Annex 48 to COW-2 in his reply but the Company failed to address the issues. As such, the Company had abandoned its responsibilities in providing to the Claimant all the important information necessary for the Claimant to make his decision;</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the Company’s decision in preventing him from carrying out his duties as the Company had required complete vaccination as a new condition to access offshore, onshore, and transportation facilities;</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vaccination requirement did not coincide with the law as well as violated his right to freely choose any medical-related matter and poses a threat to his safety and health; and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the Company did not express its objection to all the views contained in the Claimant’s letter of Notice of Refusal to Vaccinate, he has decided that the safest option he has at that time was to choose not to get vaccinated;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without holding a domestic inquiry proceeded to issue a termination letter dated 21st January 2022 against the Claimant and has deprived the Claimant from the right to be heard which is the essence of principle of natural justice. Thus, the Claimant’s dismissal was improper and perverse;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reasons for the Claimant’s refusal to be vaccinated are as follows: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vaccine would not be able to prevent SARS-COV2 virus infection i.e. the recipient of the vaccine can still be infected with Covid-19 and can also infect other individuals;</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vaccine has the potential to cause side effects (AEFI) as stated in the Consumer Information Leaflet (RIMUP) issued by the National Pharmaceutical Regulatory Agency (NPRA) Malaysia which can cause death;</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vaccine is still in experimental status as stated in RIMUP i.e. its benefits and side effects are not fully known as it is still in the research phase;</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Consent Form for the vaccination clearly states that the recipient will be responsible for the decision to take this experimental vaccine i.e. the recipient will bear all the risks including the side effects. The Company or any other party that forces/pressures/unreasonably influences any individual to receive this experimental vaccine has no responsibility for any adverse effects that may be incurred by the recipient;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consent must be given voluntarily and free from any element of pressure, coercion, or undue influence by any party. Such consent should only be given after complete information about the procedures and risks has been informed to the individual before obtaining valid consent from him; and</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vaccination requirement had exceeded the guidelines relating to </w:t>
      </w:r>
      <w:r>
        <w:rPr>
          <w:rFonts w:ascii="arial" w:eastAsia="arial" w:hAnsi="arial" w:cs="arial"/>
          <w:b w:val="0"/>
          <w:i/>
          <w:strike w:val="0"/>
          <w:noProof w:val="0"/>
          <w:color w:val="000000"/>
          <w:position w:val="0"/>
          <w:sz w:val="24"/>
          <w:u w:val="none"/>
          <w:vertAlign w:val="baseline"/>
        </w:rPr>
        <w:t>Crew Change Procedure for Seafarers and Offshore Workers</w:t>
      </w:r>
      <w:r>
        <w:rPr>
          <w:rFonts w:ascii="arial" w:eastAsia="arial" w:hAnsi="arial" w:cs="arial"/>
          <w:b w:val="0"/>
          <w:i w:val="0"/>
          <w:strike w:val="0"/>
          <w:noProof w:val="0"/>
          <w:color w:val="000000"/>
          <w:position w:val="0"/>
          <w:sz w:val="24"/>
          <w:u w:val="none"/>
          <w:vertAlign w:val="baseline"/>
        </w:rPr>
        <w:t xml:space="preserve"> contained under Part E of </w:t>
      </w:r>
      <w:r>
        <w:rPr>
          <w:rFonts w:ascii="arial" w:eastAsia="arial" w:hAnsi="arial" w:cs="arial"/>
          <w:b w:val="0"/>
          <w:i/>
          <w:strike w:val="0"/>
          <w:noProof w:val="0"/>
          <w:color w:val="000000"/>
          <w:position w:val="0"/>
          <w:sz w:val="24"/>
          <w:u w:val="none"/>
          <w:vertAlign w:val="baseline"/>
        </w:rPr>
        <w:t>Annex 9 – Guidelines for Entry Point Screening of Travellers (Screening for Covid-19)</w:t>
      </w:r>
      <w:r>
        <w:rPr>
          <w:rFonts w:ascii="arial" w:eastAsia="arial" w:hAnsi="arial" w:cs="arial"/>
          <w:b w:val="0"/>
          <w:i w:val="0"/>
          <w:strike w:val="0"/>
          <w:noProof w:val="0"/>
          <w:color w:val="000000"/>
          <w:position w:val="0"/>
          <w:sz w:val="24"/>
          <w:u w:val="none"/>
          <w:vertAlign w:val="baseline"/>
        </w:rPr>
        <w:t xml:space="preserve"> issued by the Ministry of Health. The said guidelines have been fully adopted by the Terengganu State Health Department to curb the Covid-19 infection among the petroleum industry players as per the Department’s letter dated 9th December 2021. As stated in the guidelines undergoing the RT-PCR test, quarantine and RT-Ag tests would suffice including for unvaccinated offshore workers. However, this option was never given to the Claimant even though the Claimant was assigned at the Company’s OUG Platform known as Lawit-A located offshore of Terengganu;</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addition to the above, the Covid-19 vaccine was not approved by the US FDA and World Health Organisation as it was only approved for emergency use;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section 15 of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514</w:t>
      </w:r>
      <w:r>
        <w:rPr>
          <w:rFonts w:ascii="arial" w:eastAsia="arial" w:hAnsi="arial" w:cs="arial"/>
          <w:b w:val="0"/>
          <w:i w:val="0"/>
          <w:strike w:val="0"/>
          <w:noProof w:val="0"/>
          <w:color w:val="000000"/>
          <w:position w:val="0"/>
          <w:sz w:val="24"/>
          <w:u w:val="none"/>
          <w:vertAlign w:val="baseline"/>
        </w:rPr>
        <w:t>] does not give the Company the right to force or coerce the Claimant to take the Covid-19 vaccinations;</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had contributed significantly to the Company as follows:</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reducing substantial amount of backlog work orders (PM01 and PM02) as well as performed significantly well as an execution lead by achieving 100% compliance of weekly schedule which resulted in Lawit-A to be among the best in term of yearly job compliance and completion;</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able to identify low quality of power gas as one of the bad actor that cause hydraulic pumps failure in Bintang A&amp;B (satellite platforms) which can cause those platforms to shutdown thus affecting a significant amount of daily gas production from Lawit complex. Rectification was done by identifying the causal factor, ordering the correct part required as well as proposing an improvement maintenance plan for the hydraulic pump;</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proposed changes to improve the procedure to perform Lawit-A Instrument Air Compressor by incorporating Manufacture’s Manual into the company’s procedure making it possible for technicians to perform quality maintenance based on the manufacture’s guideline thus improving work performance; and</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took the initiative to identify one of the causal factors that can cause frequent failure of Lawit-A condensate transfer pump by presenting the bad actor and proposing improvement plan to the respective experts at the workplace. The improvement plan was discussed and executed accordingly;</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High Court decision in the case of </w:t>
      </w:r>
      <w:r>
        <w:rPr>
          <w:rFonts w:ascii="arial" w:eastAsia="arial" w:hAnsi="arial" w:cs="arial"/>
          <w:b w:val="0"/>
          <w:i/>
          <w:strike w:val="0"/>
          <w:noProof w:val="0"/>
          <w:color w:val="000000"/>
          <w:position w:val="0"/>
          <w:sz w:val="24"/>
          <w:u w:val="none"/>
          <w:vertAlign w:val="baseline"/>
        </w:rPr>
        <w:t xml:space="preserve">Clarence Ng Chii Wei &amp; Ors v Menteri Kesihatan &amp; Ors  </w:t>
      </w:r>
      <w:r>
        <w:rPr>
          <w:rFonts w:ascii="arial" w:eastAsia="arial" w:hAnsi="arial" w:cs="arial"/>
          <w:b w:val="0"/>
          <w:i w:val="0"/>
          <w:strike w:val="0"/>
          <w:noProof w:val="0"/>
          <w:color w:val="000000"/>
          <w:position w:val="0"/>
          <w:sz w:val="24"/>
          <w:u w:val="none"/>
          <w:vertAlign w:val="baseline"/>
        </w:rPr>
        <w:t xml:space="preserve">[2022] 1 CLJ 247, the decision regarding the circular directing the implementation of National Immunisation Program for Teenagers aged 12 to 17 and the guideline naming a particular vaccine as the vaccine of choice was voluntary and not mandatory. This is in line with Article 5 of the Federal Constitution and section 8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as well as the Nuremberg Code which explicitly guarantee and give complete freedom to any person to decide the best medical treatment and or medicine to be used to/on a person’s own body;</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any coercion, undue influence, compulsion and discrimination in obtaining consent from any person to be vaccinated is unconstitutional and wrong in law;</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no full disclosure and suppression of facts in the consent form for the vaccination programme as it merely stated that the Covid-19 vaccine is provided to control the spread of Covid-19 and the vaccines may result in mild side-effects and other side-effects that may be reported from time-to-time;</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Vaccine Information Fact Sheet For Recipients About Pfizer-Biontech Covid- 19 Vaccines states that –</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vaccine is approved by FDA for emergency used;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recipient has the choice to receive or not receive the vaccines;</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side effect and allergy that may arise by taking the vaccines include difficulty in breathing, swelling of the face and throat, a fast heartbeat, tiredness, muscle pain and fever; and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abovementioned side effects, “</w:t>
      </w:r>
      <w:r>
        <w:rPr>
          <w:rFonts w:ascii="arial" w:eastAsia="arial" w:hAnsi="arial" w:cs="arial"/>
          <w:b w:val="0"/>
          <w:i/>
          <w:strike w:val="0"/>
          <w:noProof w:val="0"/>
          <w:color w:val="000000"/>
          <w:position w:val="0"/>
          <w:sz w:val="24"/>
          <w:u w:val="none"/>
          <w:vertAlign w:val="baseline"/>
        </w:rPr>
        <w:t>these may not be all the possible side effects of these vaccines. Serious and unexpected side effects may occur. The possible side effects of these vaccines are still being studied</w:t>
      </w:r>
      <w:r>
        <w:rPr>
          <w:rFonts w:ascii="arial" w:eastAsia="arial" w:hAnsi="arial" w:cs="arial"/>
          <w:b w:val="0"/>
          <w:i w:val="0"/>
          <w:strike w:val="0"/>
          <w:noProof w:val="0"/>
          <w:color w:val="000000"/>
          <w:position w:val="0"/>
          <w:sz w:val="24"/>
          <w:u w:val="none"/>
          <w:vertAlign w:val="baseline"/>
        </w:rPr>
        <w:t>”;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section 27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clearly states that </w:t>
      </w:r>
      <w:r>
        <w:rPr>
          <w:rFonts w:ascii="arial" w:eastAsia="arial" w:hAnsi="arial" w:cs="arial"/>
          <w:b w:val="0"/>
          <w:i/>
          <w:strike w:val="0"/>
          <w:noProof w:val="0"/>
          <w:color w:val="000000"/>
          <w:position w:val="0"/>
          <w:sz w:val="24"/>
          <w:u w:val="none"/>
          <w:vertAlign w:val="baseline"/>
        </w:rPr>
        <w:t>“[n]o employer shall dismiss, injure or alter his employee position to his detriment by reason only that the employee makes complaint about a matter which he considers is not safe or is risk to health”</w:t>
      </w:r>
      <w:r>
        <w:rPr>
          <w:rFonts w:ascii="arial" w:eastAsia="arial" w:hAnsi="arial" w:cs="arial"/>
          <w:b w:val="0"/>
          <w:i w:val="0"/>
          <w:strike w:val="0"/>
          <w:noProof w:val="0"/>
          <w:color w:val="000000"/>
          <w:position w:val="0"/>
          <w:sz w:val="24"/>
          <w:u w:val="none"/>
          <w:vertAlign w:val="baseline"/>
        </w:rPr>
        <w:t xml:space="preserve">. As such it is clear that the termination of the Claimant by the Company contravened section 27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Claimant vide his Written Submissions and Submissions in Reply submits as follows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Medical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1971, Code of Professional Conduct 2019 , the Guidelines issued by the Malaysian Medical Council – Consent for Treatment of Patient by Registered Medical Practioner and WMA International Code of Medical Ethichs 2022 generally provide,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no medical procedure or treatment may be undertaken without the consent of the patient and the medical practitioner is required to inform the patient the benefits as well as the possible adverse effects or complications if treatment is not undertaken. Furthermore, the said Guidelines states that</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...every individual is entitled to refuse medical treatment. A legally competent person has a right to choose what occurs with respect to his or her own person. For such persons, the right to refuse treatment exists, regardless of the reasons for making the choice whether they are rational, irrational, unknown or even non-existent...</w:t>
      </w:r>
      <w:r>
        <w:rPr>
          <w:rFonts w:ascii="arial" w:eastAsia="arial" w:hAnsi="arial" w:cs="arial"/>
          <w:b w:val="0"/>
          <w:i w:val="0"/>
          <w:strike w:val="0"/>
          <w:noProof w:val="0"/>
          <w:color w:val="000000"/>
          <w:position w:val="0"/>
          <w:sz w:val="18"/>
          <w:u w:val="none"/>
          <w:vertAlign w:val="baseline"/>
        </w:rPr>
        <w:t xml:space="preserve">”. Similarly, The WMA (World Medical Association) International Code of Medical Ethics provides,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that </w:t>
      </w:r>
      <w:r>
        <w:rPr>
          <w:rFonts w:ascii="arial" w:eastAsia="arial" w:hAnsi="arial" w:cs="arial"/>
          <w:b w:val="0"/>
          <w:i/>
          <w:strike w:val="0"/>
          <w:noProof w:val="0"/>
          <w:color w:val="000000"/>
          <w:position w:val="0"/>
          <w:sz w:val="18"/>
          <w:u w:val="none"/>
          <w:vertAlign w:val="baseline"/>
        </w:rPr>
        <w:t>“A PHYSICIAN SHALL respect a competent patient’s right to accept or refuse treatment”</w:t>
      </w:r>
      <w:r>
        <w:rPr>
          <w:rFonts w:ascii="arial" w:eastAsia="arial" w:hAnsi="arial" w:cs="arial"/>
          <w:b w:val="0"/>
          <w:i w:val="0"/>
          <w:strike w:val="0"/>
          <w:noProof w:val="0"/>
          <w:color w:val="000000"/>
          <w:position w:val="0"/>
          <w:sz w:val="18"/>
          <w:u w:val="none"/>
          <w:vertAlign w:val="baseline"/>
        </w:rPr>
        <w:t>;</w:t>
      </w:r>
      <w:r>
        <w: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the Guidance and Requirements on Conditional Registration of Pharmaceutical Products During Disaster issued by the National Pharmaceutical Regulatory Agency (“NPRA”) in response to the current COVID-19 outbreak, it provides,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w:t>
      </w:r>
      <w:r>
        <w:rPr>
          <w:rFonts w:ascii="arial" w:eastAsia="arial" w:hAnsi="arial" w:cs="arial"/>
          <w:b w:val="0"/>
          <w:i/>
          <w:strike w:val="0"/>
          <w:noProof w:val="0"/>
          <w:color w:val="000000"/>
          <w:position w:val="0"/>
          <w:sz w:val="24"/>
          <w:u w:val="none"/>
          <w:vertAlign w:val="baseline"/>
        </w:rPr>
        <w:t>“[r]ecipients have the option to accept or refuse the administration as this is purely voluntary</w:t>
      </w:r>
      <w:r>
        <w:rPr>
          <w:rFonts w:ascii="arial" w:eastAsia="arial" w:hAnsi="arial" w:cs="arial"/>
          <w:b w:val="0"/>
          <w:i w:val="0"/>
          <w:strike w:val="0"/>
          <w:noProof w:val="0"/>
          <w:color w:val="000000"/>
          <w:position w:val="0"/>
          <w:sz w:val="24"/>
          <w:u w:val="none"/>
          <w:vertAlign w:val="baseline"/>
        </w:rPr>
        <w:t xml:space="preserve">”. A similar notification is found in the </w:t>
      </w:r>
      <w:r>
        <w:rPr>
          <w:rFonts w:ascii="arial" w:eastAsia="arial" w:hAnsi="arial" w:cs="arial"/>
          <w:b w:val="0"/>
          <w:i/>
          <w:strike w:val="0"/>
          <w:noProof w:val="0"/>
          <w:color w:val="000000"/>
          <w:position w:val="0"/>
          <w:sz w:val="24"/>
          <w:u w:val="none"/>
          <w:vertAlign w:val="baseline"/>
        </w:rPr>
        <w:t>Consumer Medication Information Leaflets / Risalah Maklumat Ubat untuk Pengguna</w:t>
      </w:r>
      <w:r>
        <w:rPr>
          <w:rFonts w:ascii="arial" w:eastAsia="arial" w:hAnsi="arial" w:cs="arial"/>
          <w:b w:val="0"/>
          <w:i w:val="0"/>
          <w:strike w:val="0"/>
          <w:noProof w:val="0"/>
          <w:color w:val="000000"/>
          <w:position w:val="0"/>
          <w:sz w:val="24"/>
          <w:u w:val="none"/>
          <w:vertAlign w:val="baseline"/>
        </w:rPr>
        <w:t xml:space="preserve"> (“RiMUP”) for every vaccine approved by the Ministry of Health;</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right of every individual to live freely, safely, and without discrimination is guaranteed in the Universal Declaration of Human Rights and the autonomy of persons to make decisions is recognized in the Universal Declaration on Bioethics and Human Rights;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Indian Supreme Court case of </w:t>
      </w:r>
      <w:r>
        <w:rPr>
          <w:rFonts w:ascii="arial" w:eastAsia="arial" w:hAnsi="arial" w:cs="arial"/>
          <w:b w:val="0"/>
          <w:i/>
          <w:strike w:val="0"/>
          <w:noProof w:val="0"/>
          <w:color w:val="000000"/>
          <w:position w:val="0"/>
          <w:sz w:val="24"/>
          <w:u w:val="none"/>
          <w:vertAlign w:val="baseline"/>
        </w:rPr>
        <w:t>Jacob Puliyel v Union Of India &amp; Ors</w:t>
      </w:r>
      <w:r>
        <w:rPr>
          <w:rFonts w:ascii="arial" w:eastAsia="arial" w:hAnsi="arial" w:cs="arial"/>
          <w:b w:val="0"/>
          <w:i w:val="0"/>
          <w:strike w:val="0"/>
          <w:noProof w:val="0"/>
          <w:color w:val="000000"/>
          <w:position w:val="0"/>
          <w:sz w:val="24"/>
          <w:u w:val="none"/>
          <w:vertAlign w:val="baseline"/>
        </w:rPr>
        <w:t xml:space="preserve">,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…It is true that to be vaccinated or not is entirely the choice of the individual. Nobody can be forcefully vaccinated as it would result in bodily intrusion and violation of the individual’s right to privacy, protected under Article 21 of the Constitution of India. Personal autonomy was read into Article 21 by this Court in Common Cause (supra), by placing reliance on National Legal Services Authority v. Union of India 32, and Aruna Ramachandra Shanbaug (supra). This Court, in Common Cause (supra), emphasized the right of an individual to choose how he should live his own life, without any control or interference by others. It recognised the right of an individual to refuse unwanted medical treatment and to not be forced to take any medical treatment that is not desired…</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The crucial point that requires to be considered by us is whether limitations placed by the Government on personal autonomy of an individual can be justified in the interest of public health in the wake of the devastating COVID-19 pandemic. As stated, personal autonomy has been recognized as a critical facet of the right to life and right to self- determination under Article 21 of the Constitution, by this Court in Common Cause (supra). In K.S. Puttaswamy (supra), this Court laid down three requirements to be fulfilled by the State while placing restraints on the right to privacy to protect legitimate State interests. It was held:</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“310. … The first requirement that there must be a law in existence to justify an encroachment on privacy is an express requirement of Article 21. For, no person can be deprived of his life or personal liberty except in accordance with the procedure established by law. The existence of law is an essential requirement. Second, the requirement of a need, in terms of a legitimate State aim, ensures that the nature and content of the law which imposes the restriction falls within the zone of reasonableness mandated by Article 14, which is a guarantee against arbitrary State action. The pursuit of a legitimate State aim ensures that the law does not suffer from manifest arbitrariness. Legitimacy, as a postulate, involves a value judgment. Judicial review does not reappreciate or second guess the value judgment of the legislature but is for deciding whether the aim which is sought to be pursued suffers from palpable or manifest arbitrariness. The third requirement ensures that the means which are adopted by the legislature are proportional to the object and needs sought to be fulfilled by the law. Proportionality is an essential facet of the guarantee against arbitrary State action because it ensures that the nature and quality of the encroachment on the right is not disproportionate to the purpose of the law. Hence, the threefold requirement for a valid law arises out of the mutual interdependence between the fundamental guarantees against arbitrariness on the one hand and the protection of life and personal liberty, on the other. The right to privacy, which is an intrinsic part of the right to life and liberty, and the freedoms embodied in Part III is subject to the same restraints which apply to those freedoms.”…</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The upshot of the above discussion leads to the following conclusions:</w:t>
      </w:r>
    </w:p>
    <w:p>
      <w:pPr>
        <w:keepNext w:val="0"/>
        <w:numPr>
          <w:numId w:val="38"/>
        </w:numPr>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Bodily integrity is protected under Article 21 of the Constitution of India and no individual can be forced to be vaccinated.</w:t>
      </w:r>
    </w:p>
    <w:p>
      <w:pPr>
        <w:keepNext w:val="0"/>
        <w:numPr>
          <w:numId w:val="39"/>
        </w:numPr>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Personal autonomy of an individual involves the right of an individual to determine how they should live their own life, which consequently encompasses the right to refuse to undergo any medical treatment in the sphere of individual health.</w:t>
      </w:r>
    </w:p>
    <w:p>
      <w:pPr>
        <w:keepNext w:val="0"/>
        <w:numPr>
          <w:numId w:val="40"/>
        </w:numPr>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Persons who are keen to not be vaccinated on account of personal beliefs or preferences, can avoid vaccination, without anyone physically compelling them to be vaccinated. However, if there is a likelihood of such individuals spreading the infection to other people or contributing to mutation of the virus or burdening of the public health infrastructure, thereby affecting communitarian health at large, protection of which is undoubtedly a legitimate State aim of paramount significance in this collective battle against the pandemic, the Government can regulate such public health concerns by imposing certain limitations on individual rights that are reasonable and proportionate to the object sought to be fulfilled…</w:t>
      </w:r>
      <w:r>
        <w:rPr>
          <w:rFonts w:ascii="arial" w:eastAsia="arial" w:hAnsi="arial" w:cs="arial"/>
          <w:b w:val="0"/>
          <w:i w:val="0"/>
          <w:strike w:val="0"/>
          <w:noProof w:val="0"/>
          <w:color w:val="000000"/>
          <w:position w:val="0"/>
          <w:sz w:val="18"/>
          <w:u w:val="none"/>
          <w:vertAlign w:val="baseline"/>
        </w:rPr>
        <w:t>”;</w:t>
      </w:r>
    </w:p>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above considerations and the fact that in Malaysia, the right to life and liberty is enshrined in Article 5 of the Federal Constitution, it can be concluded that –</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personal autonomy of an individual, right to life and liberty and the right to choose not to get vaccinated are protected under Article 5 of the Federal Constitution;</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medical procedure or treatment may be undertaken without the consent of the patient;</w:t>
      </w:r>
    </w:p>
    <w:p>
      <w:pPr>
        <w:keepNext w:val="0"/>
        <w:numPr>
          <w:numId w:val="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consent must be given voluntarily and free from any element of pressure, coercion, or undue influence by any party;</w:t>
      </w:r>
    </w:p>
    <w:p>
      <w:pPr>
        <w:keepNext w:val="0"/>
        <w:numPr>
          <w:numId w:val="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consent can be given after all relevant information relating to the procedure have been provided to the patient; and</w:t>
      </w:r>
    </w:p>
    <w:p>
      <w:pPr>
        <w:keepNext w:val="0"/>
        <w:numPr>
          <w:numId w:val="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information must be provided in a manner that could be easily understood by the individual to enable the said individual to make an informed decision;</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acted irresponsibly by putting undue pressure on the Claimant through the following actions –</w:t>
      </w:r>
    </w:p>
    <w:p>
      <w:pPr>
        <w:keepNext w:val="0"/>
        <w:numPr>
          <w:numId w:val="4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imposing the vaccination requirement on the Claimant;</w:t>
      </w:r>
    </w:p>
    <w:p>
      <w:pPr>
        <w:keepNext w:val="0"/>
        <w:numPr>
          <w:numId w:val="4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imposing disciplinary against the Claimant;</w:t>
      </w:r>
    </w:p>
    <w:p>
      <w:pPr>
        <w:keepNext w:val="0"/>
        <w:numPr>
          <w:numId w:val="4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refusing to allow the Claimant for offshore mobilisation; and</w:t>
      </w:r>
    </w:p>
    <w:p>
      <w:pPr>
        <w:keepNext w:val="0"/>
        <w:numPr>
          <w:numId w:val="4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stopping his offshore allowance and transport allowance;</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per the e-mail dated 22nd October 2021 from COW-2, the Company admitted that employees who wish to be vaccinated were advised to apply through the vaccination programme organized and run by the Government. Thus, in view of the fact the said vaccination programme was on a voluntary basis and the consent form for the said vaccination programme clearly states “…</w:t>
      </w:r>
      <w:r>
        <w:rPr>
          <w:rFonts w:ascii="arial" w:eastAsia="arial" w:hAnsi="arial" w:cs="arial"/>
          <w:b w:val="0"/>
          <w:i/>
          <w:strike w:val="0"/>
          <w:noProof w:val="0"/>
          <w:color w:val="000000"/>
          <w:position w:val="0"/>
          <w:sz w:val="24"/>
          <w:u w:val="none"/>
          <w:vertAlign w:val="baseline"/>
        </w:rPr>
        <w:t>I voluntarily agree to complete the number of vaccine doses as scheduled…</w:t>
      </w:r>
      <w:r>
        <w:rPr>
          <w:rFonts w:ascii="arial" w:eastAsia="arial" w:hAnsi="arial" w:cs="arial"/>
          <w:b w:val="0"/>
          <w:i w:val="0"/>
          <w:strike w:val="0"/>
          <w:noProof w:val="0"/>
          <w:color w:val="000000"/>
          <w:position w:val="0"/>
          <w:sz w:val="24"/>
          <w:u w:val="none"/>
          <w:vertAlign w:val="baseline"/>
        </w:rPr>
        <w:t>”, the Company’s policy in making the vaccination mandatory runs contrary to the Government’s policy;</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instructions mandating any individual to be vaccinated could only be given by the relevant authorities as provided under section 11(3)(a) of the Prevention and Control of Infectious Diseases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1988 [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342</w:t>
      </w:r>
      <w:r>
        <w:rPr>
          <w:rFonts w:ascii="arial" w:eastAsia="arial" w:hAnsi="arial" w:cs="arial"/>
          <w:b w:val="0"/>
          <w:i w:val="0"/>
          <w:strike w:val="0"/>
          <w:noProof w:val="0"/>
          <w:color w:val="000000"/>
          <w:position w:val="0"/>
          <w:sz w:val="24"/>
          <w:u w:val="none"/>
          <w:vertAlign w:val="baseline"/>
        </w:rPr>
        <w:t xml:space="preserve">]. In relation thereto,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the Occupational Safety and Health Regulations, the Petroleum Development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do not contain provisions allowing the Company to give instructions mandating its employees to be vaccinated as a condition to resume working;</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reliance on section 15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to justify mandating its employees to be vaccinated is unwarranted as nowhere it is provided in the said provision that taking experimental vaccine is one of the steps to create a safe working environment. Following thereto, the Company and PETRONAS have wrongly relied on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and the Occupational Safety and Health Regulations to enforce the vaccination requirement on their employees;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petroleum and gas sector has been identified as one of the essential services allowed to operate during the period of movement control order enforced since March 2020 as stated in PETRONAS’ letters dated 17th March 2020 and 6th May 2021. Thus, if it is provided in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and the Occupational Safety and Health Regulations that the Company is allowed to issue instructions mandating employees to be vaccinated prior to entering the Company’s work place, it would not be possible for the Company to allow the Claimant to enter the Company’s premises during the period of March 2020 until July 2021 as it would be in contravention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514 and the Occupational Safety and Health Regulations;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PETRONAS vide letter dated 27th September 2021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…certain PACs may not be able to meet the requirement to have fully vaccinated personnel by the effective date due to various challenges…</w:t>
      </w:r>
      <w:r>
        <w:rPr>
          <w:rFonts w:ascii="arial" w:eastAsia="arial" w:hAnsi="arial" w:cs="arial"/>
          <w:b w:val="0"/>
          <w:i w:val="0"/>
          <w:strike w:val="0"/>
          <w:noProof w:val="0"/>
          <w:color w:val="000000"/>
          <w:position w:val="0"/>
          <w:sz w:val="24"/>
          <w:u w:val="none"/>
          <w:vertAlign w:val="baseline"/>
        </w:rPr>
        <w:t>” and thus “</w:t>
      </w:r>
      <w:r>
        <w:rPr>
          <w:rFonts w:ascii="arial" w:eastAsia="arial" w:hAnsi="arial" w:cs="arial"/>
          <w:b w:val="0"/>
          <w:i/>
          <w:strike w:val="0"/>
          <w:noProof w:val="0"/>
          <w:color w:val="000000"/>
          <w:position w:val="0"/>
          <w:sz w:val="24"/>
          <w:u w:val="none"/>
          <w:vertAlign w:val="baseline"/>
        </w:rPr>
        <w:t>…PACs are expected to implement the following to operationalize the directive: (i) …; and (ii) The identified non-fully vaccinated personnel who already (sic) on-board offshore facilities before 1 Oct 2021 shall be managed through internal PAC’s Management of Change (MOC) framework which include risk assessment. They can continue to be on-board until the end of their Tour of Duty (TOD) provided the affected “Green Bubbles” remain intact and the required mitigation measures identified from risk assessment effectively implemented. The personnel shall complete the vaccination prior to sign on for the next TOD...”. Based on the said letter, Petroleum Arrangement Contractors (“PAC”) can allow non-fully vaccinated personnel to be mobilized offshore provided all the necessary mitigation measures are adhered to;</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reference to the Australian High Court case of </w:t>
      </w:r>
      <w:r>
        <w:rPr>
          <w:rFonts w:ascii="arial" w:eastAsia="arial" w:hAnsi="arial" w:cs="arial"/>
          <w:b w:val="0"/>
          <w:i/>
          <w:strike w:val="0"/>
          <w:noProof w:val="0"/>
          <w:color w:val="000000"/>
          <w:position w:val="0"/>
          <w:sz w:val="24"/>
          <w:u w:val="none"/>
          <w:vertAlign w:val="baseline"/>
        </w:rPr>
        <w:t xml:space="preserve">O’Connor v Commissioner for Government Transport  </w:t>
      </w:r>
      <w:r>
        <w:rPr>
          <w:rFonts w:ascii="arial" w:eastAsia="arial" w:hAnsi="arial" w:cs="arial"/>
          <w:b w:val="0"/>
          <w:i w:val="0"/>
          <w:strike w:val="0"/>
          <w:noProof w:val="0"/>
          <w:color w:val="000000"/>
          <w:position w:val="0"/>
          <w:sz w:val="24"/>
          <w:u w:val="none"/>
          <w:vertAlign w:val="baseline"/>
        </w:rPr>
        <w:t>[1954] HCA 11; ; 100 CLR 225, whereby it was held that “</w:t>
      </w:r>
      <w:r>
        <w:rPr>
          <w:rFonts w:ascii="arial" w:eastAsia="arial" w:hAnsi="arial" w:cs="arial"/>
          <w:b w:val="0"/>
          <w:i/>
          <w:strike w:val="0"/>
          <w:noProof w:val="0"/>
          <w:color w:val="000000"/>
          <w:position w:val="0"/>
          <w:sz w:val="24"/>
          <w:u w:val="none"/>
          <w:vertAlign w:val="baseline"/>
        </w:rPr>
        <w:t>[t]his conclusion seems inevitable. The defendant as employer was of course under a duty, by his servants and agents, to take reasonable care for the safety of the deceased by providing proper and adequate means of carrying out his work without unnecessary risk, by warning him of unusual or unexpected risks, and by instructing him in the performance of his work where instructions might reasonably be thought to be required to secure him from danger of injury…</w:t>
      </w:r>
      <w:r>
        <w:rPr>
          <w:rFonts w:ascii="arial" w:eastAsia="arial" w:hAnsi="arial" w:cs="arial"/>
          <w:b w:val="0"/>
          <w:i w:val="0"/>
          <w:strike w:val="0"/>
          <w:noProof w:val="0"/>
          <w:color w:val="000000"/>
          <w:position w:val="0"/>
          <w:sz w:val="24"/>
          <w:u w:val="none"/>
          <w:vertAlign w:val="baseline"/>
        </w:rPr>
        <w:t>”, the Claimant further submits as follows –</w:t>
      </w:r>
    </w:p>
    <w:p>
      <w:pPr>
        <w:keepNext w:val="0"/>
        <w:numPr>
          <w:numId w:val="5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action of mandating vaccines exposes its employees to the risk of side effects, some of which can be fatal, despite the existence of alternative procedures that have been designed and implemented by the Government, as outlined in Annex 9, which allows those who refuses to be vaccinated to work on the Company’s premises without endangering other staff;</w:t>
      </w:r>
    </w:p>
    <w:p>
      <w:pPr>
        <w:keepNext w:val="0"/>
        <w:numPr>
          <w:numId w:val="5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nothing in the Company’s correspondences indicates that the Company has provided complete, honest and transparent information to the Claimant about the risk and side effects of the vaccines;</w:t>
      </w:r>
    </w:p>
    <w:p>
      <w:pPr>
        <w:keepNext w:val="0"/>
        <w:numPr>
          <w:numId w:val="5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fails to prepare the framework or instruct the Company’s staff to take reasonable measures in managing or reducing the risk and side effects of the vaccines; and</w:t>
      </w:r>
    </w:p>
    <w:p>
      <w:pPr>
        <w:keepNext w:val="0"/>
        <w:numPr>
          <w:numId w:val="5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policy of mandating vaccines contravenes the applicable laws;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policy of mandating vaccines indirectly exposes the Claimant to the possibility of adverse long term side effects of the vaccine as long as the vaccine remains in the body i.e. even when he is no longer directly involved in the Company’s operations or no longer working with the Company. Thus, exposing the Claimant to unnecessary health risks;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guidelines relating to </w:t>
      </w:r>
      <w:r>
        <w:rPr>
          <w:rFonts w:ascii="arial" w:eastAsia="arial" w:hAnsi="arial" w:cs="arial"/>
          <w:b w:val="0"/>
          <w:i/>
          <w:strike w:val="0"/>
          <w:noProof w:val="0"/>
          <w:color w:val="000000"/>
          <w:position w:val="0"/>
          <w:sz w:val="24"/>
          <w:u w:val="none"/>
          <w:vertAlign w:val="baseline"/>
        </w:rPr>
        <w:t>Crew Change Procedure for Seafarers and Offshore Workers</w:t>
      </w:r>
      <w:r>
        <w:rPr>
          <w:rFonts w:ascii="arial" w:eastAsia="arial" w:hAnsi="arial" w:cs="arial"/>
          <w:b w:val="0"/>
          <w:i w:val="0"/>
          <w:strike w:val="0"/>
          <w:noProof w:val="0"/>
          <w:color w:val="000000"/>
          <w:position w:val="0"/>
          <w:sz w:val="24"/>
          <w:u w:val="none"/>
          <w:vertAlign w:val="baseline"/>
        </w:rPr>
        <w:t xml:space="preserve"> contained under Part E of </w:t>
      </w:r>
      <w:r>
        <w:rPr>
          <w:rFonts w:ascii="arial" w:eastAsia="arial" w:hAnsi="arial" w:cs="arial"/>
          <w:b w:val="0"/>
          <w:i/>
          <w:strike w:val="0"/>
          <w:noProof w:val="0"/>
          <w:color w:val="000000"/>
          <w:position w:val="0"/>
          <w:sz w:val="24"/>
          <w:u w:val="none"/>
          <w:vertAlign w:val="baseline"/>
        </w:rPr>
        <w:t>Annex 9 – Guidelines for Entry Point Screening of Travellers (Screening for Covid-19)</w:t>
      </w:r>
      <w:r>
        <w:rPr>
          <w:rFonts w:ascii="arial" w:eastAsia="arial" w:hAnsi="arial" w:cs="arial"/>
          <w:b w:val="0"/>
          <w:i w:val="0"/>
          <w:strike w:val="0"/>
          <w:noProof w:val="0"/>
          <w:color w:val="000000"/>
          <w:position w:val="0"/>
          <w:sz w:val="24"/>
          <w:u w:val="none"/>
          <w:vertAlign w:val="baseline"/>
        </w:rPr>
        <w:t xml:space="preserve"> issued by the Ministry of Health, –</w:t>
      </w:r>
    </w:p>
    <w:p>
      <w:pPr>
        <w:keepNext w:val="0"/>
        <w:numPr>
          <w:numId w:val="5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has the obligation to abide with the said guidelines as confirmed by COW-1 and COW-2 during cross examination;</w:t>
      </w:r>
    </w:p>
    <w:p>
      <w:pPr>
        <w:keepNext w:val="0"/>
        <w:numPr>
          <w:numId w:val="5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 restrictions were placed on those who are not vaccinated for offshore mobilization;</w:t>
      </w:r>
    </w:p>
    <w:p>
      <w:pPr>
        <w:keepNext w:val="0"/>
        <w:numPr>
          <w:numId w:val="5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earlier version of the said guidelines issued prior to 10th November 2021, the Sign-On and Sign-Off procedures for vaccinated and non-vaccinated personnel were the same. The difference in procedure only existed in the later version of the said guidelines i.e. the updated version dated 10 th November 2021; and</w:t>
      </w:r>
    </w:p>
    <w:p>
      <w:pPr>
        <w:keepNext w:val="0"/>
        <w:numPr>
          <w:numId w:val="5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for purposes of the updated version of the said guidelines dated 10th November 2021, personnel who have not been vaccinated could still be mobilised offshore on the condition that they must comply with stricter procedures;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FAQs issued by the Department of Occupational Safety and Health relating to the national recovery plan which was updated on 5th November 2021 stated that employers and employees are required to comply with the instructions and Standard Operating Procedures for the prevention of Covid-19 set by the National Security Council and the Ministry of Health from time to time;</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at the material time, based on the standard operating procedures issued by the National Security Council and FAQs of the national recovery plan issued by the Ministry of International Trade and Industry, companies are permitted to allow workers who have yet to complete their vaccination to work provided the ratio limits as set out are complied with;</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Company’s contention that the Claimant’s presence at the work place was a threat to his colleagues as well as affecting the Company’s obligations and responsibilities to provide a safe working environment –</w:t>
      </w:r>
    </w:p>
    <w:p>
      <w:pPr>
        <w:keepNext w:val="0"/>
        <w:numPr>
          <w:numId w:val="5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said contention is baseless, unreasonable, disproportionate, and completely wrong as those who are not infected with Covid-19 could not infect other individuals;</w:t>
      </w:r>
    </w:p>
    <w:p>
      <w:pPr>
        <w:keepNext w:val="0"/>
        <w:numPr>
          <w:numId w:val="5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confirmed by COW-3, the Covid-19 infection status and not the Covid-19 vaccination status that determines whether an individual is a threat to another individual; and</w:t>
      </w:r>
    </w:p>
    <w:p>
      <w:pPr>
        <w:keepNext w:val="0"/>
        <w:numPr>
          <w:numId w:val="6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per the Claimant’s Offshore Medical Fitness Certificate which was valid until 29th December 2023, the Company’s appointed doctor had certified on 8th January 2022 that the Claimant was fit for offshore work;</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failed in its responsibility to provide complete information and answers to the issues raised by the Claimant as regards the Covid-19 vaccines;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relation to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enclosed to COW-2’s e-mail dated 29th October 2021 –</w:t>
      </w:r>
    </w:p>
    <w:p>
      <w:pPr>
        <w:keepNext w:val="0"/>
        <w:numPr>
          <w:numId w:val="6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claimed the said Clinical Guidelines could provide answers to the concerns and issues raised by the Claimant;</w:t>
      </w:r>
    </w:p>
    <w:p>
      <w:pPr>
        <w:keepNext w:val="0"/>
        <w:numPr>
          <w:numId w:val="6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a document produced for the reference of those with a medical background, not for individuals like the Claimant;</w:t>
      </w:r>
    </w:p>
    <w:p>
      <w:pPr>
        <w:keepNext w:val="0"/>
        <w:numPr>
          <w:numId w:val="6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the Company’s witnesses were unable to proof that they themselves fully understand the said Clinical Guidelines; and</w:t>
      </w:r>
    </w:p>
    <w:p>
      <w:pPr>
        <w:keepNext w:val="0"/>
        <w:numPr>
          <w:numId w:val="6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if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is able to provide further explanation regarding the Covid-19 vaccines to every level of society regardless of their background, the Ministry of Health would have included the said Clinical Guidelines as a reference source for vaccine recipients;</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provide any response as regards the Claimant’s demands that the Company provide an undertaking for complete and full coverage compensation under the Company’s medical plan should the Claimant suffers from any side effects from the vaccines. In addition, it is further submitted by the Claimant that –</w:t>
      </w:r>
    </w:p>
    <w:p>
      <w:pPr>
        <w:keepNext w:val="0"/>
        <w:numPr>
          <w:numId w:val="6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cross-examination COW-1 had admitted no indemnity would be provided to the Company’s employees suffering from the side effects of the vaccines;</w:t>
      </w:r>
    </w:p>
    <w:p>
      <w:pPr>
        <w:keepNext w:val="0"/>
        <w:numPr>
          <w:numId w:val="6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even though during reexamination COW-1 stated that the Company’s medical plan provides full coverage for all its employees suffering from the side effects of the vaccines, including death benefits to the surviving family members of the employees, the Company’s medical plan coverage found on pages 65 – 73 of COB5 states otherwise i.e. </w:t>
      </w:r>
      <w:r>
        <w:rPr>
          <w:rFonts w:ascii="arial" w:eastAsia="arial" w:hAnsi="arial" w:cs="arial"/>
          <w:b w:val="0"/>
          <w:i/>
          <w:strike w:val="0"/>
          <w:noProof w:val="0"/>
          <w:color w:val="000000"/>
          <w:position w:val="0"/>
          <w:sz w:val="24"/>
          <w:u w:val="none"/>
          <w:vertAlign w:val="baseline"/>
        </w:rPr>
        <w:t>section 2.2.2 – Covid-19 Vaccination</w:t>
      </w:r>
      <w:r>
        <w:rPr>
          <w:rFonts w:ascii="arial" w:eastAsia="arial" w:hAnsi="arial" w:cs="arial"/>
          <w:b w:val="0"/>
          <w:i w:val="0"/>
          <w:strike w:val="0"/>
          <w:noProof w:val="0"/>
          <w:color w:val="000000"/>
          <w:position w:val="0"/>
          <w:sz w:val="24"/>
          <w:u w:val="none"/>
          <w:vertAlign w:val="baseline"/>
        </w:rPr>
        <w:t xml:space="preserve"> clearly states that “</w:t>
      </w:r>
      <w:r>
        <w:rPr>
          <w:rFonts w:ascii="arial" w:eastAsia="arial" w:hAnsi="arial" w:cs="arial"/>
          <w:b w:val="0"/>
          <w:i/>
          <w:strike w:val="0"/>
          <w:noProof w:val="0"/>
          <w:color w:val="000000"/>
          <w:position w:val="0"/>
          <w:sz w:val="24"/>
          <w:u w:val="none"/>
          <w:vertAlign w:val="baseline"/>
        </w:rPr>
        <w:t>[a]ny complications, side effect(s) and/or any adverse reactions suffered by an [ExxonMobil Medical Plan] participant and/or their covered dependents that require medical treatment or hospital admission shall be covered under the [ExxonMobil Medical Plan] accordingly, subject to its benefit limits and terms</w:t>
      </w:r>
      <w:r>
        <w:rPr>
          <w:rFonts w:ascii="arial" w:eastAsia="arial" w:hAnsi="arial" w:cs="arial"/>
          <w:b w:val="0"/>
          <w:i w:val="0"/>
          <w:strike w:val="0"/>
          <w:noProof w:val="0"/>
          <w:color w:val="000000"/>
          <w:position w:val="0"/>
          <w:sz w:val="24"/>
          <w:u w:val="none"/>
          <w:vertAlign w:val="baseline"/>
        </w:rPr>
        <w:t xml:space="preserve"> “; and</w:t>
      </w:r>
    </w:p>
    <w:p>
      <w:pPr>
        <w:keepNext w:val="0"/>
        <w:numPr>
          <w:numId w:val="6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medical plan coverage found on pages 65 – 73 of COB5 further contains a “</w:t>
      </w:r>
      <w:r>
        <w:rPr>
          <w:rFonts w:ascii="arial" w:eastAsia="arial" w:hAnsi="arial" w:cs="arial"/>
          <w:b w:val="0"/>
          <w:i/>
          <w:strike w:val="0"/>
          <w:noProof w:val="0"/>
          <w:color w:val="000000"/>
          <w:position w:val="0"/>
          <w:sz w:val="24"/>
          <w:u w:val="none"/>
          <w:vertAlign w:val="baseline"/>
        </w:rPr>
        <w:t>Benefit Disclaimer</w:t>
      </w:r>
      <w:r>
        <w:rPr>
          <w:rFonts w:ascii="arial" w:eastAsia="arial" w:hAnsi="arial" w:cs="arial"/>
          <w:b w:val="0"/>
          <w:i w:val="0"/>
          <w:strike w:val="0"/>
          <w:noProof w:val="0"/>
          <w:color w:val="000000"/>
          <w:position w:val="0"/>
          <w:sz w:val="24"/>
          <w:u w:val="none"/>
          <w:vertAlign w:val="baseline"/>
        </w:rPr>
        <w:t xml:space="preserve">” provision which appears on the last page whereby it states that </w:t>
      </w:r>
      <w:r>
        <w:rPr>
          <w:rFonts w:ascii="arial" w:eastAsia="arial" w:hAnsi="arial" w:cs="arial"/>
          <w:b w:val="0"/>
          <w:i/>
          <w:strike w:val="0"/>
          <w:noProof w:val="0"/>
          <w:color w:val="000000"/>
          <w:position w:val="0"/>
          <w:sz w:val="24"/>
          <w:u w:val="none"/>
          <w:vertAlign w:val="baseline"/>
        </w:rPr>
        <w:t>“[t]he plans, policies, guidelines and programs herein contained, including any content linked from this site, do not constitute a contract or terms of employement between the Company and its employees. The Company reserves the right to amend, suspend or terminate any or all of its plans, policies, guidelines or programs at any time, with or without notice</w:t>
      </w:r>
      <w:r>
        <w:rPr>
          <w:rFonts w:ascii="arial" w:eastAsia="arial" w:hAnsi="arial" w:cs="arial"/>
          <w:b w:val="0"/>
          <w:i w:val="0"/>
          <w:strike w:val="0"/>
          <w:noProof w:val="0"/>
          <w:color w:val="000000"/>
          <w:position w:val="0"/>
          <w:sz w:val="24"/>
          <w:u w:val="none"/>
          <w:vertAlign w:val="baseline"/>
        </w:rPr>
        <w:t>”;</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comprehensively consider the Claimant’s concerns regarding the vaccines and should have obtained the views of the relevant Government agencies before making the drastic decision to terminate the Claimant’s employment. Furthermore, CLW-2 during re-examination emphasised that based on the Claimant’s age and health status, the risk of vaccine side effects is higher than the risk of complications from the Covid-19 infection itself;</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addition to the above, CLW-2 also explained that as a young male the Claimant has a high risk of getting myocarditis due to vaccination. Conversely, the risk of developing symptomatic infection, hospitalization or death is low. Therefore, based on the risk benefit assessment, getting vaccinated would not be the right choice for the Claimant, especially when myocarditis can increase the risk of sudden cardiac death after vaccination; and</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explained by CLW-2 during re-examination all medical doctors and pathologists in Malaysian are trained in Microbiology and Virology as part of their training programmes. As a doctor and also a trained and experienced statistician, CLW-2 has the skills to analyze and interpret information regarding Covid-19 infection.</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 also submits that –</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must comply with the principles of natural justice and procedural fairness,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good faith based on the facts, and without any discrimination, persecution or intimidation. As the decision to terminate the Claimant was made by the same individuals that were involved directly with the Claimant’s case from the initial stage i.e. since August 2021, following thereto, based on the following Industrial Court cases, the Claimant’s termination was done against the principles of natural justice and procedural fairness as well as tainted with </w:t>
      </w:r>
      <w:r>
        <w:rPr>
          <w:rFonts w:ascii="arial" w:eastAsia="arial" w:hAnsi="arial" w:cs="arial"/>
          <w:b w:val="0"/>
          <w:i/>
          <w:strike w:val="0"/>
          <w:noProof w:val="0"/>
          <w:color w:val="000000"/>
          <w:position w:val="0"/>
          <w:sz w:val="24"/>
          <w:u w:val="none"/>
          <w:vertAlign w:val="baseline"/>
        </w:rPr>
        <w:t>mala fide</w:t>
      </w:r>
      <w:r>
        <w:rPr>
          <w:rFonts w:ascii="arial" w:eastAsia="arial" w:hAnsi="arial" w:cs="arial"/>
          <w:b w:val="0"/>
          <w:i w:val="0"/>
          <w:strike w:val="0"/>
          <w:noProof w:val="0"/>
          <w:color w:val="000000"/>
          <w:position w:val="0"/>
          <w:sz w:val="24"/>
          <w:u w:val="none"/>
          <w:vertAlign w:val="baseline"/>
        </w:rPr>
        <w:t xml:space="preserve"> –</w:t>
      </w:r>
    </w:p>
    <w:p>
      <w:pPr>
        <w:keepNext w:val="0"/>
        <w:numPr>
          <w:numId w:val="6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Shell Malaysia Trading Co. Sdn. Bhd. v National Union of Petroleum &amp; Chemical Industry Workers  </w:t>
      </w:r>
      <w:r>
        <w:rPr>
          <w:rFonts w:ascii="arial" w:eastAsia="arial" w:hAnsi="arial" w:cs="arial"/>
          <w:b w:val="0"/>
          <w:i w:val="0"/>
          <w:strike w:val="0"/>
          <w:noProof w:val="0"/>
          <w:color w:val="000000"/>
          <w:position w:val="0"/>
          <w:sz w:val="24"/>
          <w:u w:val="none"/>
          <w:vertAlign w:val="baseline"/>
        </w:rPr>
        <w:t>[1986] 1 ILR 677, whereby the Industrial Court in referring to the various authorities cited by the Company’s counsel from Soonavala’s “</w:t>
      </w:r>
      <w:r>
        <w:rPr>
          <w:rFonts w:ascii="arial" w:eastAsia="arial" w:hAnsi="arial" w:cs="arial"/>
          <w:b w:val="0"/>
          <w:i/>
          <w:strike w:val="0"/>
          <w:noProof w:val="0"/>
          <w:color w:val="000000"/>
          <w:position w:val="0"/>
          <w:sz w:val="24"/>
          <w:u w:val="none"/>
          <w:vertAlign w:val="baseline"/>
        </w:rPr>
        <w:t>The Supreme Court on Industrial Law</w:t>
      </w:r>
      <w:r>
        <w:rPr>
          <w:rFonts w:ascii="arial" w:eastAsia="arial" w:hAnsi="arial" w:cs="arial"/>
          <w:b w:val="0"/>
          <w:i w:val="0"/>
          <w:strike w:val="0"/>
          <w:noProof w:val="0"/>
          <w:color w:val="000000"/>
          <w:position w:val="0"/>
          <w:sz w:val="24"/>
          <w:u w:val="none"/>
          <w:vertAlign w:val="baseline"/>
        </w:rPr>
        <w:t>”, stated that the authority cited by the said counsel goes further to add “</w:t>
      </w:r>
      <w:r>
        <w:rPr>
          <w:rFonts w:ascii="arial" w:eastAsia="arial" w:hAnsi="arial" w:cs="arial"/>
          <w:b w:val="0"/>
          <w:i/>
          <w:strike w:val="0"/>
          <w:noProof w:val="0"/>
          <w:color w:val="000000"/>
          <w:position w:val="0"/>
          <w:sz w:val="24"/>
          <w:u w:val="none"/>
          <w:vertAlign w:val="baseline"/>
        </w:rPr>
        <w:t xml:space="preserve">[i]t is for the management to determine whether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of the workman constitutes misconduct and whether it merits an order of dismissal. However, in determining such misconduct, it must have facts upon which to base its conclusions and it must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in good faith without caprice or discrimination and without motive of victimization or intimidation or resorting to unfair labour practice, and there must be no infraction of the accepted rules of natural justice. When management does have facts from which it can conclude misconduct, its judgement cannot be questioned, provided the above mentioned principles are not violated. On the other hand, in the absence of these facts, or in case of violation of the above mentioned principles, its position is untenable, and it becomes a fit case for interference by the Tribunal</w:t>
      </w:r>
      <w:r>
        <w:rPr>
          <w:rFonts w:ascii="arial" w:eastAsia="arial" w:hAnsi="arial" w:cs="arial"/>
          <w:b w:val="0"/>
          <w:i w:val="0"/>
          <w:strike w:val="0"/>
          <w:noProof w:val="0"/>
          <w:color w:val="000000"/>
          <w:position w:val="0"/>
          <w:sz w:val="24"/>
          <w:u w:val="none"/>
          <w:vertAlign w:val="baseline"/>
        </w:rPr>
        <w:t>”; and</w:t>
      </w:r>
    </w:p>
    <w:p>
      <w:pPr>
        <w:keepNext w:val="0"/>
        <w:numPr>
          <w:numId w:val="7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Skypark International (M) Sdn Bhd v Foong Kah Tin  </w:t>
      </w:r>
      <w:r>
        <w:rPr>
          <w:rFonts w:ascii="arial" w:eastAsia="arial" w:hAnsi="arial" w:cs="arial"/>
          <w:b w:val="0"/>
          <w:i w:val="0"/>
          <w:strike w:val="0"/>
          <w:noProof w:val="0"/>
          <w:color w:val="000000"/>
          <w:position w:val="0"/>
          <w:sz w:val="24"/>
          <w:u w:val="none"/>
          <w:vertAlign w:val="baseline"/>
        </w:rPr>
        <w:t xml:space="preserve">[1987] 1 ILR 495, 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In gist, the principles of natural justice in the context of an industrial disciplinary inquiry may be stated to be as follows:</w:t>
      </w:r>
    </w:p>
    <w:p>
      <w:pPr>
        <w:keepNext w:val="0"/>
        <w:numPr>
          <w:numId w:val="71"/>
        </w:numPr>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That the workman whose conduct or misconduct is being inquired into must have a reasonable notice of the case he has to meet.</w:t>
      </w:r>
    </w:p>
    <w:p>
      <w:pPr>
        <w:keepNext w:val="0"/>
        <w:numPr>
          <w:numId w:val="71"/>
        </w:numPr>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That he must have reasonable opportunity of being heard in his own defence according to the maxim ‘audi partem alteram’, and this includes, inter alia, the opportunity to face and challenge his accusers, witnesses, and whatever evidence there is against him.</w:t>
      </w:r>
    </w:p>
    <w:p>
      <w:pPr>
        <w:keepNext w:val="0"/>
        <w:numPr>
          <w:numId w:val="71"/>
        </w:numPr>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That the hearing must be by an impartial tribunal, i.e. a person who is neither directly nor indirectly the party to the case: ‘nemo debet esse judex in propria causa’, that is to say, no man shall sit in judgment in his own cause or that in which he has an interest.</w:t>
      </w:r>
      <w:r>
        <w:rPr>
          <w:rFonts w:ascii="arial" w:eastAsia="arial" w:hAnsi="arial" w:cs="arial"/>
          <w:b w:val="0"/>
          <w:i w:val="0"/>
          <w:strike w:val="0"/>
          <w:noProof w:val="0"/>
          <w:color w:val="000000"/>
          <w:position w:val="0"/>
          <w:sz w:val="18"/>
          <w:u w:val="none"/>
          <w:vertAlign w:val="baseline"/>
        </w:rPr>
        <w:t>”;</w:t>
      </w:r>
    </w:p>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was repeatedly victimized by the Company through the Company’s actions as follows:</w:t>
      </w:r>
    </w:p>
    <w:p>
      <w:pPr>
        <w:keepNext w:val="0"/>
        <w:numPr>
          <w:numId w:val="7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preventing the Claimant from performing his job;</w:t>
      </w:r>
    </w:p>
    <w:p>
      <w:pPr>
        <w:keepNext w:val="0"/>
        <w:numPr>
          <w:numId w:val="7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not giving his offshore allowance and transport allowance;</w:t>
      </w:r>
    </w:p>
    <w:p>
      <w:pPr>
        <w:keepNext w:val="0"/>
        <w:numPr>
          <w:numId w:val="7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contending that the Claimant’s presence at the work place was a threat to his colleagues; and</w:t>
      </w:r>
    </w:p>
    <w:p>
      <w:pPr>
        <w:keepNext w:val="0"/>
        <w:numPr>
          <w:numId w:val="7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denying the Claimant’s right to a domestic inquiry;</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real purpose of enforcing the vaccination requirement was merely to ensure the Company’s operation would not be significantly disrupted and to address the growing mental distress among offshore crew members as well as for cost saving purposes by reducing the quarantine period at the Quarantine Station. COW-2 during cross-examination had confirmed that due to the shortening of the quarantine period, the Company was able to reduce its costs relating to the same;</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safety and health is the Company’s real goal then –</w:t>
      </w:r>
    </w:p>
    <w:p>
      <w:pPr>
        <w:keepNext w:val="0"/>
        <w:numPr>
          <w:numId w:val="7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should have made the vaccination requirement compulsory since the launch of the National COVID-19 Immunisation Programme in early March 2021;</w:t>
      </w:r>
    </w:p>
    <w:p>
      <w:pPr>
        <w:keepNext w:val="0"/>
        <w:numPr>
          <w:numId w:val="7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should not have continued to carry out offshore mobilisation with staff who have not yet been vaccinated. Instead, the said mobilisation was carried out until August 2021;</w:t>
      </w:r>
    </w:p>
    <w:p>
      <w:pPr>
        <w:keepNext w:val="0"/>
        <w:numPr>
          <w:numId w:val="7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should also have a policy in place to impose restrictions on its employees from smoking as smokers are at high risk of worse complications if infected with Covid-19. In fact, as confirmed by COW-2 during cross-examination the Company provides a facility for those who smoke and that it was beyond his capacity to comment as to why the Company did not have such a policy in place; and</w:t>
      </w:r>
    </w:p>
    <w:p>
      <w:pPr>
        <w:keepNext w:val="0"/>
        <w:numPr>
          <w:numId w:val="7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should not have reduced the quarantine period and should not have imposed self-quarantine at home. Instead, the Company had implemented the guidelines relating to </w:t>
      </w:r>
      <w:r>
        <w:rPr>
          <w:rFonts w:ascii="arial" w:eastAsia="arial" w:hAnsi="arial" w:cs="arial"/>
          <w:b w:val="0"/>
          <w:i/>
          <w:strike w:val="0"/>
          <w:noProof w:val="0"/>
          <w:color w:val="000000"/>
          <w:position w:val="0"/>
          <w:sz w:val="24"/>
          <w:u w:val="none"/>
          <w:vertAlign w:val="baseline"/>
        </w:rPr>
        <w:t>Crew Change Procedure for Seafarers and Offshore Workers</w:t>
      </w:r>
      <w:r>
        <w:rPr>
          <w:rFonts w:ascii="arial" w:eastAsia="arial" w:hAnsi="arial" w:cs="arial"/>
          <w:b w:val="0"/>
          <w:i w:val="0"/>
          <w:strike w:val="0"/>
          <w:noProof w:val="0"/>
          <w:color w:val="000000"/>
          <w:position w:val="0"/>
          <w:sz w:val="24"/>
          <w:u w:val="none"/>
          <w:vertAlign w:val="baseline"/>
        </w:rPr>
        <w:t xml:space="preserve"> contained under Part E of </w:t>
      </w:r>
      <w:r>
        <w:rPr>
          <w:rFonts w:ascii="arial" w:eastAsia="arial" w:hAnsi="arial" w:cs="arial"/>
          <w:b w:val="0"/>
          <w:i/>
          <w:strike w:val="0"/>
          <w:noProof w:val="0"/>
          <w:color w:val="000000"/>
          <w:position w:val="0"/>
          <w:sz w:val="24"/>
          <w:u w:val="none"/>
          <w:vertAlign w:val="baseline"/>
        </w:rPr>
        <w:t>Annex 9 – Guidelines for Entry Point Screening of Travellers (Screening for Covid-19)</w:t>
      </w:r>
      <w:r>
        <w:rPr>
          <w:rFonts w:ascii="arial" w:eastAsia="arial" w:hAnsi="arial" w:cs="arial"/>
          <w:b w:val="0"/>
          <w:i w:val="0"/>
          <w:strike w:val="0"/>
          <w:noProof w:val="0"/>
          <w:color w:val="000000"/>
          <w:position w:val="0"/>
          <w:sz w:val="24"/>
          <w:u w:val="none"/>
          <w:vertAlign w:val="baseline"/>
        </w:rPr>
        <w:t xml:space="preserve"> whereby the quarantine period of 14 days at the Quarantine Station for offshore workers was reduced to three days of quarantine at the Quarantine Station and seven days of self-quarantine at home. Furthermore, imposing the quarantine process at the Quarantine Station would enable the Company to control and supervise its staff more closely through the existing standard operating procedures which could not be done through quarantined at home;</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could still continue its operations despite having unvaccinated staff as this was allowed by the Government agencies. Moreover, taking the vaccines is not the solution as Covid-19 infections continued to occur even after all offshore personnel had been vaccinated.</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fact, COW-2 during cross-examination admitted that offshore workers were still infected with Covid-19 despite being vaccinated and there have been reported cases of hospitalisation of offshore workers including an offshore worker at Lawit-A, where the Claimant was assigned, being admitted to the Intensive Care Unit;</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did not commit any wrongdoing when he refused to be vaccinated as this right is guaranteed under the law and he was unable to report for duty as the Company did not allow him to do so in view of his vaccination status;</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Offshore Allowance and Crew Change by Boat Allowance are fixed allowances that are due to the Claimant as a Technician in the Operations Department as per the Collective Agreement 2019 – 2022 between Kesatuan Pekerja-Pekerja ExxonMobil Exploration and Production Malaysia Incorporated and ExxonMobil Exploration and Production Malaysia Inc. entered into on 24th June 2019. In relation to the offshore allowance, the Industrial Court in the case of </w:t>
      </w:r>
      <w:r>
        <w:rPr>
          <w:rFonts w:ascii="arial" w:eastAsia="arial" w:hAnsi="arial" w:cs="arial"/>
          <w:b w:val="0"/>
          <w:i/>
          <w:strike w:val="0"/>
          <w:noProof w:val="0"/>
          <w:color w:val="000000"/>
          <w:position w:val="0"/>
          <w:sz w:val="24"/>
          <w:u w:val="none"/>
          <w:vertAlign w:val="baseline"/>
        </w:rPr>
        <w:t xml:space="preserve">Rowland Anak Nicholas v Murphy Sarawak Oil Co. Ltd  </w:t>
      </w:r>
      <w:r>
        <w:rPr>
          <w:rFonts w:ascii="arial" w:eastAsia="arial" w:hAnsi="arial" w:cs="arial"/>
          <w:b w:val="0"/>
          <w:i w:val="0"/>
          <w:strike w:val="0"/>
          <w:noProof w:val="0"/>
          <w:color w:val="000000"/>
          <w:position w:val="0"/>
          <w:sz w:val="24"/>
          <w:u w:val="none"/>
          <w:vertAlign w:val="baseline"/>
        </w:rPr>
        <w:t>[2018] ILRU 3092 had allowed the said allowance for purposes of the computation of backwages;</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is entitled to be paid fixed overtime based on the provisions of Article 28 of the Collective Agreement 2019 – 2022 between Kesatuan Pekerja- Pekerja ExxonMobil Exploration and Production Malaysia Incorporated and ExxonMobil Exploration and Production Malaysia Inc. entered into on 24th June 2019;</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was unfairly dismissed based on the following cases –</w:t>
      </w:r>
    </w:p>
    <w:p>
      <w:pPr>
        <w:keepNext w:val="0"/>
        <w:numPr>
          <w:numId w:val="8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case of </w:t>
      </w:r>
      <w:r>
        <w:rPr>
          <w:rFonts w:ascii="arial" w:eastAsia="arial" w:hAnsi="arial" w:cs="arial"/>
          <w:b w:val="0"/>
          <w:i/>
          <w:strike w:val="0"/>
          <w:noProof w:val="0"/>
          <w:color w:val="000000"/>
          <w:position w:val="0"/>
          <w:sz w:val="24"/>
          <w:u w:val="none"/>
          <w:vertAlign w:val="baseline"/>
        </w:rPr>
        <w:t xml:space="preserve">Maritime Intelligence Sdn Bhd v Tan Ah Gek  </w:t>
      </w:r>
      <w:r>
        <w:rPr>
          <w:rFonts w:ascii="arial" w:eastAsia="arial" w:hAnsi="arial" w:cs="arial"/>
          <w:b w:val="0"/>
          <w:i w:val="0"/>
          <w:strike w:val="0"/>
          <w:noProof w:val="0"/>
          <w:color w:val="000000"/>
          <w:position w:val="0"/>
          <w:sz w:val="24"/>
          <w:u w:val="none"/>
          <w:vertAlign w:val="baseline"/>
        </w:rPr>
        <w:t xml:space="preserve">[2021] MLJU 2189, 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starting point must be that the right to livelihood is a fundamental right guaranteed under Article 5(1) of the Federal Constitution,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Tan Tek Seng v Suruhanjaya Perkhidmatan Pendidikan &amp; Another  </w:t>
      </w:r>
      <w:r>
        <w:rPr>
          <w:rFonts w:ascii="arial" w:eastAsia="arial" w:hAnsi="arial" w:cs="arial"/>
          <w:b w:val="0"/>
          <w:i w:val="0"/>
          <w:strike w:val="0"/>
          <w:noProof w:val="0"/>
          <w:color w:val="000000"/>
          <w:position w:val="0"/>
          <w:sz w:val="18"/>
          <w:u w:val="none"/>
          <w:vertAlign w:val="baseline"/>
        </w:rPr>
        <w:t>[1996] 1 MLJ 261</w:t>
      </w:r>
      <w:r>
        <w:rPr>
          <w:rFonts w:ascii="arial" w:eastAsia="arial" w:hAnsi="arial" w:cs="arial"/>
          <w:b w:val="0"/>
          <w:i/>
          <w:strike w:val="0"/>
          <w:noProof w:val="0"/>
          <w:color w:val="000000"/>
          <w:position w:val="0"/>
          <w:sz w:val="18"/>
          <w:u w:val="none"/>
          <w:vertAlign w:val="baseline"/>
        </w:rPr>
        <w:t xml:space="preserve">. This fundamental right is exemplified by, inter alia, </w:t>
      </w:r>
      <w:r>
        <w:rPr>
          <w:rFonts w:ascii="arial" w:eastAsia="arial" w:hAnsi="arial" w:cs="arial"/>
          <w:b w:val="0"/>
          <w:i w:val="0"/>
          <w:strike w:val="0"/>
          <w:noProof w:val="0"/>
          <w:color w:val="000000"/>
          <w:position w:val="0"/>
          <w:sz w:val="18"/>
          <w:u w:val="none"/>
          <w:vertAlign w:val="baseline"/>
        </w:rPr>
        <w:t xml:space="preserve">section 20(1)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It is a statutory provision that cuts across the common law position of master and servant and termination simpliciter, which entitles an employer to terminate the services of its employee provided such termination is in accordance with the terms of the employee’s contract. Tan Tek Seng deals with the employment of civil servants which is given constitutional protection against dismissal pursuant to Article 135 of the Federal Constitution. The contract of employment of private employees is also given protection under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1967.</w:t>
      </w:r>
      <w:r>
        <w:rPr>
          <w:rFonts w:ascii="arial" w:eastAsia="arial" w:hAnsi="arial" w:cs="arial"/>
          <w:b w:val="0"/>
          <w:i w:val="0"/>
          <w:strike w:val="0"/>
          <w:noProof w:val="0"/>
          <w:color w:val="000000"/>
          <w:position w:val="0"/>
          <w:sz w:val="18"/>
          <w:u w:val="none"/>
          <w:vertAlign w:val="baseline"/>
        </w:rPr>
        <w:t>”; and</w:t>
      </w:r>
      <w:r>
        <w:t>
</w:t>
      </w:r>
    </w:p>
    <w:p>
      <w:pPr>
        <w:keepNext w:val="0"/>
        <w:numPr>
          <w:numId w:val="8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Indian Supreme Court case of </w:t>
      </w:r>
      <w:r>
        <w:rPr>
          <w:rFonts w:ascii="arial" w:eastAsia="arial" w:hAnsi="arial" w:cs="arial"/>
          <w:b w:val="0"/>
          <w:i/>
          <w:strike w:val="0"/>
          <w:noProof w:val="0"/>
          <w:color w:val="000000"/>
          <w:position w:val="0"/>
          <w:sz w:val="24"/>
          <w:u w:val="none"/>
          <w:vertAlign w:val="baseline"/>
        </w:rPr>
        <w:t>Jacob Puliyel v Union Of India &amp; Ors</w:t>
      </w:r>
      <w:r>
        <w:rPr>
          <w:rFonts w:ascii="arial" w:eastAsia="arial" w:hAnsi="arial" w:cs="arial"/>
          <w:b w:val="0"/>
          <w:i w:val="0"/>
          <w:strike w:val="0"/>
          <w:noProof w:val="0"/>
          <w:color w:val="000000"/>
          <w:position w:val="0"/>
          <w:sz w:val="24"/>
          <w:u w:val="none"/>
          <w:vertAlign w:val="baseline"/>
        </w:rPr>
        <w:t xml:space="preserve">, whereby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We have already referred to the material placed by the Union of India and the States appearing before this Court. While there is abundant data to show that getting vaccinated continues to be the dominant expert advice even in the face of new variants, no submission nor any data has been put forth to justify restrictions only on unvaccinated individuals when emerging scientific evidence appears to indicate that the risk of transmission of the virus from unvaccinated individuals is almost on par with that from vaccinated persons. To put it differently, neither the Union of India nor the State Governments have produced any material before this Court to justify the discriminatory treatment of unvaccinated individuals in public places by imposition of vaccine mandates. No doubt that when COVID-19 vaccines came into the picture, they were expected to address, and were indeed found to be successful in dealing with, the risk of infection from the variants in circulation at the time. However, with the virus mutating, we have seen more potent variants surface which have broken through the vaccination barrier to some extent. While vaccination mandates in the era of prevalence of the variants prior to the Delta variant may have withstood constitutional scrutiny, in light of the data presented by the Petitioner, which has not been controverted by the Union of India as well as the State Governments, we are of the opinion that the restrictions on unvaccinated individuals imposed through vaccine mandates cannot be considered to be proportionate, especially since both vaccinated and unvaccinated individuals presently appear to be susceptible to transmission of the virus at similar levels.</w:t>
      </w:r>
      <w:r>
        <w:rPr>
          <w:rFonts w:ascii="arial" w:eastAsia="arial" w:hAnsi="arial" w:cs="arial"/>
          <w:b w:val="0"/>
          <w:i w:val="0"/>
          <w:strike w:val="0"/>
          <w:noProof w:val="0"/>
          <w:color w:val="000000"/>
          <w:position w:val="0"/>
          <w:sz w:val="18"/>
          <w:u w:val="none"/>
          <w:vertAlign w:val="baseline"/>
        </w:rPr>
        <w:t>”; and</w:t>
      </w:r>
      <w:r>
        <w:t>
</w:t>
      </w:r>
    </w:p>
    <w:p>
      <w:pPr>
        <w:keepNext w:val="0"/>
        <w:numPr>
          <w:numId w:val="6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CLW-2 during re-examination stated that for the Claimant the risk of vaccine side effects is higher than the risk of complications from the Covid infection itself;</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The Company, vide its Statement in Reply dated 3rd October 2022, avers as follows: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operates under two production sharing contracts (“PSC”) with PETRONAS;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responsibilities as a Mechanical Technician on the offshore platform include,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the following</w:t>
      </w:r>
    </w:p>
    <w:p>
      <w:pPr>
        <w:keepNext w:val="0"/>
        <w:numPr>
          <w:numId w:val="8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ensure quality of Permit-to-Work and maintenance activities are completed according to the Operations Work Management System;</w:t>
      </w:r>
    </w:p>
    <w:p>
      <w:pPr>
        <w:keepNext w:val="0"/>
        <w:numPr>
          <w:numId w:val="8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differentiate related Life Saving Action Activities to identify the highest potential hazards and controls for the given activity;</w:t>
      </w:r>
    </w:p>
    <w:p>
      <w:pPr>
        <w:keepNext w:val="0"/>
        <w:numPr>
          <w:numId w:val="8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take an active part in day-to-day safety work on board the offshore platform;</w:t>
      </w:r>
    </w:p>
    <w:p>
      <w:pPr>
        <w:keepNext w:val="0"/>
        <w:numPr>
          <w:numId w:val="8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ensure the offshore facilities are maintained within the guidelines of the Maintenance Procedures Manual / Site-Specific Plan and Interim Directive;</w:t>
      </w:r>
    </w:p>
    <w:p>
      <w:pPr>
        <w:keepNext w:val="0"/>
        <w:numPr>
          <w:numId w:val="8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proactively plan and execute mechanical related compliance activities to ensure compliance such as mechanical and process equipment preventative maintenance;</w:t>
      </w:r>
    </w:p>
    <w:p>
      <w:pPr>
        <w:keepNext w:val="0"/>
        <w:numPr>
          <w:numId w:val="8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demonstrate ownership of all equipment onboard the offshore platform through daily walk-around and knowledge of equipment health and issues;</w:t>
      </w:r>
    </w:p>
    <w:p>
      <w:pPr>
        <w:keepNext w:val="0"/>
        <w:numPr>
          <w:numId w:val="8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perform base maintenance tasks as assigned to support overall maintenance objectives; and</w:t>
      </w:r>
    </w:p>
    <w:p>
      <w:pPr>
        <w:keepNext w:val="0"/>
        <w:numPr>
          <w:numId w:val="9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maintain equipment safely and reliably within industry practices and regulations;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terms and conditions of the Claimant’s employment as expressly stipulated in the Letter of Offer which was duly accepted by the Claimant on 25th December 2013 include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p>
    <w:p>
      <w:pPr>
        <w:keepNext w:val="0"/>
        <w:numPr>
          <w:numId w:val="9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is bound by the Company’s policies, including its Health Policy and Safety Policy; and</w:t>
      </w:r>
    </w:p>
    <w:p>
      <w:pPr>
        <w:keepNext w:val="0"/>
        <w:numPr>
          <w:numId w:val="9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is expected to become fully engaged in all of the Company’s</w:t>
      </w:r>
    </w:p>
    <w:p>
      <w:pPr>
        <w:keepNext w:val="0"/>
        <w:numPr>
          <w:numId w:val="9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safety and risk management programs in view of its industry leading safety performance;</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fixed Offshore allowances amounting to RM2,123.00 per month and Fixed Crew Change by Boat allowances amounting to RM875.00 per month are variables dependent on the Claimant’s offshore mobilization whereby he is only entitled to the said allowances should he be mobilised offshore;</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a Petroleum Arrangement Contractor (“PAC”) to PETRONAS in the Malaysian oil &amp; gas industry regulated by PETRONAS pursuant to the Petroleum Development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the Company is legally and contractually bound by PETRONAS’ directives, policies and regulations;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line with PETRONAS’ “Green Bubble” requirement, vide the Company’s circular dated 27th August 2021 (“COVID-19 Vaccination Circular”), employees were notified of the requirement to be fully vaccinated as a precondition to enter Company-operated offshore facilities, transport and onshore facilities supporting offshore operations with effect from 1st October 2021;</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vide e-mail dated 30th August 2021, it was explained to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any personnel who is not fully vaccinated will not be mobilized offshore and reference could be made to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issued by the Ministry of Health on 1st July 2021 for guidance;</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Notice of Refusal to Vaccinate was enclosed to the Claimant’s e-mail dated 31st August 2021 to COW-2 which,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put the Company on notice of the Claimant’s refusal to be vaccinated;</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a circular dated 1st September 2021, PETRONAS had imposed full vaccination as a precondition for –</w:t>
      </w:r>
    </w:p>
    <w:p>
      <w:pPr>
        <w:keepNext w:val="0"/>
        <w:numPr>
          <w:numId w:val="9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employees, subcontractors and visitors to enter PACs’ premises, including going to offshore effective 1st October 2021; and</w:t>
      </w:r>
    </w:p>
    <w:p>
      <w:pPr>
        <w:keepNext w:val="0"/>
        <w:numPr>
          <w:numId w:val="9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employees, contractors and visitors to access PETRONAS’ premises;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letter dated 15th September 2021, the Claimant was instructed to provide his action plan to ensure uninterrupted performance of his obligations as per the Letter of Offer in view of the Company’s Covid-19 full vaccination requirement. The Claimant was also placed on notice that his refusal to comply with the Company’s full vaccination requirement by 1st October 2021 will render him unable to perform his obligations as per the Letter of Offer;</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vide letter dated 19th September 2021, the Claimant had,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stated that he was prepared to cooperate with the Company in respect of the Company’s vaccination requirement subject to clarifications being provided by the Company in relation to his concerns raised in the Notice of Refusal to Vaccinate;</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meeting held via Zoom on 4th October 2021 –</w:t>
      </w:r>
    </w:p>
    <w:p>
      <w:pPr>
        <w:keepNext w:val="0"/>
        <w:numPr>
          <w:numId w:val="9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COW-1, COW-2, COW-3 and a representative from the Human Resources Department, one Sofia A. Razli, were in attendance;</w:t>
      </w:r>
    </w:p>
    <w:p>
      <w:pPr>
        <w:keepNext w:val="0"/>
        <w:numPr>
          <w:numId w:val="9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allowed to bring any publicly available data, anecdotes, references, publications or other sources which had influenced his refusal to be vaccinated into the meeting to enable the Company’s Medical and Occupational Health Department to review and aid in his understanding where relevant. However, the Claimant failed to do so;</w:t>
      </w:r>
    </w:p>
    <w:p>
      <w:pPr>
        <w:keepNext w:val="0"/>
        <w:numPr>
          <w:numId w:val="9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COW-3 shared reference materials with the Claimant during the meeting; and</w:t>
      </w:r>
    </w:p>
    <w:p>
      <w:pPr>
        <w:keepNext w:val="0"/>
        <w:numPr>
          <w:numId w:val="9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did not respond to or engage further with COW-3 after the meeting;</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vide letter dated 8th October 2021 the Company had,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placed on record that the Claimant’s concerns raised in the Notice of Refusal to</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Vaccinate have been addressed during the meeting held on 4th October 2021. The Company further placed on record –</w:t>
      </w:r>
    </w:p>
    <w:p>
      <w:pPr>
        <w:keepNext w:val="0"/>
        <w:numPr>
          <w:numId w:val="10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aware and had acknowledged that the Company is bound by PETRONAS’ requirements as a PAC in the Malaysian oil &amp; gas industry regulated by PETRONAS;</w:t>
      </w:r>
    </w:p>
    <w:p>
      <w:pPr>
        <w:keepNext w:val="0"/>
        <w:numPr>
          <w:numId w:val="10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goodwill basis, delayed the Claimant’s next scheduled hitch to commence on 30th October 2021 to give him time to comply with the Company’s vaccination requirement; and</w:t>
      </w:r>
    </w:p>
    <w:p>
      <w:pPr>
        <w:keepNext w:val="0"/>
        <w:numPr>
          <w:numId w:val="10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failure to report for duty on his next scheduled hitch in a condition which allows him access to Company-operated offshore facilities, transport and onshore facilities supporting offshore productions will be deemed as his expression of non-interest in continued employment with the Company and an abandonment of his services;</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vide e-mail dated 29th October 2021, the Company further explained –</w:t>
      </w:r>
    </w:p>
    <w:p>
      <w:pPr>
        <w:keepNext w:val="0"/>
        <w:numPr>
          <w:numId w:val="10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legally and contractually bound by PETRONAS’ vaccination requirement as a precondition for all employees, subcontractors and visitors to enter the Company’s premises, including offshore facilities effective 1 st October 2021;</w:t>
      </w:r>
    </w:p>
    <w:p>
      <w:pPr>
        <w:keepNext w:val="0"/>
        <w:numPr>
          <w:numId w:val="10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vaccination requirement implemented by the Company is in view of the above requirement by PETRONAS and its legal obligations and duties under the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 as an employer to ensure the safety, health and welfare at work of all its employees, including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to provide a working environment that is safe and without risks to the health of its employees; and</w:t>
      </w:r>
    </w:p>
    <w:p>
      <w:pPr>
        <w:keepNext w:val="0"/>
        <w:numPr>
          <w:numId w:val="10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failure to be fully vaccinated will pose a substantial health and safety threat to others at his work location and thus, compromises the Company’s duty and obligation to provide a safe working environment under the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been reminded that he had a contractual duty to comply with the Company’s Health Policy and Safety Policy and his failure to comply with the said policies as well as the Company’s vaccination requirement will amount to insubordination; and</w:t>
      </w:r>
    </w:p>
    <w:p>
      <w:pPr>
        <w:keepNext w:val="0"/>
        <w:numPr>
          <w:numId w:val="8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the Company’s numerous efforts to accommodate him, the Claimant informed the Company vide e-mail dated 8th November 2021 of his position to maintain his decision of not getting vaccinated. Nowhere was it ever stated that the decision was due to the Company’s purported failure to sufficiently address the issues raised in his Notice of Refusal to Vaccinate.</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In relation thereto, the Company also contends that –</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line with the rules of natural justice and procedural fairness, the Claimant was provided with the opportunity to explain why disciplinary actions should not be taken against him in relation to the following charges vide a letter dated 7th December 2021;</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vide a letter dated 10th December 2021, the Claimant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he maintains his “</w:t>
      </w:r>
      <w:r>
        <w:rPr>
          <w:rFonts w:ascii="arial" w:eastAsia="arial" w:hAnsi="arial" w:cs="arial"/>
          <w:b w:val="0"/>
          <w:i/>
          <w:strike w:val="0"/>
          <w:noProof w:val="0"/>
          <w:color w:val="000000"/>
          <w:position w:val="0"/>
          <w:sz w:val="24"/>
          <w:u w:val="none"/>
          <w:vertAlign w:val="baseline"/>
        </w:rPr>
        <w:t>earlier decision of not getting vaccinated”</w:t>
      </w:r>
      <w:r>
        <w:rPr>
          <w:rFonts w:ascii="arial" w:eastAsia="arial" w:hAnsi="arial" w:cs="arial"/>
          <w:b w:val="0"/>
          <w:i w:val="0"/>
          <w:strike w:val="0"/>
          <w:noProof w:val="0"/>
          <w:color w:val="000000"/>
          <w:position w:val="0"/>
          <w:sz w:val="24"/>
          <w:u w:val="none"/>
          <w:vertAlign w:val="baseline"/>
        </w:rPr>
        <w:t xml:space="preserve"> and as a result of that, he “</w:t>
      </w:r>
      <w:r>
        <w:rPr>
          <w:rFonts w:ascii="arial" w:eastAsia="arial" w:hAnsi="arial" w:cs="arial"/>
          <w:b w:val="0"/>
          <w:i/>
          <w:strike w:val="0"/>
          <w:noProof w:val="0"/>
          <w:color w:val="000000"/>
          <w:position w:val="0"/>
          <w:sz w:val="24"/>
          <w:u w:val="none"/>
          <w:vertAlign w:val="baseline"/>
        </w:rPr>
        <w:t>can’t report duty on [his] schedule hitch</w:t>
      </w:r>
      <w:r>
        <w:rPr>
          <w:rFonts w:ascii="arial" w:eastAsia="arial" w:hAnsi="arial" w:cs="arial"/>
          <w:b w:val="0"/>
          <w:i w:val="0"/>
          <w:strike w:val="0"/>
          <w:noProof w:val="0"/>
          <w:color w:val="000000"/>
          <w:position w:val="0"/>
          <w:sz w:val="24"/>
          <w:u w:val="none"/>
          <w:vertAlign w:val="baseline"/>
        </w:rPr>
        <w:t>”. Upon reviewing and considering the said letter, the Company did not find his explanations therein satisfactory nor acceptable;</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unsatisfactory conduct and behaviour were inconsistent with the express and / or implied terms of his employment and / or the Company’s expectations on Safety Policy, Health Policy, COVID-19 full vaccination requirement and the Company’s zero-tolerance policy on non- compliance;</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could no longer repose the necessary trust and confidence in the Claimant to continue in his employment. In these circumstances, the Company had no alternative but to terminate the Claimant’s services with immediate effect vide the Termination Letter;</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has a duty to abide by all lawful and reasonable orders and instructions by the Company. There is no reason to suggest that the Company’s vaccination requirement is other than a lawful order. Never at any time did the Claimant raise or establish that he was unable to be vaccinated against COVID-19 due to medical grounds;</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also failed to raise any issues in relation to his purported inability to “interpret”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to COW-3, for the latter to address the same. It is obvious from the various efforts by the Company to address his concerns in relation to the vaccination requirement, that the Claimant is simply a conscientious objector of the vaccine;</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such, the Claimant had compromised the Company’s legal and contractual obligation to ensure the safety, health and welfare at work of all its employees including,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to provide a working environment that is safe and without risks to the health of its employees; and</w:t>
      </w:r>
    </w:p>
    <w:p>
      <w:pPr>
        <w:keepNext w:val="0"/>
        <w:numPr>
          <w:numId w:val="10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averments that he had been deprived of his right to be heard due to the absence of a domestic inquiry being held prior to his dismissal and that the same amounted to “</w:t>
      </w:r>
      <w:r>
        <w:rPr>
          <w:rFonts w:ascii="arial" w:eastAsia="arial" w:hAnsi="arial" w:cs="arial"/>
          <w:b w:val="0"/>
          <w:i/>
          <w:strike w:val="0"/>
          <w:noProof w:val="0"/>
          <w:color w:val="000000"/>
          <w:position w:val="0"/>
          <w:sz w:val="24"/>
          <w:u w:val="none"/>
          <w:vertAlign w:val="baseline"/>
        </w:rPr>
        <w:t>procedural infirmities</w:t>
      </w:r>
      <w:r>
        <w:rPr>
          <w:rFonts w:ascii="arial" w:eastAsia="arial" w:hAnsi="arial" w:cs="arial"/>
          <w:b w:val="0"/>
          <w:i w:val="0"/>
          <w:strike w:val="0"/>
          <w:noProof w:val="0"/>
          <w:color w:val="000000"/>
          <w:position w:val="0"/>
          <w:sz w:val="24"/>
          <w:u w:val="none"/>
          <w:vertAlign w:val="baseline"/>
        </w:rPr>
        <w:t>” are misconceived in law.</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dated 4th December 2023 and the Company’s Written Rebuttal dated 8th January 2024, submits that –</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per COW-1’s testimony, as a PAC to PETRONAS by virtue of the PSCs and being in the Malaysian oil &amp; gas industry regulated by PETRONAS pursuant to the Petroleum Development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and the Petroleum Regulations 1974, the Company is legally and contractually bound by PETRONAS’ guidelines and directives. Following thereto, the Company had implemented the vaccination requirement in view of its statutory obligation pursuant to the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 in order to provide a safe working environment for its workers and the same requirement being imposed by PETRONAS, being a government agency and the regulator of the oil &amp; gas industry;</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vaccination requirement was also in line with the Standard Operating Procedures issued by the Ministry of International Trade and Industry and National Security Council at the material time which prevented unvaccinated persons from entering the Company’s premises;</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is not only permitted in law to impose health and safety requirements on its employees and comply with the current laws and regulations, but also where any regulation is not yet in place;</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as a responsible and prudent employer applies a higher standard of health and safety for the benefits of its employees, based on its Safety Policy and Health Policy;</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context of employment, an individual’s rights not to be vaccinated as raised by the Claimant in the Notice of Refusal to Vaccinate must be balanced with an employer’s rights to provide a safe working environment for its workers, thus, the Claimant cannot impose his liberty to remain unvaccinated against the Company;</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preamble and subsection 2 (1) of the Petroleum Development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empowers PETRONAS to issue directives involving the health and safety of the Company’s employees, which includes imposing safety requirements which are beyond the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 such as the requirement for employees to go through health checks and exercises before going offshore;</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never informed the Company that he was suffering from any diseases or produced any medical report that indicated that he would suffer from the rare side effects stated in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all the Company’s employees are given medical plans which provide full coverage for any health issues suffered by them and even death whereby death benefits would be paid to the employees’ family;</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view of the Claimant’s nature of work which requires him to be in a closed environment and in close contact with his colleagues, his risk of COVID-19 infection was higher;</w:t>
      </w:r>
    </w:p>
    <w:p>
      <w:pPr>
        <w:keepNext w:val="0"/>
        <w:numPr>
          <w:numId w:val="10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according to COW-2 –</w:t>
      </w:r>
    </w:p>
    <w:p>
      <w:pPr>
        <w:keepNext w:val="0"/>
        <w:numPr>
          <w:numId w:val="10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job as a Mechanical Technician requires him to be based at a Company-operated offshore platform as his job is not one which can be done remotely;</w:t>
      </w:r>
    </w:p>
    <w:p>
      <w:pPr>
        <w:keepNext w:val="0"/>
        <w:numPr>
          <w:numId w:val="10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view of his refusal to comply with the Company’s COVID-19 full vaccination requirement and failure to report for duty on his scheduled hitch commencement, the Claimant was dismissed from his employment;</w:t>
      </w:r>
    </w:p>
    <w:p>
      <w:pPr>
        <w:keepNext w:val="0"/>
        <w:numPr>
          <w:numId w:val="1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due to the increased likelihood of personnel contracting Covid-19 which could lead to significant operational disruptions, quarantine requirements were introduced which resulted in prolonged offshore oil &amp; gas employees’ tour of duty and impact to their mental health and wellbeing;</w:t>
      </w:r>
    </w:p>
    <w:p>
      <w:pPr>
        <w:keepNext w:val="0"/>
        <w:numPr>
          <w:numId w:val="1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July 2021, PETRONAS, a government agency, alongside the Ministry of Health worked together to address the growing mental distress among offshore crew and agreed that relaxation of quarantine requirements could only be made possible through the Green Bubble process and full vaccination of the employees;</w:t>
      </w:r>
    </w:p>
    <w:p>
      <w:pPr>
        <w:keepNext w:val="0"/>
        <w:numPr>
          <w:numId w:val="1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of a Covid-19 outbreak at any of the Company-operated offshore platforms, the shutdown of any Company-operated platforms directly impacts the supply of oil and natural gas in Malaysia as the Company produces about one-fifth of the nation’s oil production and about one-half of natural gas supplies to Peninsular Malaysia;</w:t>
      </w:r>
    </w:p>
    <w:p>
      <w:pPr>
        <w:keepNext w:val="0"/>
        <w:numPr>
          <w:numId w:val="1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Lawit-A platform is a gas producing platform which feeds the national gas power plant that provides electricity to Malaysia. Therefore, any shutdown of Lawit-A could potentially lead to an electricity power outage to almost one third of Peninsular Malaysia;</w:t>
      </w:r>
    </w:p>
    <w:p>
      <w:pPr>
        <w:keepNext w:val="0"/>
        <w:numPr>
          <w:numId w:val="1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an employee of the Company, the Claimant had a duty to abide by all lawful and reasonable orders and instructions by the Company. There is nothing to suggest that the Company’s Covid-19 full vaccination requirement is other than a lawful order;</w:t>
      </w:r>
    </w:p>
    <w:p>
      <w:pPr>
        <w:keepNext w:val="0"/>
        <w:numPr>
          <w:numId w:val="1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had compromised the Company’s legal and contractual obligation to ensure the safety, health and welfare at work of all its employees including among others, to provide a working environment that is safe and without risks to the health of its employees;</w:t>
      </w:r>
    </w:p>
    <w:p>
      <w:pPr>
        <w:keepNext w:val="0"/>
        <w:numPr>
          <w:numId w:val="1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after 100% of the Company’s workforce had been vaccinated against COVID-19, there were no serious cases of COVID-19 among the Company’s employees;</w:t>
      </w:r>
    </w:p>
    <w:p>
      <w:pPr>
        <w:keepNext w:val="0"/>
        <w:numPr>
          <w:numId w:val="1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being unvaccinated posed a substantial health and safety threat to others, given that his chances of getting infected with Covid-19 was higher and it was challenging to apply social distancing in a contained offshore working environment where employees share living quarters, sleep, eat and also work in the same location;</w:t>
      </w:r>
    </w:p>
    <w:p>
      <w:pPr>
        <w:keepNext w:val="0"/>
        <w:numPr>
          <w:numId w:val="1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should the Company fail to comply with PETRONAS’ requirement as a PAC, the Company’s contract with PETRONAS to operate in Malaysia may be terminated;</w:t>
      </w:r>
    </w:p>
    <w:p>
      <w:pPr>
        <w:keepNext w:val="0"/>
        <w:numPr>
          <w:numId w:val="1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also no alternative employment for employees who refused to be vaccinated as unvaccinated employees cannot even access the Company’s onshore or offshore premise; and</w:t>
      </w:r>
    </w:p>
    <w:p>
      <w:pPr>
        <w:keepNext w:val="0"/>
        <w:numPr>
          <w:numId w:val="1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due to a high number of Covid-19 positive cases at the Company’s Irong-Barat A platform, the Company had to manually shut down the said platform for almost one week and this hugely impacted the Company’s production as well as resources;</w:t>
      </w:r>
    </w:p>
    <w:p/>
    <w:p>
      <w:pPr>
        <w:keepNext w:val="0"/>
        <w:spacing w:before="120"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(k) as explained by COW-3, the Company’s Regional Occupational Health Manager, –</w:t>
      </w:r>
    </w:p>
    <w:p>
      <w:pPr>
        <w:keepNext w:val="0"/>
        <w:numPr>
          <w:numId w:val="1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according to the Medical Research Council Centre (“MRC”) for Global Infectious Disease Analysis, Imperial College London in partnership with among others, the World Health Organisation (“WHO”), it was found that,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based on official reported Covid-19 deaths, it is estimated vaccinations prevented 14.4 million deaths from Covid-19 in 185 countries and territories between 8 th December 2020 and 8th December 2021 and in the South-East Asian region which included Malaysia, 19.61 deaths were prevented by the Covid-19 vaccination for every 10,000 people at a vaccination coverage of 35.40%;</w:t>
      </w:r>
    </w:p>
    <w:p>
      <w:pPr>
        <w:keepNext w:val="0"/>
        <w:numPr>
          <w:numId w:val="1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before the Covid-19 vaccination, the ICU utilization in government hospitals were very often at or exceeding capacity as Covid-19 patients were exhibiting severe symptoms. However, with the introduction of the Covid-19 vaccine, the severity of infections were reduced and therefore, the burden on government hospital bed utilization and ICU utilization improved;</w:t>
      </w:r>
    </w:p>
    <w:p>
      <w:pPr>
        <w:keepNext w:val="0"/>
        <w:numPr>
          <w:numId w:val="1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is a general medical consensus that Covid-19 vaccination is highly effective in preventing or reducing severe symptoms in the vaccinated persons;</w:t>
      </w:r>
    </w:p>
    <w:p>
      <w:pPr>
        <w:keepNext w:val="0"/>
        <w:numPr>
          <w:numId w:val="1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an employee develops side effects from the Covid-19 vaccine and are required to undergo supportive treatment, such treatments are covered under the Company’s Medical Plan; and</w:t>
      </w:r>
    </w:p>
    <w:p>
      <w:pPr>
        <w:keepNext w:val="0"/>
        <w:numPr>
          <w:numId w:val="1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as well as his department were available for employees during the material time to connect with them via a consultation appointment or whatever means to discuss any concerns regarding the COVID-19 vaccine;</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(l) the Claimant admitted during cross-examination that –</w:t>
      </w:r>
    </w:p>
    <w:p>
      <w:pPr>
        <w:keepNext w:val="0"/>
        <w:numPr>
          <w:numId w:val="1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per his terms of employment, he had agreed to be subjected to among others, the Company’s Safety Policy and Health Policy, and to be fully engaged in all safety and risk management programs conducted by the Company;</w:t>
      </w:r>
    </w:p>
    <w:p>
      <w:pPr>
        <w:keepNext w:val="0"/>
        <w:numPr>
          <w:numId w:val="1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Offshore Allowance, Crew Change by Boat Allowance and Overtime pay are not fixed monthly allowances / payment as they are subject to the terms of the Collective Agreement 2019 – 2022 between Kesatuan Pekerja-Pekerja ExxonMobil Exploration and Production Malaysia Incorporated and ExxonMobil Exploration and Production Malaysia Inc. entered into on 24 th June 2019;</w:t>
      </w:r>
    </w:p>
    <w:p>
      <w:pPr>
        <w:keepNext w:val="0"/>
        <w:numPr>
          <w:numId w:val="1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his functions and responsibilities as a Mechanical Technician based offshore cannot be carried out remotely; and</w:t>
      </w:r>
    </w:p>
    <w:p>
      <w:pPr>
        <w:keepNext w:val="0"/>
        <w:numPr>
          <w:numId w:val="1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had been informed that Lawit-A offshore platform is indeed owned by PETRONAS even though initially he had stated that he was unsure of whether Lawit-A was owned by PETRONAS;</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 xml:space="preserve">(m) he had never done any pre-vaccination assessment despite the same being expressly provided under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and highlighted to him by the Company, or even taken any initiative to submit any pre-vaccination assessment report to the Company for its consideration because of his refusal to comply with the Company’s instructions;</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(n) in his response to the Company’s reply for him to refer to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as a guidance, the Claimant had also never stated that he could not understand the said Guidelines.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Notice of Refusal to Vaccinate, he had simply informed the Company of his decision to not get vaccinated without any pre-vaccination assessment report for the Company’s consideration. Furthermore, he was able to make a comparison between the Covid-19 vaccines and other vaccines as well as analyse and understand the scientific data in relation to the said vaccines as per his answers to questions number 39 (b) and 41 (d) of CLWS1;</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(o) in the five months from August 2021 until 21st January 2022 when he was terminated from the Company’s employment, the Claimant had never taken any initiative to –</w:t>
      </w:r>
    </w:p>
    <w:p>
      <w:pPr>
        <w:keepNext w:val="0"/>
        <w:numPr>
          <w:numId w:val="1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obtain a medical report or diagnosis from CLW-2 to support his decision not to be vaccinated; and</w:t>
      </w:r>
    </w:p>
    <w:p>
      <w:pPr>
        <w:keepNext w:val="0"/>
        <w:numPr>
          <w:numId w:val="1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refer and seek clarification from CLW-2 as regards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for his understanding;</w:t>
      </w:r>
    </w:p>
    <w:p/>
    <w:p>
      <w:pPr>
        <w:keepNext w:val="0"/>
        <w:spacing w:after="0" w:line="300" w:lineRule="atLeast"/>
        <w:ind w:left="0" w:right="0" w:firstLine="0"/>
        <w:jc w:val="both"/>
      </w:pPr>
      <w:r>
        <w:rPr>
          <w:rFonts w:ascii="arial" w:eastAsia="arial" w:hAnsi="arial" w:cs="arial"/>
          <w:b w:val="0"/>
          <w:i w:val="0"/>
          <w:strike w:val="0"/>
          <w:noProof w:val="0"/>
          <w:color w:val="000000"/>
          <w:position w:val="0"/>
          <w:sz w:val="24"/>
          <w:u w:val="none"/>
          <w:vertAlign w:val="baseline"/>
        </w:rPr>
        <w:t>(p) according to his own witness, i.e. CLW-2, she would rather have taken the risk of the vaccine than get infected with Covid-19 and importantly, vaccine hesitancy in a pandemic situation can be classified as risky behaviour; and</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(q) despite alleging that the Company’s Covid-19 full vaccination requirement was “against the law and medical code”, the Claimant admitted that –</w:t>
      </w:r>
    </w:p>
    <w:p>
      <w:pPr>
        <w:keepNext w:val="0"/>
        <w:numPr>
          <w:numId w:val="1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there was never any legal action taken against the Company by any government authorities for its “illegal conduct”; and</w:t>
      </w:r>
    </w:p>
    <w:p>
      <w:pPr>
        <w:keepNext w:val="0"/>
        <w:numPr>
          <w:numId w:val="1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had never lodged any police report against the Company for its “illegal action”.</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The Company further submits that –</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Malaysian Medical Council Guideline which makes no mention of the Covid-19 vaccine is not applicable to the Ministry of Health’s encouragement for the Malaysian population to get vaccinated;</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also never contacted COW-3 directly to raise any issues regarding the </w:t>
      </w:r>
      <w:r>
        <w:rPr>
          <w:rFonts w:ascii="arial" w:eastAsia="arial" w:hAnsi="arial" w:cs="arial"/>
          <w:b w:val="0"/>
          <w:i/>
          <w:strike w:val="0"/>
          <w:noProof w:val="0"/>
          <w:color w:val="000000"/>
          <w:position w:val="0"/>
          <w:sz w:val="24"/>
          <w:u w:val="none"/>
          <w:vertAlign w:val="baseline"/>
        </w:rPr>
        <w:t>Clinical Guidelines on COVID-19 Vaccination in Malaysia (Annex 48)</w:t>
      </w:r>
      <w:r>
        <w:rPr>
          <w:rFonts w:ascii="arial" w:eastAsia="arial" w:hAnsi="arial" w:cs="arial"/>
          <w:b w:val="0"/>
          <w:i w:val="0"/>
          <w:strike w:val="0"/>
          <w:noProof w:val="0"/>
          <w:color w:val="000000"/>
          <w:position w:val="0"/>
          <w:sz w:val="24"/>
          <w:u w:val="none"/>
          <w:vertAlign w:val="baseline"/>
        </w:rPr>
        <w:t xml:space="preserve"> despite being advised by COW-2 to do so;</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given the Claimant the opportunity to provide his explanation vide the show cause letter. Further, there is no policy in the Company which mandates a domestic inquiry to be convened before an employee is terminated from employment;</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CLW-2 unequivocally admitted and conceded during cross-examination as follows –</w:t>
      </w:r>
    </w:p>
    <w:p>
      <w:pPr>
        <w:keepNext w:val="0"/>
        <w:numPr>
          <w:numId w:val="1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is not a virologist and was never directly involved in the Ministry of Health’s extensive study of the Covid-19 virus, how they spread, are prevented or treated nor was she attached to the Ministry of Health during the material time; and</w:t>
      </w:r>
    </w:p>
    <w:p>
      <w:pPr>
        <w:keepNext w:val="0"/>
        <w:numPr>
          <w:numId w:val="1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she was also never an employee of the Company and hence was not familiar with the Company’s health and safety policies;</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not a patient of CLW-2 and had never consulted CLW-2 for any pre-vaccination assessment or physical examination to determine whether or not he was suitable for the Covid-19 vaccination. Thus, it is only CLW-2’s unsubstantiated, estimated opinion that the Claimant’s risk benefit ratio was not in favour for vaccination;</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an online article written by CLW-2 in March 2021, she stated that it was also one of her “mission” to encourage vaccine uptake and that she would rather have taken the risk of the vaccine than get infected with COVID-19; and</w:t>
      </w:r>
    </w:p>
    <w:p>
      <w:pPr>
        <w:keepNext w:val="0"/>
        <w:numPr>
          <w:numId w:val="1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according to the Ministry of Health, all vaccines have shown to be effective and fairly safe. In fact, 11 economic sectors were re-opened by the Government at the material time, in view of the country’s high vaccination rate. In fact, according to WHO, COvid-19 vaccines have been proven to be safe, effective and life-saving.</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The Company also submits that –</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function of the Industrial Court in a reference under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has been lucidly explained by Raja Azlan Shah CJ (as His Royal Highness then was) in the Federal Court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as regards the issue as to whether the Claimant was dismissed with just cause or excuse reliance is placed upon the principle stated in the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[1988] 1 MLJ 92;</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 xml:space="preserve">[1995] 3 CLJ 344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as follows: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On the authorities, we were of the view that the main and only function of the Industrial Court in dealing with a reference under </w:t>
      </w:r>
      <w:r>
        <w:rPr>
          <w:rFonts w:ascii="arial" w:eastAsia="arial" w:hAnsi="arial" w:cs="arial"/>
          <w:b w:val="0"/>
          <w:i w:val="0"/>
          <w:strike w:val="0"/>
          <w:noProof w:val="0"/>
          <w:color w:val="000000"/>
          <w:position w:val="0"/>
          <w:sz w:val="18"/>
          <w:u w:val="none"/>
          <w:vertAlign w:val="baseline"/>
        </w:rPr>
        <w:t>s. 20</w:t>
      </w:r>
      <w:r>
        <w:rPr>
          <w:rFonts w:ascii="arial" w:eastAsia="arial" w:hAnsi="arial" w:cs="arial"/>
          <w:b w:val="0"/>
          <w:i/>
          <w:strike w:val="0"/>
          <w:noProof w:val="0"/>
          <w:color w:val="000000"/>
          <w:position w:val="0"/>
          <w:sz w:val="18"/>
          <w:u w:val="none"/>
          <w:vertAlign w:val="baseline"/>
        </w:rPr>
        <w:t xml:space="preserve">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 is to determine whether the misconduct or irregularities complained of by the management as the grounds of dismissal were in fact committed by the workman, and if so, whether such grounds constitute just cause or excuse for the dismissal.</w:t>
      </w:r>
      <w:r>
        <w:rPr>
          <w:rFonts w:ascii="arial" w:eastAsia="arial" w:hAnsi="arial" w:cs="arial"/>
          <w:b w:val="0"/>
          <w:i w:val="0"/>
          <w:strike w:val="0"/>
          <w:noProof w:val="0"/>
          <w:color w:val="000000"/>
          <w:position w:val="0"/>
          <w:sz w:val="18"/>
          <w:u w:val="none"/>
          <w:vertAlign w:val="baseline"/>
        </w:rPr>
        <w:t>”;</w:t>
      </w:r>
      <w:r>
        <w:t>
</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a principle of industrial relations jurisprudence that in a dismissal case, the employer must produce convincing and cogent evidence that the workman committed the offence or offences he is alleged to have committed for which he had been dismissed. The burden of proof lies on the Company on a balance of probabilities to establish this;</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held that the standard of proof applicable is the civil standard, i.e. proof on a balance of probabilities which is flexible so that the degree of probability required is proportionate to the nature and gravity of the issue;</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an employee has an obligation to faithfully discharge his duty to his employer and it follows that he should not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inconsistently with the interests of the employer. In </w:t>
      </w:r>
      <w:r>
        <w:rPr>
          <w:rFonts w:ascii="arial" w:eastAsia="arial" w:hAnsi="arial" w:cs="arial"/>
          <w:b w:val="0"/>
          <w:i/>
          <w:strike w:val="0"/>
          <w:noProof w:val="0"/>
          <w:color w:val="000000"/>
          <w:position w:val="0"/>
          <w:sz w:val="24"/>
          <w:u w:val="none"/>
          <w:vertAlign w:val="baseline"/>
        </w:rPr>
        <w:t xml:space="preserve">Pearce v Foster  </w:t>
      </w:r>
      <w:r>
        <w:rPr>
          <w:rFonts w:ascii="arial" w:eastAsia="arial" w:hAnsi="arial" w:cs="arial"/>
          <w:b w:val="0"/>
          <w:i w:val="0"/>
          <w:strike w:val="0"/>
          <w:noProof w:val="0"/>
          <w:color w:val="000000"/>
          <w:position w:val="0"/>
          <w:sz w:val="24"/>
          <w:u w:val="none"/>
          <w:vertAlign w:val="baseline"/>
        </w:rPr>
        <w:t>[1886] 17 QBD 536, Lord Esher MR succinctly stated the following in relation to the duty of a servant to his master:</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xml:space="preserve">The rule of law is, that where a person has entered into the position of servant, if he does anything incompatible with the due or faithful discharge of his duty to his master, the latter has a right to dismiss him. The relation of master and servant implies necessarily that the servant shall be in a position to perform his duty duly and faithfully, and if by his own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he prevents himself from doing so, the master may dismiss him. …</w:t>
      </w:r>
      <w:r>
        <w:rPr>
          <w:rFonts w:ascii="arial" w:eastAsia="arial" w:hAnsi="arial" w:cs="arial"/>
          <w:b w:val="0"/>
          <w:i w:val="0"/>
          <w:strike w:val="0"/>
          <w:noProof w:val="0"/>
          <w:color w:val="000000"/>
          <w:position w:val="0"/>
          <w:sz w:val="18"/>
          <w:u w:val="none"/>
          <w:vertAlign w:val="baseline"/>
        </w:rPr>
        <w:t>”;</w:t>
      </w:r>
      <w:r>
        <w:t>
</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the facts of this case, the fundamental reason relied on by the Company in terminating the Claimant is his insubordination in failing to comply with the Company’s Covid-19 full vaccination requirement. As highlighted by 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above, the duty of this Court is to enquire whether that reason has been made out;</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insubordination denotes the tendency or state of mind of any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which is contrary to the subordinate position of the employee. When an employee challenges the authority of the superior it amounts to giving formal notice to the employer that the employee will no longer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the subordinate capacity and will not receive any orders or instructions from the superior employer;</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action clearly demonstrated that he had refused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a subordinate capacity as he had refused to follow the management’s lawful instruction, without any medical exemption, in breach of the terms of his employment and the Company’s policies;</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challenging an employer’s authority is therefore, contrary to the basic character of the employer and employee relationship and hence, constitutes insubordination. This was succinctly explained by B.R. Ghaiye in “</w:t>
      </w:r>
      <w:r>
        <w:rPr>
          <w:rFonts w:ascii="arial" w:eastAsia="arial" w:hAnsi="arial" w:cs="arial"/>
          <w:b w:val="0"/>
          <w:i/>
          <w:strike w:val="0"/>
          <w:noProof w:val="0"/>
          <w:color w:val="000000"/>
          <w:position w:val="0"/>
          <w:sz w:val="24"/>
          <w:u w:val="none"/>
          <w:vertAlign w:val="baseline"/>
        </w:rPr>
        <w:t>Misconduct in Employment</w:t>
      </w:r>
      <w:r>
        <w:rPr>
          <w:rFonts w:ascii="arial" w:eastAsia="arial" w:hAnsi="arial" w:cs="arial"/>
          <w:b w:val="0"/>
          <w:i w:val="0"/>
          <w:strike w:val="0"/>
          <w:noProof w:val="0"/>
          <w:color w:val="000000"/>
          <w:position w:val="0"/>
          <w:sz w:val="24"/>
          <w:u w:val="none"/>
          <w:vertAlign w:val="baseline"/>
        </w:rPr>
        <w:t xml:space="preserve">” which was relied on by the Industrial Court in the case of </w:t>
      </w:r>
      <w:r>
        <w:rPr>
          <w:rFonts w:ascii="arial" w:eastAsia="arial" w:hAnsi="arial" w:cs="arial"/>
          <w:b w:val="0"/>
          <w:i/>
          <w:strike w:val="0"/>
          <w:noProof w:val="0"/>
          <w:color w:val="000000"/>
          <w:position w:val="0"/>
          <w:sz w:val="24"/>
          <w:u w:val="none"/>
          <w:vertAlign w:val="baseline"/>
        </w:rPr>
        <w:t xml:space="preserve">Ahmad Nazri Mustafa v Boustead Petroleum Marketing Sdn Bhd  </w:t>
      </w:r>
      <w:r>
        <w:rPr>
          <w:rFonts w:ascii="arial" w:eastAsia="arial" w:hAnsi="arial" w:cs="arial"/>
          <w:b w:val="0"/>
          <w:i w:val="0"/>
          <w:strike w:val="0"/>
          <w:noProof w:val="0"/>
          <w:color w:val="000000"/>
          <w:position w:val="0"/>
          <w:sz w:val="24"/>
          <w:u w:val="none"/>
          <w:vertAlign w:val="baseline"/>
        </w:rPr>
        <w:t>[2017] 2 ILR 336, i.e. “</w:t>
      </w:r>
      <w:r>
        <w:rPr>
          <w:rFonts w:ascii="arial" w:eastAsia="arial" w:hAnsi="arial" w:cs="arial"/>
          <w:b w:val="0"/>
          <w:i/>
          <w:strike w:val="0"/>
          <w:noProof w:val="0"/>
          <w:color w:val="000000"/>
          <w:position w:val="0"/>
          <w:sz w:val="24"/>
          <w:u w:val="none"/>
          <w:vertAlign w:val="baseline"/>
        </w:rPr>
        <w:t xml:space="preserve">[t]he right to control employees is a distinguishing feature of the contract of employment. When the employee does certain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which is contrary to his position of a subordinate, then he is guilty of insubordination ...</w:t>
      </w:r>
      <w:r>
        <w:rPr>
          <w:rFonts w:ascii="arial" w:eastAsia="arial" w:hAnsi="arial" w:cs="arial"/>
          <w:b w:val="0"/>
          <w:i w:val="0"/>
          <w:strike w:val="0"/>
          <w:noProof w:val="0"/>
          <w:color w:val="000000"/>
          <w:position w:val="0"/>
          <w:sz w:val="24"/>
          <w:u w:val="none"/>
          <w:vertAlign w:val="baseline"/>
        </w:rPr>
        <w:t>”;</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Malaysia, the general rule governing the doctrine of superior orders is nothing more than the duty of obedience that is expected of an employee. The most fundamental implied duty of an employee is to obey his employer’s orders as enunciated by the Federal Court in </w:t>
      </w:r>
      <w:r>
        <w:rPr>
          <w:rFonts w:ascii="arial" w:eastAsia="arial" w:hAnsi="arial" w:cs="arial"/>
          <w:b w:val="0"/>
          <w:i/>
          <w:strike w:val="0"/>
          <w:noProof w:val="0"/>
          <w:color w:val="000000"/>
          <w:position w:val="0"/>
          <w:sz w:val="24"/>
          <w:u w:val="none"/>
          <w:vertAlign w:val="baseline"/>
        </w:rPr>
        <w:t xml:space="preserve">Ngeow Voon Yean v Sungai Wang Plaza Sdn Bhd / Landmarks Holdings Bhd  </w:t>
      </w:r>
      <w:r>
        <w:rPr>
          <w:rFonts w:ascii="arial" w:eastAsia="arial" w:hAnsi="arial" w:cs="arial"/>
          <w:b w:val="0"/>
          <w:i w:val="0"/>
          <w:strike w:val="0"/>
          <w:noProof w:val="0"/>
          <w:color w:val="000000"/>
          <w:position w:val="0"/>
          <w:sz w:val="24"/>
          <w:u w:val="none"/>
          <w:vertAlign w:val="baseline"/>
        </w:rPr>
        <w:t>[2006] 3 CLJ 837;</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not disputed that the Claimant had willfully refused to comply with the Company’s Covid-19 full vaccination requirement since August 2021, despite the numerous discussions held with him between August 2021 until 8th November 2021 and the opportunities given to him to obtain clarifications on any concerns he may have;</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main contention for his refusal to comply with the Company’s Covid-19 full vaccination requirement was that the said requirement was “unlawful” and “beyond Ministry of Health’s authority”, which is unsubstantiated and simply without merit;</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Company’s Covid-19 full vaccination requirement with effect from 1st October 2021 was in line with Section 15 of the Occupational Safety and Health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1994, the Company’s Safety Policy and Health Policy and PETRONAS’ requirement as the industry regulator;</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addition to its statutory duty, the Company’s Safety Policy and Health Policy which forms part of the terms of the Claimant’s employment also mandates that the Company shall comply with all applicable laws and regulations and apply responsible standards where laws and regulations do not exist;</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also had agreed when cross-examined that he never disputed that the Company as a member of the oil and gas industry regulated by PETRONAS was bound by the requirements stipulated by PETRONAS, which is a government agency;</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despite the paramount importance of the Company to fulfil its obligation and commitment to PETRONAS to produce one-fifth of the nation’s oil production and about one-half of natural gas supplies to Peninsular Malaysia, it is the Claimant’s unreasonable stand that his sole liberty to not be vaccinated against Covid-19 without any medical justification for the Company’s consideration, takes precedence over the Company’s legal and contractual obligations to PETRONAS;</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if it was indeed true that the Claimant had refused to comply with the Company’s Covid-19 full vaccination requirement due to the same being “unlawful”, he should have challenged the so-called legality of the said requirement. However, this he did not do as unequivocally admitted by him when cross-examined;</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w:t>
      </w:r>
      <w:r>
        <w:rPr>
          <w:rFonts w:ascii="arial" w:eastAsia="arial" w:hAnsi="arial" w:cs="arial"/>
          <w:b w:val="0"/>
          <w:i/>
          <w:strike w:val="0"/>
          <w:noProof w:val="0"/>
          <w:color w:val="000000"/>
          <w:position w:val="0"/>
          <w:sz w:val="24"/>
          <w:u w:val="none"/>
          <w:vertAlign w:val="baseline"/>
        </w:rPr>
        <w:t xml:space="preserve">Ngeow Voon Yean v Sungai Wang Plaza Sdn Bhd / Landmarks Holdings Bhd  </w:t>
      </w:r>
      <w:r>
        <w:rPr>
          <w:rFonts w:ascii="arial" w:eastAsia="arial" w:hAnsi="arial" w:cs="arial"/>
          <w:b w:val="0"/>
          <w:i w:val="0"/>
          <w:strike w:val="0"/>
          <w:noProof w:val="0"/>
          <w:color w:val="000000"/>
          <w:position w:val="0"/>
          <w:sz w:val="24"/>
          <w:u w:val="none"/>
          <w:vertAlign w:val="baseline"/>
        </w:rPr>
        <w:t>[2006] 3 CLJ 837 explained that even where there is doubt on whether the order is legal or not, employees are to firstly obey the order and only subsequently, challenge its legality in a separate proceeding;</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Courts have consistently held in a plethora of cases that disobedience of lawful orders is a serious misconduct that warrants dismissal. For instance, in the Industrial Court case of </w:t>
      </w:r>
      <w:r>
        <w:rPr>
          <w:rFonts w:ascii="arial" w:eastAsia="arial" w:hAnsi="arial" w:cs="arial"/>
          <w:b w:val="0"/>
          <w:i/>
          <w:strike w:val="0"/>
          <w:noProof w:val="0"/>
          <w:color w:val="000000"/>
          <w:position w:val="0"/>
          <w:sz w:val="24"/>
          <w:u w:val="none"/>
          <w:vertAlign w:val="baseline"/>
        </w:rPr>
        <w:t xml:space="preserve">Chua Fang Lin v Nanyang Siang Pau Sdn Bhd  </w:t>
      </w:r>
      <w:r>
        <w:rPr>
          <w:rFonts w:ascii="arial" w:eastAsia="arial" w:hAnsi="arial" w:cs="arial"/>
          <w:b w:val="0"/>
          <w:i w:val="0"/>
          <w:strike w:val="0"/>
          <w:noProof w:val="0"/>
          <w:color w:val="000000"/>
          <w:position w:val="0"/>
          <w:sz w:val="24"/>
          <w:u w:val="none"/>
          <w:vertAlign w:val="baseline"/>
        </w:rPr>
        <w:t>[2014] 2 ILR 611, the learned Chairman enunciated that insubordination is a serious misconduct which destroys the employer- employee relationship of trust and confidence and thus, justifies dismissal;</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also the Claimant’s pleaded case that the disciplinary proceeding conducted by the Company against him contained “</w:t>
      </w:r>
      <w:r>
        <w:rPr>
          <w:rFonts w:ascii="arial" w:eastAsia="arial" w:hAnsi="arial" w:cs="arial"/>
          <w:b w:val="0"/>
          <w:i/>
          <w:strike w:val="0"/>
          <w:noProof w:val="0"/>
          <w:color w:val="000000"/>
          <w:position w:val="0"/>
          <w:sz w:val="24"/>
          <w:u w:val="none"/>
          <w:vertAlign w:val="baseline"/>
        </w:rPr>
        <w:t>procedural infirmities as the fundamental elements of justice were not adhered to</w:t>
      </w:r>
      <w:r>
        <w:rPr>
          <w:rFonts w:ascii="arial" w:eastAsia="arial" w:hAnsi="arial" w:cs="arial"/>
          <w:b w:val="0"/>
          <w:i w:val="0"/>
          <w:strike w:val="0"/>
          <w:noProof w:val="0"/>
          <w:color w:val="000000"/>
          <w:position w:val="0"/>
          <w:sz w:val="24"/>
          <w:u w:val="none"/>
          <w:vertAlign w:val="baseline"/>
        </w:rPr>
        <w:t xml:space="preserve"> “ in view of there being no domestic inquiry held prior to his termination. This, we humbly submit is simply misconstrued as there was clearly no breach of the principle of natural justice and the Claimant was given the full opportunity of being heard;</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himself admitted when cross-examined that there were no such policies in the Company which mandates a domestic inquiry prior to the dismissal of any employee;</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any event, it is trite law that a hearing before the Industrial Court is conducted </w:t>
      </w:r>
      <w:r>
        <w:rPr>
          <w:rFonts w:ascii="arial" w:eastAsia="arial" w:hAnsi="arial" w:cs="arial"/>
          <w:b w:val="0"/>
          <w:i/>
          <w:strike w:val="0"/>
          <w:noProof w:val="0"/>
          <w:color w:val="000000"/>
          <w:position w:val="0"/>
          <w:sz w:val="24"/>
          <w:u w:val="none"/>
          <w:vertAlign w:val="baseline"/>
        </w:rPr>
        <w:t>de novo</w:t>
      </w:r>
      <w:r>
        <w:rPr>
          <w:rFonts w:ascii="arial" w:eastAsia="arial" w:hAnsi="arial" w:cs="arial"/>
          <w:b w:val="0"/>
          <w:i w:val="0"/>
          <w:strike w:val="0"/>
          <w:noProof w:val="0"/>
          <w:color w:val="000000"/>
          <w:position w:val="0"/>
          <w:sz w:val="24"/>
          <w:u w:val="none"/>
          <w:vertAlign w:val="baseline"/>
        </w:rPr>
        <w:t xml:space="preserve">, and thus the failure to hold a domestic inquiry does not vitiate proceedings as the Claimant is allowed to present his case before the Industrial Court that his dismissal by the company had been without just cause and excuse as stated by the Federal Court in the case of </w:t>
      </w:r>
      <w:r>
        <w:rPr>
          <w:rFonts w:ascii="arial" w:eastAsia="arial" w:hAnsi="arial" w:cs="arial"/>
          <w:b w:val="0"/>
          <w:i/>
          <w:strike w:val="0"/>
          <w:noProof w:val="0"/>
          <w:color w:val="000000"/>
          <w:position w:val="0"/>
          <w:sz w:val="24"/>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24"/>
          <w:u w:val="none"/>
          <w:vertAlign w:val="baseline"/>
        </w:rPr>
        <w:t>[1995] 3 CLJ 344; and</w:t>
      </w:r>
    </w:p>
    <w:p>
      <w:pPr>
        <w:keepNext w:val="0"/>
        <w:numPr>
          <w:numId w:val="1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furthermore, it is open to an employer to justify his action before the Industrial Court by leading all relevant evidence before it and by having the entire matter referred before the Court as enunciated by the Supreme Court in the case </w:t>
      </w:r>
      <w:r>
        <w:rPr>
          <w:rFonts w:ascii="arial" w:eastAsia="arial" w:hAnsi="arial" w:cs="arial"/>
          <w:b w:val="0"/>
          <w:i/>
          <w:strike w:val="0"/>
          <w:noProof w:val="0"/>
          <w:color w:val="000000"/>
          <w:position w:val="0"/>
          <w:sz w:val="24"/>
          <w:u w:val="none"/>
          <w:vertAlign w:val="baseline"/>
        </w:rPr>
        <w:t xml:space="preserve">of Dreamland Corp Sdn Bhd v Choong Chin Soo  </w:t>
      </w:r>
      <w:r>
        <w:rPr>
          <w:rFonts w:ascii="arial" w:eastAsia="arial" w:hAnsi="arial" w:cs="arial"/>
          <w:b w:val="0"/>
          <w:i w:val="0"/>
          <w:strike w:val="0"/>
          <w:noProof w:val="0"/>
          <w:color w:val="000000"/>
          <w:position w:val="0"/>
          <w:sz w:val="24"/>
          <w:u w:val="none"/>
          <w:vertAlign w:val="baseline"/>
        </w:rPr>
        <w:t>[1988] 1 MLJ 111.</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In addition to the above, the Company submits that –</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at the outset, it must be reiterated that the main and only function of this Court in dealing with a reference under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is to determine whether the ground of dismissal complained of by the employer, i.e. the Company were in fact committed and if so, whether the said ground constitute just cause or excuse for the dismissal of the employee, i.e. the Claimant;</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contends that –</w:t>
      </w:r>
    </w:p>
    <w:p>
      <w:pPr>
        <w:keepNext w:val="0"/>
        <w:numPr>
          <w:numId w:val="1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Covid-19 full vaccination requirement and the “undue influence” imposed on him was in breach of the Federal Constitution, i.e. Article 5 as well as local and international medical laws, and was hence unlawful and illegal;</w:t>
      </w:r>
    </w:p>
    <w:p>
      <w:pPr>
        <w:keepNext w:val="0"/>
        <w:numPr>
          <w:numId w:val="1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acceptance of the Covid-19 vaccine must be purely voluntary, in line with Article 5 of the Federal Constitution, the Guidance and Requirements on Conditional Registration of Pharmaceutical Products During Disaster, </w:t>
      </w:r>
      <w:r>
        <w:rPr>
          <w:rFonts w:ascii="arial" w:eastAsia="arial" w:hAnsi="arial" w:cs="arial"/>
          <w:b w:val="0"/>
          <w:i/>
          <w:strike w:val="0"/>
          <w:noProof w:val="0"/>
          <w:color w:val="000000"/>
          <w:position w:val="0"/>
          <w:sz w:val="24"/>
          <w:u w:val="none"/>
          <w:vertAlign w:val="baseline"/>
        </w:rPr>
        <w:t>Risalah Maklumat Untuk Penerima</w:t>
      </w:r>
      <w:r>
        <w:rPr>
          <w:rFonts w:ascii="arial" w:eastAsia="arial" w:hAnsi="arial" w:cs="arial"/>
          <w:b w:val="0"/>
          <w:i w:val="0"/>
          <w:strike w:val="0"/>
          <w:noProof w:val="0"/>
          <w:color w:val="000000"/>
          <w:position w:val="0"/>
          <w:sz w:val="24"/>
          <w:u w:val="none"/>
          <w:vertAlign w:val="baseline"/>
        </w:rPr>
        <w:t xml:space="preserve"> (RiMUP) and Clinical Trials and Biomedical Research, the Universal Declaration of Human Rights, the Universal Declaration of Bioethics and Human Rights and WMA Declaration of Helsinki; and</w:t>
      </w:r>
    </w:p>
    <w:p>
      <w:pPr>
        <w:keepNext w:val="0"/>
        <w:numPr>
          <w:numId w:val="1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reference to the case of </w:t>
      </w:r>
      <w:r>
        <w:rPr>
          <w:rFonts w:ascii="arial" w:eastAsia="arial" w:hAnsi="arial" w:cs="arial"/>
          <w:b w:val="0"/>
          <w:i/>
          <w:strike w:val="0"/>
          <w:noProof w:val="0"/>
          <w:color w:val="000000"/>
          <w:position w:val="0"/>
          <w:sz w:val="24"/>
          <w:u w:val="none"/>
          <w:vertAlign w:val="baseline"/>
        </w:rPr>
        <w:t>Jacob Puliyel v Union of India &amp; Ors</w:t>
      </w:r>
      <w:r>
        <w:rPr>
          <w:rFonts w:ascii="arial" w:eastAsia="arial" w:hAnsi="arial" w:cs="arial"/>
          <w:b w:val="0"/>
          <w:i w:val="0"/>
          <w:strike w:val="0"/>
          <w:noProof w:val="0"/>
          <w:color w:val="000000"/>
          <w:position w:val="0"/>
          <w:sz w:val="24"/>
          <w:u w:val="none"/>
          <w:vertAlign w:val="baseline"/>
        </w:rPr>
        <w:t xml:space="preserve"> whereby the Indian Supreme Court held that bodily integrity is protected under Article 21 of the Indian Constitution, the Company submits that it had never denied that recipients of the Covid-19 vaccination generally have the option to choose whether to accept or refuse the said vaccine;</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right to refuse the Covid-19 vaccination in this case must be balanced with the Company’s right as an employer to impose such a requirement for the safety of all its employees, in line with the terms and conditions of the Claimant’s employment with the Company;</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employers’ right to implement its statutory obligation to provide safe working environment to all of its employee against an individual employee’s right not to be vaccinated without any medical justification can be analogically seen in the Malaysian Government’s action in the recent case High Court case of </w:t>
      </w:r>
      <w:r>
        <w:rPr>
          <w:rFonts w:ascii="arial" w:eastAsia="arial" w:hAnsi="arial" w:cs="arial"/>
          <w:b w:val="0"/>
          <w:i/>
          <w:strike w:val="0"/>
          <w:noProof w:val="0"/>
          <w:color w:val="000000"/>
          <w:position w:val="0"/>
          <w:sz w:val="24"/>
          <w:u w:val="none"/>
          <w:vertAlign w:val="baseline"/>
        </w:rPr>
        <w:t xml:space="preserve">Wan Ramli Wan Seman v Lt Kol Sharull Hesham Md Yasin &amp; Ors  </w:t>
      </w:r>
      <w:r>
        <w:rPr>
          <w:rFonts w:ascii="arial" w:eastAsia="arial" w:hAnsi="arial" w:cs="arial"/>
          <w:b w:val="0"/>
          <w:i w:val="0"/>
          <w:strike w:val="0"/>
          <w:noProof w:val="0"/>
          <w:color w:val="000000"/>
          <w:position w:val="0"/>
          <w:sz w:val="24"/>
          <w:u w:val="none"/>
          <w:vertAlign w:val="baseline"/>
        </w:rPr>
        <w:t>[2023] 8 CLJ 314. The High Court held that the mandatory COVID-19 vaccination requirement did not infringe Article 5 (1) of the Federal Constitution and that the decisions made by the Malaysia Army was free from any illegality, irrationality, unreasonableness or procedural impropriety;</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consistent with the above High Court decision, the Shah Alam High Court in the recent cases of </w:t>
      </w:r>
      <w:r>
        <w:rPr>
          <w:rFonts w:ascii="arial" w:eastAsia="arial" w:hAnsi="arial" w:cs="arial"/>
          <w:b w:val="0"/>
          <w:i/>
          <w:strike w:val="0"/>
          <w:noProof w:val="0"/>
          <w:color w:val="000000"/>
          <w:position w:val="0"/>
          <w:sz w:val="24"/>
          <w:u w:val="none"/>
          <w:vertAlign w:val="baseline"/>
        </w:rPr>
        <w:t>Ahmad Firdaus Omar &amp; 18 Ors v Pendaftar, Universiti Malaya &amp; Ors</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val="0"/>
          <w:i/>
          <w:strike w:val="0"/>
          <w:noProof w:val="0"/>
          <w:color w:val="000000"/>
          <w:position w:val="0"/>
          <w:sz w:val="24"/>
          <w:u w:val="none"/>
          <w:vertAlign w:val="baseline"/>
        </w:rPr>
        <w:t>Kok Kooi Ngoh &amp; 4 Ors v Menteri, Kementerian Pendidikan Malaysia</w:t>
      </w:r>
      <w:r>
        <w:rPr>
          <w:rFonts w:ascii="arial" w:eastAsia="arial" w:hAnsi="arial" w:cs="arial"/>
          <w:b w:val="0"/>
          <w:i w:val="0"/>
          <w:strike w:val="0"/>
          <w:noProof w:val="0"/>
          <w:color w:val="000000"/>
          <w:position w:val="0"/>
          <w:sz w:val="24"/>
          <w:u w:val="none"/>
          <w:vertAlign w:val="baseline"/>
        </w:rPr>
        <w:t xml:space="preserve"> had also dismissed two separate judicial review applications respectively filed by 19 employees of University of Malaya and five school teachers for among others, a certiorari order against the </w:t>
      </w:r>
      <w:r>
        <w:rPr>
          <w:rFonts w:ascii="arial" w:eastAsia="arial" w:hAnsi="arial" w:cs="arial"/>
          <w:b w:val="0"/>
          <w:i/>
          <w:strike w:val="0"/>
          <w:noProof w:val="0"/>
          <w:color w:val="000000"/>
          <w:position w:val="0"/>
          <w:sz w:val="24"/>
          <w:u w:val="none"/>
          <w:vertAlign w:val="baseline"/>
        </w:rPr>
        <w:t>Pekeliling Perkhidmatan Bilangan 4 Tahun 2021</w:t>
      </w:r>
      <w:r>
        <w:rPr>
          <w:rFonts w:ascii="arial" w:eastAsia="arial" w:hAnsi="arial" w:cs="arial"/>
          <w:b w:val="0"/>
          <w:i w:val="0"/>
          <w:strike w:val="0"/>
          <w:noProof w:val="0"/>
          <w:color w:val="000000"/>
          <w:position w:val="0"/>
          <w:sz w:val="24"/>
          <w:u w:val="none"/>
          <w:vertAlign w:val="baseline"/>
        </w:rPr>
        <w:t xml:space="preserve"> (“Service Circular”) which mandates COVID-19 vaccination for all public servants on among others, the ground that the Service Circular infringed Article 5 of the Federal Constitution;</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COVID-19 full vaccination requirement was neither implemented by the Company in the practice of medicine or in any capacity as a registered medical practitioner and therefore, the Medical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1971 and guidelines, do not apply to the Company and are irrelevant to the case;</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trite that employers have a managerial prerogative to regulate the conditions of work of their employees as enumerated by the High Court in </w:t>
      </w:r>
      <w:r>
        <w:rPr>
          <w:rFonts w:ascii="arial" w:eastAsia="arial" w:hAnsi="arial" w:cs="arial"/>
          <w:b w:val="0"/>
          <w:i/>
          <w:strike w:val="0"/>
          <w:noProof w:val="0"/>
          <w:color w:val="000000"/>
          <w:position w:val="0"/>
          <w:sz w:val="24"/>
          <w:u w:val="none"/>
          <w:vertAlign w:val="baseline"/>
        </w:rPr>
        <w:t xml:space="preserve">Elya Designs Sdn Bhd v Mahkamah Perusahaan Malaysia &amp; Anor  </w:t>
      </w:r>
      <w:r>
        <w:rPr>
          <w:rFonts w:ascii="arial" w:eastAsia="arial" w:hAnsi="arial" w:cs="arial"/>
          <w:b w:val="0"/>
          <w:i w:val="0"/>
          <w:strike w:val="0"/>
          <w:noProof w:val="0"/>
          <w:color w:val="000000"/>
          <w:position w:val="0"/>
          <w:sz w:val="24"/>
          <w:u w:val="none"/>
          <w:vertAlign w:val="baseline"/>
        </w:rPr>
        <w:t>[2011] 3 CLJ 929;</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had conveniently omitted to highlight that the Indian Supreme Court in </w:t>
      </w:r>
      <w:r>
        <w:rPr>
          <w:rFonts w:ascii="arial" w:eastAsia="arial" w:hAnsi="arial" w:cs="arial"/>
          <w:b w:val="0"/>
          <w:i/>
          <w:strike w:val="0"/>
          <w:noProof w:val="0"/>
          <w:color w:val="000000"/>
          <w:position w:val="0"/>
          <w:sz w:val="24"/>
          <w:u w:val="none"/>
          <w:vertAlign w:val="baseline"/>
        </w:rPr>
        <w:t>Jacob Puliyel v Union Of India &amp; Ors</w:t>
      </w:r>
      <w:r>
        <w:rPr>
          <w:rFonts w:ascii="arial" w:eastAsia="arial" w:hAnsi="arial" w:cs="arial"/>
          <w:b w:val="0"/>
          <w:i w:val="0"/>
          <w:strike w:val="0"/>
          <w:noProof w:val="0"/>
          <w:color w:val="000000"/>
          <w:position w:val="0"/>
          <w:sz w:val="24"/>
          <w:u w:val="none"/>
          <w:vertAlign w:val="baseline"/>
        </w:rPr>
        <w:t xml:space="preserve"> even concluded among others, that the vaccination policy implemented by of the Union of India cannot be said to be unreasonable;</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recent cases of </w:t>
      </w:r>
      <w:r>
        <w:rPr>
          <w:rFonts w:ascii="arial" w:eastAsia="arial" w:hAnsi="arial" w:cs="arial"/>
          <w:b w:val="0"/>
          <w:i/>
          <w:strike w:val="0"/>
          <w:noProof w:val="0"/>
          <w:color w:val="000000"/>
          <w:position w:val="0"/>
          <w:sz w:val="24"/>
          <w:u w:val="none"/>
          <w:vertAlign w:val="baseline"/>
        </w:rPr>
        <w:t>Mohamad Hafiz Haji Husen v Airasia Berhad</w:t>
      </w:r>
      <w:r>
        <w:rPr>
          <w:rFonts w:ascii="arial" w:eastAsia="arial" w:hAnsi="arial" w:cs="arial"/>
          <w:b w:val="0"/>
          <w:i w:val="0"/>
          <w:strike w:val="0"/>
          <w:noProof w:val="0"/>
          <w:color w:val="000000"/>
          <w:position w:val="0"/>
          <w:sz w:val="24"/>
          <w:u w:val="none"/>
          <w:vertAlign w:val="baseline"/>
        </w:rPr>
        <w:t xml:space="preserve"> (AWARD NO.: 2349 OF 2023) and </w:t>
      </w:r>
      <w:r>
        <w:rPr>
          <w:rFonts w:ascii="arial" w:eastAsia="arial" w:hAnsi="arial" w:cs="arial"/>
          <w:b w:val="0"/>
          <w:i/>
          <w:strike w:val="0"/>
          <w:noProof w:val="0"/>
          <w:color w:val="000000"/>
          <w:position w:val="0"/>
          <w:sz w:val="24"/>
          <w:u w:val="none"/>
          <w:vertAlign w:val="baseline"/>
        </w:rPr>
        <w:t>Amir Hirman Sulaiman v Airasia Berhad</w:t>
      </w:r>
      <w:r>
        <w:rPr>
          <w:rFonts w:ascii="arial" w:eastAsia="arial" w:hAnsi="arial" w:cs="arial"/>
          <w:b w:val="0"/>
          <w:i w:val="0"/>
          <w:strike w:val="0"/>
          <w:noProof w:val="0"/>
          <w:color w:val="000000"/>
          <w:position w:val="0"/>
          <w:sz w:val="24"/>
          <w:u w:val="none"/>
          <w:vertAlign w:val="baseline"/>
        </w:rPr>
        <w:t xml:space="preserve"> (AWARD NO.: 2363 OF 2023), the Industrial Court held that the COVID- 19 full vaccination requirement implemented by the employer therein was a lawful and reasonable order within the ambit of employment and thus, the employees’ unwillingness to accept the COVID-19 vaccination amounted to disobedience. The Industrial Court also recognised that the employer’s right to adopt higher public health standards at the workplace to make sure its employees are not exposed to or do not expose any health risks such as COVID-19 infections, especially in the confined area of an aircraft;</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own witness, CLWS-2 conceded when cross-examined that the Claimant’s risk of being infected with COVID-19 was generally higher in view of the nature of his work;</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submission that the “real objective” of the Company’s COVID-19 full vaccination requirement was “merely to save operational costs” which would have been spent on the quarantine procedure of offshore workers was never pleaded in his Statement of Case or even Rejoinder. As restated by the Federal Court in </w:t>
      </w:r>
      <w:r>
        <w:rPr>
          <w:rFonts w:ascii="arial" w:eastAsia="arial" w:hAnsi="arial" w:cs="arial"/>
          <w:b w:val="0"/>
          <w:i/>
          <w:strike w:val="0"/>
          <w:noProof w:val="0"/>
          <w:color w:val="000000"/>
          <w:position w:val="0"/>
          <w:sz w:val="24"/>
          <w:u w:val="none"/>
          <w:vertAlign w:val="baseline"/>
        </w:rPr>
        <w:t xml:space="preserve">R Rama Chandran v Industrial Court of Malaysia &amp; Anor  </w:t>
      </w:r>
      <w:r>
        <w:rPr>
          <w:rFonts w:ascii="arial" w:eastAsia="arial" w:hAnsi="arial" w:cs="arial"/>
          <w:b w:val="0"/>
          <w:i w:val="0"/>
          <w:strike w:val="0"/>
          <w:noProof w:val="0"/>
          <w:color w:val="000000"/>
          <w:position w:val="0"/>
          <w:sz w:val="24"/>
          <w:u w:val="none"/>
          <w:vertAlign w:val="baseline"/>
        </w:rPr>
        <w:t>[1997] 1 CLJ 147 it is trite law that a party is bound by its pleadings;</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reliance on the case of </w:t>
      </w:r>
      <w:r>
        <w:rPr>
          <w:rFonts w:ascii="arial" w:eastAsia="arial" w:hAnsi="arial" w:cs="arial"/>
          <w:b w:val="0"/>
          <w:i/>
          <w:strike w:val="0"/>
          <w:noProof w:val="0"/>
          <w:color w:val="000000"/>
          <w:position w:val="0"/>
          <w:sz w:val="24"/>
          <w:u w:val="none"/>
          <w:vertAlign w:val="baseline"/>
        </w:rPr>
        <w:t xml:space="preserve">O’connor v Commissioner For Government Transport  </w:t>
      </w:r>
      <w:r>
        <w:rPr>
          <w:rFonts w:ascii="arial" w:eastAsia="arial" w:hAnsi="arial" w:cs="arial"/>
          <w:b w:val="0"/>
          <w:i w:val="0"/>
          <w:strike w:val="0"/>
          <w:noProof w:val="0"/>
          <w:color w:val="000000"/>
          <w:position w:val="0"/>
          <w:sz w:val="24"/>
          <w:u w:val="none"/>
          <w:vertAlign w:val="baseline"/>
        </w:rPr>
        <w:t>[1954] 100 CLR 225 is also misplaced, as the Australian High Court in the said case made no such decision on the implementation of a COVID-19 full vaccination requirement by an employer; and</w:t>
      </w:r>
    </w:p>
    <w:p>
      <w:pPr>
        <w:keepNext w:val="0"/>
        <w:numPr>
          <w:numId w:val="1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submission that he was repeatedly victimized by the Company is a serious charge and the onus of establishing ‘victimization’ is a grave one as it must be properly and adequately pleaded giving all particulars upon the charge is based as stated by the Federal Court in </w:t>
      </w:r>
      <w:r>
        <w:rPr>
          <w:rFonts w:ascii="arial" w:eastAsia="arial" w:hAnsi="arial" w:cs="arial"/>
          <w:b w:val="0"/>
          <w:i/>
          <w:strike w:val="0"/>
          <w:noProof w:val="0"/>
          <w:color w:val="000000"/>
          <w:position w:val="0"/>
          <w:sz w:val="24"/>
          <w:u w:val="none"/>
          <w:vertAlign w:val="baseline"/>
        </w:rPr>
        <w:t xml:space="preserve">Ranjit Kaur S Gopal Singh v Hotel Excelsior (M) Sdn Bhd  </w:t>
      </w:r>
      <w:r>
        <w:rPr>
          <w:rFonts w:ascii="arial" w:eastAsia="arial" w:hAnsi="arial" w:cs="arial"/>
          <w:b w:val="0"/>
          <w:i w:val="0"/>
          <w:strike w:val="0"/>
          <w:noProof w:val="0"/>
          <w:color w:val="000000"/>
          <w:position w:val="0"/>
          <w:sz w:val="24"/>
          <w:u w:val="none"/>
          <w:vertAlign w:val="baseline"/>
        </w:rPr>
        <w:t>[2010] 8 CLJ 629.</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The Claimant prays that this Court makes such order that he be reinstated to his former position without any loss of wages, allowance, service and seniority, as well as back wages in respect of full salary together with all other privileges or benefits of any kind or alternatively if reinstatement is not appropriate, an award of backwages, all outstanding commissions, bonus, loss of benefits and compensation in lieu of reinstatement together with any other relief the Court deems fit. In addition, the Claimant also prays that this Court award punitive compensation as the Company ought to be penalised by an exemplary penalty for its unconscionable conduct towards the Claimant.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(a) the Supreme Court case of </w:t>
      </w:r>
      <w:r>
        <w:rPr>
          <w:rFonts w:ascii="arial" w:eastAsia="arial" w:hAnsi="arial" w:cs="arial"/>
          <w:b w:val="0"/>
          <w:i/>
          <w:strike w:val="0"/>
          <w:noProof w:val="0"/>
          <w:color w:val="000000"/>
          <w:position w:val="0"/>
          <w:sz w:val="18"/>
          <w:u w:val="none"/>
          <w:vertAlign w:val="baseline"/>
        </w:rPr>
        <w:t xml:space="preserve">Wong Chee Hong v Cathay Organisation (M) Sdn Bhd  </w:t>
      </w:r>
      <w:r>
        <w:rPr>
          <w:rFonts w:ascii="arial" w:eastAsia="arial" w:hAnsi="arial" w:cs="arial"/>
          <w:b w:val="0"/>
          <w:i w:val="0"/>
          <w:strike w:val="0"/>
          <w:noProof w:val="0"/>
          <w:color w:val="000000"/>
          <w:position w:val="0"/>
          <w:sz w:val="18"/>
          <w:u w:val="none"/>
          <w:vertAlign w:val="baseline"/>
        </w:rPr>
        <w:t xml:space="preserve">[1988]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none"/>
          <w:vertAlign w:val="baseline"/>
        </w:rPr>
        <w:t xml:space="preserve"> 1967 said, “</w:t>
      </w:r>
      <w:r>
        <w:rPr>
          <w:rFonts w:ascii="arial" w:eastAsia="arial" w:hAnsi="arial" w:cs="arial"/>
          <w:b w:val="0"/>
          <w:i/>
          <w:strike w:val="0"/>
          <w:noProof w:val="0"/>
          <w:color w:val="000000"/>
          <w:position w:val="0"/>
          <w:sz w:val="18"/>
          <w:u w:val="none"/>
          <w:vertAlign w:val="baseline"/>
        </w:rPr>
        <w:t xml:space="preserve">When the Industrial Court is dealing with a reference under </w:t>
      </w:r>
      <w:r>
        <w:rPr>
          <w:rFonts w:ascii="arial" w:eastAsia="arial" w:hAnsi="arial" w:cs="arial"/>
          <w:b w:val="0"/>
          <w:i w:val="0"/>
          <w:strike w:val="0"/>
          <w:noProof w:val="0"/>
          <w:color w:val="000000"/>
          <w:position w:val="0"/>
          <w:sz w:val="18"/>
          <w:u w:val="none"/>
          <w:vertAlign w:val="baseline"/>
        </w:rPr>
        <w:t>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18"/>
          <w:u w:val="none"/>
          <w:vertAlign w:val="baseline"/>
        </w:rPr>
        <w:t xml:space="preserve"> “; and</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(b) the Federal Court in the case of </w:t>
      </w:r>
      <w:r>
        <w:rPr>
          <w:rFonts w:ascii="arial" w:eastAsia="arial" w:hAnsi="arial" w:cs="arial"/>
          <w:b w:val="0"/>
          <w:i/>
          <w:strike w:val="0"/>
          <w:noProof w:val="0"/>
          <w:color w:val="000000"/>
          <w:position w:val="0"/>
          <w:sz w:val="18"/>
          <w:u w:val="none"/>
          <w:vertAlign w:val="baseline"/>
        </w:rPr>
        <w:t xml:space="preserve">Goon Kwee Phoy v J &amp; P Coats (M) Bhd  </w:t>
      </w:r>
      <w:r>
        <w:rPr>
          <w:rFonts w:ascii="arial" w:eastAsia="arial" w:hAnsi="arial" w:cs="arial"/>
          <w:b w:val="0"/>
          <w:i w:val="0"/>
          <w:strike w:val="0"/>
          <w:noProof w:val="0"/>
          <w:color w:val="000000"/>
          <w:position w:val="0"/>
          <w:sz w:val="18"/>
          <w:u w:val="none"/>
          <w:vertAlign w:val="baseline"/>
        </w:rPr>
        <w:t>[1981] 1 LNS 30, where His Lordship Raja Azlan Shah, CJ (Malaya) (as HRH then was) stated that “</w:t>
      </w:r>
      <w:r>
        <w:rPr>
          <w:rFonts w:ascii="arial" w:eastAsia="arial" w:hAnsi="arial" w:cs="arial"/>
          <w:b w:val="0"/>
          <w:i/>
          <w:strike w:val="0"/>
          <w:noProof w:val="0"/>
          <w:color w:val="000000"/>
          <w:position w:val="0"/>
          <w:sz w:val="18"/>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18"/>
          <w:u w:val="none"/>
          <w:vertAlign w:val="baseline"/>
        </w:rPr>
        <w:t>”.</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This Court further notes that the Claimant avers the Company without holding a domestic inquiry proceeded to issue a termination letter dated 21st January 2022 against the Claimant and has deprived the Claimant from the right to be heard which is the essence of principle of natural justice. Thus, the Claimant further avers that his dismissal was improper and perverse.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Notwithstanding the fact that a domestic inquiry was not convened, this Court would like to point out that it is the duty of the Industrial Court to determine whether the dismissal is with or without just cause or excuse. This is clearly stated in the Federal Court case of </w:t>
      </w:r>
      <w:r>
        <w:rPr>
          <w:rFonts w:ascii="arial" w:eastAsia="arial" w:hAnsi="arial" w:cs="arial"/>
          <w:b w:val="0"/>
          <w:i/>
          <w:strike w:val="0"/>
          <w:noProof w:val="0"/>
          <w:color w:val="000000"/>
          <w:position w:val="0"/>
          <w:sz w:val="24"/>
          <w:u w:val="none"/>
          <w:vertAlign w:val="baseline"/>
        </w:rPr>
        <w:t xml:space="preserve">Wong Yuen Hock v Syarikat Hong Leong Assurance Sdn Bhd  </w:t>
      </w:r>
      <w:r>
        <w:rPr>
          <w:rFonts w:ascii="arial" w:eastAsia="arial" w:hAnsi="arial" w:cs="arial"/>
          <w:b w:val="0"/>
          <w:i w:val="0"/>
          <w:strike w:val="0"/>
          <w:noProof w:val="0"/>
          <w:color w:val="000000"/>
          <w:position w:val="0"/>
          <w:sz w:val="24"/>
          <w:u w:val="none"/>
          <w:vertAlign w:val="baseline"/>
        </w:rPr>
        <w:t>[1995] 3 CLJ 344. Mohd Azmi bin Hj Kamaruddin FCJ in delivery the judgment of the Court said as follows:</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“In any event, we held the view that once a case of wrongful dismissal had been properly referred by the Minister under </w:t>
      </w:r>
      <w:r>
        <w:rPr>
          <w:rFonts w:ascii="arial" w:eastAsia="arial" w:hAnsi="arial" w:cs="arial"/>
          <w:b w:val="0"/>
          <w:i w:val="0"/>
          <w:strike w:val="0"/>
          <w:noProof w:val="0"/>
          <w:color w:val="000000"/>
          <w:position w:val="0"/>
          <w:sz w:val="18"/>
          <w:u w:val="none"/>
          <w:vertAlign w:val="baseline"/>
        </w:rPr>
        <w:t>s. 20(3), the  Industrial Court</w:t>
      </w:r>
      <w:r>
        <w:rPr>
          <w:rFonts w:ascii="arial" w:eastAsia="arial" w:hAnsi="arial" w:cs="arial"/>
          <w:b w:val="0"/>
          <w:i/>
          <w:strike w:val="0"/>
          <w:noProof w:val="0"/>
          <w:color w:val="000000"/>
          <w:position w:val="0"/>
          <w:sz w:val="18"/>
          <w:u w:val="none"/>
          <w:vertAlign w:val="baseline"/>
        </w:rPr>
        <w:t xml:space="preserve"> was seised with jurisdiction and was obliged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to determine the dispute on its merits. Thus, even where there was a breach of contractual or statutory obligation to hold an inquiry, the Industrial Court should proceed to determine on the merits firstly, whether the misconduct complained of was in fact committed by the employee, and secondly whether the nature and extent of the misconduct could constitute just cause or excuse for the dismissal.”</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In fact, in the Industrial Court case of </w:t>
      </w:r>
      <w:r>
        <w:rPr>
          <w:rFonts w:ascii="arial" w:eastAsia="arial" w:hAnsi="arial" w:cs="arial"/>
          <w:b w:val="0"/>
          <w:i/>
          <w:strike w:val="0"/>
          <w:noProof w:val="0"/>
          <w:color w:val="000000"/>
          <w:position w:val="0"/>
          <w:sz w:val="24"/>
          <w:u w:val="none"/>
          <w:vertAlign w:val="baseline"/>
        </w:rPr>
        <w:t xml:space="preserve">The Straits Trading Company Limited &amp; STC Realty (BW) Sdn Bhd v Ong Wan Chin  </w:t>
      </w:r>
      <w:r>
        <w:rPr>
          <w:rFonts w:ascii="arial" w:eastAsia="arial" w:hAnsi="arial" w:cs="arial"/>
          <w:b w:val="0"/>
          <w:i w:val="0"/>
          <w:strike w:val="0"/>
          <w:noProof w:val="0"/>
          <w:color w:val="000000"/>
          <w:position w:val="0"/>
          <w:sz w:val="24"/>
          <w:u w:val="none"/>
          <w:vertAlign w:val="baseline"/>
        </w:rPr>
        <w:t>[2006] 4 ILR 2706, the Learned Chairman stated that “</w:t>
      </w:r>
      <w:r>
        <w:rPr>
          <w:rFonts w:ascii="arial" w:eastAsia="arial" w:hAnsi="arial" w:cs="arial"/>
          <w:b w:val="0"/>
          <w:i/>
          <w:strike w:val="0"/>
          <w:noProof w:val="0"/>
          <w:color w:val="000000"/>
          <w:position w:val="0"/>
          <w:sz w:val="24"/>
          <w:u w:val="none"/>
          <w:vertAlign w:val="baseline"/>
        </w:rPr>
        <w:t>[t]he initial defect in natural justice in that the company had failed to conduct a domestic inquiry before dismissal, is not fatal but is curable by the inquiry before the Industrial Court: see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Dreamland Corporation (M) Sdn Bhd v. Choong Chin Sooi &amp; Anor  </w:t>
      </w:r>
      <w:r>
        <w:rPr>
          <w:rFonts w:ascii="arial" w:eastAsia="arial" w:hAnsi="arial" w:cs="arial"/>
          <w:b w:val="0"/>
          <w:i w:val="0"/>
          <w:strike w:val="0"/>
          <w:noProof w:val="0"/>
          <w:color w:val="000000"/>
          <w:position w:val="0"/>
          <w:sz w:val="24"/>
          <w:u w:val="none"/>
          <w:vertAlign w:val="baseline"/>
        </w:rPr>
        <w:t>[1988] 1 CLJ 1; ; [1988] 1 CLJ (Rep) 39</w:t>
      </w:r>
      <w:r>
        <w:rPr>
          <w:rFonts w:ascii="arial" w:eastAsia="arial" w:hAnsi="arial" w:cs="arial"/>
          <w:b w:val="0"/>
          <w:i/>
          <w:strike w:val="0"/>
          <w:noProof w:val="0"/>
          <w:color w:val="000000"/>
          <w:position w:val="0"/>
          <w:sz w:val="24"/>
          <w:u w:val="none"/>
          <w:vertAlign w:val="baseline"/>
        </w:rPr>
        <w:t xml:space="preserve"> F.C. and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[1995] 4 CLJ 449 F.C</w:t>
      </w:r>
      <w:r>
        <w:rPr>
          <w:rFonts w:ascii="arial" w:eastAsia="arial" w:hAnsi="arial" w:cs="arial"/>
          <w:b w:val="0"/>
          <w:i/>
          <w:strike w:val="0"/>
          <w:noProof w:val="0"/>
          <w:color w:val="000000"/>
          <w:position w:val="0"/>
          <w:sz w:val="24"/>
          <w:u w:val="none"/>
          <w:vertAlign w:val="baseline"/>
        </w:rPr>
        <w:t xml:space="preserve">. The function of the Industrial Court in dismissal cases on a reference under </w:t>
      </w:r>
      <w:r>
        <w:rPr>
          <w:rFonts w:ascii="arial" w:eastAsia="arial" w:hAnsi="arial" w:cs="arial"/>
          <w:b w:val="0"/>
          <w:i w:val="0"/>
          <w:strike w:val="0"/>
          <w:noProof w:val="0"/>
          <w:color w:val="000000"/>
          <w:position w:val="0"/>
          <w:sz w:val="24"/>
          <w:u w:val="none"/>
          <w:vertAlign w:val="baseline"/>
        </w:rPr>
        <w:t xml:space="preserve">s. 20 of the  Industrial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w:t>
      </w:r>
      <w:r>
        <w:rPr>
          <w:rFonts w:ascii="arial" w:eastAsia="arial" w:hAnsi="arial" w:cs="arial"/>
          <w:b w:val="0"/>
          <w:i/>
          <w:strike w:val="0"/>
          <w:noProof w:val="0"/>
          <w:color w:val="000000"/>
          <w:position w:val="0"/>
          <w:sz w:val="24"/>
          <w:u w:val="none"/>
          <w:vertAlign w:val="baseline"/>
        </w:rPr>
        <w:t xml:space="preserve"> is two-fold, firstly, to determine whether the misconduct complained of by the employer has been established and secondly, whether the proven misconduct constitutes just cause or excuse for the dismissal: Milan Auto (supra)</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submissions of both the Claimant and the Company, this Court takes note that –</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terms and conditions of the Claimant’s employment as expressly stipulated in the Letter of Offer which was duly accepted by the Claimant on 25th December 2013 include,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he is bound by the Company’s policies, including its Health Policy and Safety Policy;</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on 15th September 2021 COW-2 forwarded an email to the Claimant enclosing a letter in reply in response to the Claimant’s email dated 31st August 2021, which basically provided the explanation regarding the Company’s COVID-19 Full Vaccination Requirement. The said letter also stated that the requirement was in line with,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PETRONAS’ requirement as the industry regulator for 100% full vaccination in the Upstream Oil and Gas Industry in Malaysia by 1 st October 2021;</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avers that as a PAC to PETRONAS in the Malaysian oil and gas industry regulated by PETRONAS pursuant to the Petroleum Development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1974, the Company is legally and contractually bound by PETRONAS’ directives, policies and regulations;</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line with PETRONAS’ “Green Bubble” requirement, vide the Company’s COVID-19 Vaccination Circular, employees were notified of the requirement to be fully vaccinated as a precondition to enter Company- operated offshore facilities, transport and onshore facilities supporting offshore operations with effect from 1st October 2021;</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is incorrect for the Company to submit that PETRONAS is a government agency as PETRONAS is a corporation wholly owned by the Government as the sole shareholder;</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assigned as a Mechanical Technician at the Company’s OUG Platform known as Lawit-A i.e. an offshore gas producing platform located offshore of Terengganu which is owned by PETRONAS and operated by the Company;</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Maritime Intelligence Sdn Bhd v Tan Ah Gek  </w:t>
      </w:r>
      <w:r>
        <w:rPr>
          <w:rFonts w:ascii="arial" w:eastAsia="arial" w:hAnsi="arial" w:cs="arial"/>
          <w:b w:val="0"/>
          <w:i w:val="0"/>
          <w:strike w:val="0"/>
          <w:noProof w:val="0"/>
          <w:color w:val="000000"/>
          <w:position w:val="0"/>
          <w:sz w:val="24"/>
          <w:u w:val="none"/>
          <w:vertAlign w:val="baseline"/>
        </w:rPr>
        <w:t xml:space="preserve">[2021] MLJU 2189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section 20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…comprise social legislation promulgated by Parliament to ensure that a workman’s right to earn a livelihood is not truncated arbitrarily at the will of an employer. </w:t>
      </w:r>
      <w:r>
        <w:rPr>
          <w:rFonts w:ascii="arial" w:eastAsia="arial" w:hAnsi="arial" w:cs="arial"/>
          <w:b w:val="0"/>
          <w:i w:val="0"/>
          <w:strike w:val="0"/>
          <w:noProof w:val="0"/>
          <w:color w:val="000000"/>
          <w:position w:val="0"/>
          <w:sz w:val="24"/>
          <w:u w:val="none"/>
          <w:vertAlign w:val="baseline"/>
        </w:rPr>
        <w:t>Section 20</w:t>
      </w:r>
      <w:r>
        <w:rPr>
          <w:rFonts w:ascii="arial" w:eastAsia="arial" w:hAnsi="arial" w:cs="arial"/>
          <w:b w:val="0"/>
          <w:i/>
          <w:strike w:val="0"/>
          <w:noProof w:val="0"/>
          <w:color w:val="000000"/>
          <w:position w:val="0"/>
          <w:sz w:val="24"/>
          <w:u w:val="none"/>
          <w:vertAlign w:val="baseline"/>
        </w:rPr>
        <w:t xml:space="preserve"> in particular precludes arbitrary and capricious decisions taken to cease/halt a person’s employment, because it is recognised that the right to earn a livelihood is a fundamental liberty and entitlement, that deserves protection…</w:t>
      </w:r>
      <w:r>
        <w:rPr>
          <w:rFonts w:ascii="arial" w:eastAsia="arial" w:hAnsi="arial" w:cs="arial"/>
          <w:b w:val="0"/>
          <w:i w:val="0"/>
          <w:strike w:val="0"/>
          <w:noProof w:val="0"/>
          <w:color w:val="000000"/>
          <w:position w:val="0"/>
          <w:sz w:val="24"/>
          <w:u w:val="none"/>
          <w:vertAlign w:val="baseline"/>
        </w:rPr>
        <w:t>”;</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guidelines relating to </w:t>
      </w:r>
      <w:r>
        <w:rPr>
          <w:rFonts w:ascii="arial" w:eastAsia="arial" w:hAnsi="arial" w:cs="arial"/>
          <w:b w:val="0"/>
          <w:i/>
          <w:strike w:val="0"/>
          <w:noProof w:val="0"/>
          <w:color w:val="000000"/>
          <w:position w:val="0"/>
          <w:sz w:val="24"/>
          <w:u w:val="none"/>
          <w:vertAlign w:val="baseline"/>
        </w:rPr>
        <w:t>Crew Change Procedure for Seafarers and Offshore Workers</w:t>
      </w:r>
      <w:r>
        <w:rPr>
          <w:rFonts w:ascii="arial" w:eastAsia="arial" w:hAnsi="arial" w:cs="arial"/>
          <w:b w:val="0"/>
          <w:i w:val="0"/>
          <w:strike w:val="0"/>
          <w:noProof w:val="0"/>
          <w:color w:val="000000"/>
          <w:position w:val="0"/>
          <w:sz w:val="24"/>
          <w:u w:val="none"/>
          <w:vertAlign w:val="baseline"/>
        </w:rPr>
        <w:t xml:space="preserve"> contained under Part E of </w:t>
      </w:r>
      <w:r>
        <w:rPr>
          <w:rFonts w:ascii="arial" w:eastAsia="arial" w:hAnsi="arial" w:cs="arial"/>
          <w:b w:val="0"/>
          <w:i/>
          <w:strike w:val="0"/>
          <w:noProof w:val="0"/>
          <w:color w:val="000000"/>
          <w:position w:val="0"/>
          <w:sz w:val="24"/>
          <w:u w:val="none"/>
          <w:vertAlign w:val="baseline"/>
        </w:rPr>
        <w:t>Annex 9 – Guidelines for Entry Point Screening of Travellers (Screening for Covid-19)</w:t>
      </w:r>
      <w:r>
        <w:rPr>
          <w:rFonts w:ascii="arial" w:eastAsia="arial" w:hAnsi="arial" w:cs="arial"/>
          <w:b w:val="0"/>
          <w:i w:val="0"/>
          <w:strike w:val="0"/>
          <w:noProof w:val="0"/>
          <w:color w:val="000000"/>
          <w:position w:val="0"/>
          <w:sz w:val="24"/>
          <w:u w:val="none"/>
          <w:vertAlign w:val="baseline"/>
        </w:rPr>
        <w:t xml:space="preserve"> issued by the Ministry of Health which have been fully adopted by the Terengganu State Health Department to curb the Covid-19 infection among the petroleum industry players as per the Department’s letter dated 9th December 2021 covers the offshore platforms where the Claimant was assigned. As stated in the guidelines offshore workers would be required to undergo the RT- PCR test, quarantine and RT-Ag tests;</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infections continued to occur even after all offshore personnel had been vaccinated. In fact, COW-2 during cross-examination admitted that offshore workers were still infected with Covid-19 despite being vaccinated and there have been reported cases of hospitalisation of offshore workers including an offshore worker at Lawit-A, where the Claimant was assigned, being admitted to the Intensive Care Unit; and</w:t>
      </w:r>
    </w:p>
    <w:p>
      <w:pPr>
        <w:keepNext w:val="0"/>
        <w:numPr>
          <w:numId w:val="1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recently decided Industrial Court cases cited by the Company in its submission relate to employees who work in the confined area of an aircraft which is very high-risk industries which could be clearly distinguished from the present case.</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Based on the above, this Court is of the view that –</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policy regarding the COVID-19 Vaccination Requirement for access to Offshore (and related) Facilities is understandable given that as a PAC to PETRONAS, the Company is legally and contractually bound by PETRONAS’ directives, policies and regulations;</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though as per the terms of employment the Claimant is bound by the Company’s policies, including its Health Policy and Safety Policy, due to the unprecedented global pandemic at the material time there has been a change in the contractual obligation of both parties particularly in relation to the health policy. As neither the Company nor the Claimant is at fault the Company would have to show that the policy is reasonable vis-à-vis the workplace and job scope of the Claimant i.e. whether the Company’s policy of mandatory vaccination was justified on the grounds of protecting other employees;</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even though the Company’s Safety Policy and Health Policy which forms part of the terms of the Claimant’s employment also mandates that the Company shall comply with all applicable laws and regulations and apply responsible standards where laws and regulations do not exist, the fact remains that the Government has not made the COVID-19 vaccine mandatory. Thus, the Company’s vaccination requirement policy could be seen as putting pressure on the Claimant as non-compliance would have the consequences of being subjected to disciplinary actions and ultimately being terminated;</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should also be mindful of the fact that some employees refused to be vaccinated for medical, religious or personal reasons. Thus, these employees should be treated differently and the Company should have made it clear to these employees the consequences for refusing to be vaccinated;</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thereto, when the policy was being drafted, the Company as a responsible employer should have had formal consultations with its employees regarding the draft policy. One of the ways of achieving that would be for the employees to be informed and given access to all relevant information relating to the draft policy as well as the reasons why it was being considered as well as allowing employees to provide their feedback;</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following thereto, after the consultation period has ended and a decision has been made to adopt the said policy, it would have been more prudent and reasonable for the Company to inform its’ employees the measures that could be taken against employees should they fail to comply with the policy within a certain period. In this regard, as the Company further submits that there was also no alternative employment for employees who refused to be vaccinated as unvaccinated employees cannot even access the Company’s onshore or offshore premises, the measures should have included the option to go on leave or extended leave or leave without pay for a certain duration. If at the end of the said duration the employees are still unable to comply, only then the Company should be entitled to review the situation with the affected employees and take the necessary action which could include termination of the employee’s employment; and</w:t>
      </w:r>
    </w:p>
    <w:p>
      <w:pPr>
        <w:keepNext w:val="0"/>
        <w:numPr>
          <w:numId w:val="14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present case the Company had failed to undertake the abovementioned consideration, procedure and steps. In addition, no further evidence have been provided by the Company that it had suffered or would have suffered undue hardship had it accommodated and implemented the guidelines relating to </w:t>
      </w:r>
      <w:r>
        <w:rPr>
          <w:rFonts w:ascii="arial" w:eastAsia="arial" w:hAnsi="arial" w:cs="arial"/>
          <w:b w:val="0"/>
          <w:i/>
          <w:strike w:val="0"/>
          <w:noProof w:val="0"/>
          <w:color w:val="000000"/>
          <w:position w:val="0"/>
          <w:sz w:val="24"/>
          <w:u w:val="none"/>
          <w:vertAlign w:val="baseline"/>
        </w:rPr>
        <w:t>Crew Change Procedure for Seafarers and Offshore Workers</w:t>
      </w:r>
      <w:r>
        <w:rPr>
          <w:rFonts w:ascii="arial" w:eastAsia="arial" w:hAnsi="arial" w:cs="arial"/>
          <w:b w:val="0"/>
          <w:i w:val="0"/>
          <w:strike w:val="0"/>
          <w:noProof w:val="0"/>
          <w:color w:val="000000"/>
          <w:position w:val="0"/>
          <w:sz w:val="24"/>
          <w:u w:val="none"/>
          <w:vertAlign w:val="baseline"/>
        </w:rPr>
        <w:t xml:space="preserve"> contained under Part E of </w:t>
      </w:r>
      <w:r>
        <w:rPr>
          <w:rFonts w:ascii="arial" w:eastAsia="arial" w:hAnsi="arial" w:cs="arial"/>
          <w:b w:val="0"/>
          <w:i/>
          <w:strike w:val="0"/>
          <w:noProof w:val="0"/>
          <w:color w:val="000000"/>
          <w:position w:val="0"/>
          <w:sz w:val="24"/>
          <w:u w:val="none"/>
          <w:vertAlign w:val="baseline"/>
        </w:rPr>
        <w:t>Annex 9 – Guidelines for Entry Point Screening of Travellers (Screening for Covid-19)</w:t>
      </w:r>
      <w:r>
        <w:rPr>
          <w:rFonts w:ascii="arial" w:eastAsia="arial" w:hAnsi="arial" w:cs="arial"/>
          <w:b w:val="0"/>
          <w:i w:val="0"/>
          <w:strike w:val="0"/>
          <w:noProof w:val="0"/>
          <w:color w:val="000000"/>
          <w:position w:val="0"/>
          <w:sz w:val="24"/>
          <w:u w:val="none"/>
          <w:vertAlign w:val="baseline"/>
        </w:rPr>
        <w:t xml:space="preserve"> issued by the Ministry of Health have been fully adopted by the Terengganu State Health Department. As the guidelines applies to the offshore platform where the Claimant was being stationed, the Company could have considered making provisions for offshore workers such as the Claimant to undergo the RT-PCR test and quarantine if the result of the said test is positive as well as undergo RT-Ag tests before these workers are allowed to sign-on</w:t>
      </w:r>
      <w:r>
        <w:rPr>
          <w:rFonts w:ascii="arial" w:eastAsia="arial" w:hAnsi="arial" w:cs="arial"/>
          <w:b w:val="0"/>
          <w:i/>
          <w:strike w:val="0"/>
          <w:noProof w:val="0"/>
          <w:color w:val="000000"/>
          <w:position w:val="0"/>
          <w:sz w:val="24"/>
          <w:u w:val="none"/>
          <w:vertAlign w:val="baseline"/>
        </w:rPr>
        <w: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This Court is also mindful of the fact that during reexamination COW-1 stated that the Company’s medical plan provides full coverage for all its employees suffering from the side effects of the vaccines, including death benefits to the surviving family members of the employees. Having perused the Company’s medical plan coverage as enclosed in COB5, this Court finds that it is clearly stated in </w:t>
      </w:r>
      <w:r>
        <w:rPr>
          <w:rFonts w:ascii="arial" w:eastAsia="arial" w:hAnsi="arial" w:cs="arial"/>
          <w:b w:val="0"/>
          <w:i/>
          <w:strike w:val="0"/>
          <w:noProof w:val="0"/>
          <w:color w:val="000000"/>
          <w:position w:val="0"/>
          <w:sz w:val="24"/>
          <w:u w:val="none"/>
          <w:vertAlign w:val="baseline"/>
        </w:rPr>
        <w:t>section 2.2.2 – Covid-19 Vaccination</w:t>
      </w:r>
      <w:r>
        <w:rPr>
          <w:rFonts w:ascii="arial" w:eastAsia="arial" w:hAnsi="arial" w:cs="arial"/>
          <w:b w:val="0"/>
          <w:i w:val="0"/>
          <w:strike w:val="0"/>
          <w:noProof w:val="0"/>
          <w:color w:val="000000"/>
          <w:position w:val="0"/>
          <w:sz w:val="24"/>
          <w:u w:val="none"/>
          <w:vertAlign w:val="baseline"/>
        </w:rPr>
        <w:t xml:space="preserve"> that “</w:t>
      </w:r>
      <w:r>
        <w:rPr>
          <w:rFonts w:ascii="arial" w:eastAsia="arial" w:hAnsi="arial" w:cs="arial"/>
          <w:b w:val="0"/>
          <w:i/>
          <w:strike w:val="0"/>
          <w:noProof w:val="0"/>
          <w:color w:val="000000"/>
          <w:position w:val="0"/>
          <w:sz w:val="24"/>
          <w:u w:val="none"/>
          <w:vertAlign w:val="baseline"/>
        </w:rPr>
        <w:t>[a]ny complications, side effect(s) and/or any adverse reactions suffered by an [ExxonMobil Medical Plan] participant and/or their covered dependents that require medical treatment or hospital admission shall be covered under the [ExxonMobil Medical Plan] accordingly,</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subject to its benefit limits and terms</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Moreover, the Company’s medical plan coverage contains a “</w:t>
      </w:r>
      <w:r>
        <w:rPr>
          <w:rFonts w:ascii="arial" w:eastAsia="arial" w:hAnsi="arial" w:cs="arial"/>
          <w:b w:val="0"/>
          <w:i/>
          <w:strike w:val="0"/>
          <w:noProof w:val="0"/>
          <w:color w:val="000000"/>
          <w:position w:val="0"/>
          <w:sz w:val="24"/>
          <w:u w:val="none"/>
          <w:vertAlign w:val="baseline"/>
        </w:rPr>
        <w:t>Benefit Disclaimer</w:t>
      </w:r>
      <w:r>
        <w:rPr>
          <w:rFonts w:ascii="arial" w:eastAsia="arial" w:hAnsi="arial" w:cs="arial"/>
          <w:b w:val="0"/>
          <w:i w:val="0"/>
          <w:strike w:val="0"/>
          <w:noProof w:val="0"/>
          <w:color w:val="000000"/>
          <w:position w:val="0"/>
          <w:sz w:val="24"/>
          <w:u w:val="none"/>
          <w:vertAlign w:val="baseline"/>
        </w:rPr>
        <w:t xml:space="preserve">” provision whereby it states that </w:t>
      </w:r>
      <w:r>
        <w:rPr>
          <w:rFonts w:ascii="arial" w:eastAsia="arial" w:hAnsi="arial" w:cs="arial"/>
          <w:b w:val="0"/>
          <w:i/>
          <w:strike w:val="0"/>
          <w:noProof w:val="0"/>
          <w:color w:val="000000"/>
          <w:position w:val="0"/>
          <w:sz w:val="24"/>
          <w:u w:val="none"/>
          <w:vertAlign w:val="baseline"/>
        </w:rPr>
        <w:t>“[t]he plans, policies, guidelines and programs herein contained, including any content linked from this site,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do not constitute a contract or terms of employement between the Company and its employees</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single"/>
          <w:vertAlign w:val="baseline"/>
        </w:rPr>
        <w:t>The Company reserves the right to amend , suspend or terminate any or all of its plans , policies , guidelines or programs at any time , with or without notice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xml:space="preserve">  Based on the above observations, had the Company undertaken the considerations, procedures or steps mentioned in the preceding paragraphs </w:t>
      </w:r>
      <w:r>
        <w:rPr>
          <w:rFonts w:ascii="arial" w:eastAsia="arial" w:hAnsi="arial" w:cs="arial"/>
          <w:b w:val="0"/>
          <w:i w:val="0"/>
          <w:strike w:val="0"/>
          <w:noProof w:val="0"/>
          <w:color w:val="000000"/>
          <w:position w:val="0"/>
          <w:sz w:val="24"/>
          <w:u w:val="single"/>
          <w:vertAlign w:val="baseline"/>
        </w:rPr>
        <w:t>prior</w:t>
      </w:r>
      <w:r>
        <w:rPr>
          <w:rFonts w:ascii="arial" w:eastAsia="arial" w:hAnsi="arial" w:cs="arial"/>
          <w:b w:val="0"/>
          <w:i w:val="0"/>
          <w:strike w:val="0"/>
          <w:noProof w:val="0"/>
          <w:color w:val="000000"/>
          <w:position w:val="0"/>
          <w:sz w:val="24"/>
          <w:u w:val="none"/>
          <w:vertAlign w:val="baseline"/>
        </w:rPr>
        <w:t xml:space="preserve"> to the implementation of the policy i.e. when the policy was being drafted, this Court would have come to the conclusion that the Company has succeeded in proving on the balance of probabilities that the Claimant’s dismissal was with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he be reinstated to his former position without any loss of wages, allowance, service and seniority, as well as back wages in respect of full salary together with all other privileges or benefits of any kind or alternatively if reinstatement is not appropriate an award of backwages, all outstanding commissions, bonus, loss of benefits and compensation in lieu of reinstatement together with any other relief the Court deems fit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and not in the interest of industrial harmony.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As such, the appropriate remedy in the circumstances of this case will be compensation in lieu of reinstatement and compensation in the form of back wages. Thus, this Court orders that the Claimant be paid one month wages of his last drawn salary of RM5,266.00 for every year of service completed i.e. 7 years.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This Court further finds that the Claimant’s fixed Offshore allowances amounting to RM2,123.00 per month and Fixed Crew Change by Boat allowances amounting to RM875.00 per month are variables dependent on the Claimant’s offshore mobilization whereby he is only entitled to the said allowances should he be mobilised offshore. Thus, these allowances would not be allowed for purposes of the compensation in lieu of reinstatement and compensation in the form of back 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xml:space="preserve">  In relation to the backwages, this Court notes that the Claimant was dismissed on 21st January 2022 and the hearing of this case was completed on 26th October 2023. As per the </w:t>
      </w:r>
      <w:r>
        <w:rPr>
          <w:rFonts w:ascii="arial" w:eastAsia="arial" w:hAnsi="arial" w:cs="arial"/>
          <w:b w:val="0"/>
          <w:i/>
          <w:strike w:val="0"/>
          <w:noProof w:val="0"/>
          <w:color w:val="000000"/>
          <w:position w:val="0"/>
          <w:sz w:val="24"/>
          <w:u w:val="none"/>
          <w:vertAlign w:val="baseline"/>
        </w:rPr>
        <w:t>Second Schedule</w:t>
      </w:r>
      <w:r>
        <w:rPr>
          <w:rFonts w:ascii="arial" w:eastAsia="arial" w:hAnsi="arial" w:cs="arial"/>
          <w:b w:val="0"/>
          <w:i w:val="0"/>
          <w:strike w:val="0"/>
          <w:noProof w:val="0"/>
          <w:color w:val="000000"/>
          <w:position w:val="0"/>
          <w:sz w:val="24"/>
          <w:u w:val="none"/>
          <w:vertAlign w:val="baseline"/>
        </w:rPr>
        <w:t xml:space="preserve">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which provides that in the event backwages are to be given, such backwages shall not exceed 24 months from the date of dismissal, this Court views twelve (12) months back wages should be the appropriate sum to be awarded to the Claimant. In view of the evidence of post dismissal earnings or income of the Claimant in this case, this Court will deduct 20% from the backwages.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This Court would not make an order for punitive compensation as the Claimant had failed to establish that he was victimized by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Therefore, based on the Claimant’s last drawn salary of RM5,266.00, the total amount of compensation in lieu of reinstatement and back wages payable to the Claimant is as follows:</w:t>
      </w:r>
    </w:p>
    <w:p>
      <w:pPr>
        <w:keepNext w:val="0"/>
        <w:numPr>
          <w:numId w:val="14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RM5,266.00 x 7 months = RM36,862.00;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and</w:t>
      </w:r>
      <w:r>
        <w:t>
</w:t>
      </w:r>
    </w:p>
    <w:p>
      <w:pPr>
        <w:keepNext w:val="0"/>
        <w:numPr>
          <w:numId w:val="14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RM5,266.00 x 12 months = RM63,192.00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(deduction 20%) - RM12,638.40</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RM50,553.60</w:t>
      </w:r>
    </w:p>
    <w:p>
      <w:pPr>
        <w:keepNext w:val="0"/>
        <w:spacing w:before="120" w:after="0" w:line="240" w:lineRule="atLeast"/>
        <w:ind w:left="1520" w:right="0"/>
        <w:jc w:val="both"/>
      </w:pPr>
      <w:r>
        <w:br/>
      </w:r>
      <w:r>
        <w:rPr>
          <w:rFonts w:ascii="arial" w:eastAsia="arial" w:hAnsi="arial" w:cs="arial"/>
          <w:b/>
          <w:i w:val="0"/>
          <w:strike w:val="0"/>
          <w:noProof w:val="0"/>
          <w:color w:val="000000"/>
          <w:position w:val="0"/>
          <w:sz w:val="18"/>
          <w:u w:val="none"/>
          <w:vertAlign w:val="baseline"/>
        </w:rPr>
        <w:t>TOTAL = RM87,415.60</w:t>
      </w:r>
      <w:r>
        <w:t>
</w:t>
      </w:r>
    </w:p>
    <w:p/>
    <w:p>
      <w:pPr>
        <w:keepNext w:val="0"/>
        <w:spacing w:before="120" w:after="0" w:line="300" w:lineRule="atLeast"/>
        <w:ind w:left="0" w:right="0" w:firstLine="0"/>
        <w:jc w:val="left"/>
      </w:pP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Eighty Seven Thousand Four Hundred Fifteen and Sen Sixty (RM87,415.60)</w:t>
      </w:r>
      <w:r>
        <w:rPr>
          <w:rFonts w:ascii="arial" w:eastAsia="arial" w:hAnsi="arial" w:cs="arial"/>
          <w:b w:val="0"/>
          <w:i w:val="0"/>
          <w:strike w:val="0"/>
          <w:noProof w:val="0"/>
          <w:color w:val="000000"/>
          <w:position w:val="0"/>
          <w:sz w:val="24"/>
          <w:u w:val="none"/>
          <w:vertAlign w:val="baseline"/>
        </w:rPr>
        <w:t xml:space="preserve"> within 60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Muhammad bin Abdullah v Exxonmobil Exploration Andproduction Malaysia Inc  [2024] ILJU 314</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b)"/>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c)"/>
      <w:lvlJc w:val="left"/>
      <w:pPr>
        <w:tabs>
          <w:tab w:val="num" w:pos="1120"/>
        </w:tabs>
        <w:ind w:left="112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1)"/>
      <w:lvlJc w:val="left"/>
      <w:pPr>
        <w:tabs>
          <w:tab w:val="num" w:pos="1480"/>
        </w:tabs>
        <w:ind w:left="148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i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x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x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x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bin Abdullah v Exxonmobil Exploration Andproduction Malaysia Inc  [2024] ILJU 314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36-D333-MB7M-V0HP-00000-00">
    <vt:lpwstr>Doc::/shared/document|contextualFeaturePermID::1522468</vt:lpwstr>
  </property>
  <property fmtid="{D5CDD505-2E9C-101B-9397-08002B2CF9AE}" pid="4" name="LNDeliveryID">
    <vt:lpwstr>283274761</vt:lpwstr>
  </property>
  <property fmtid="{D5CDD505-2E9C-101B-9397-08002B2CF9AE}" pid="5" name="UserPermID">
    <vt:lpwstr>urn:user:PA196491919</vt:lpwstr>
  </property>
</Properties>
</file>