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Nor Asiah bt Mohd Noor v Scomi KMC Sdn Bhd  [2024] ILJU 128</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SALAHUDIN HIDAYAT SHARIFF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411 OF 2024</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18 March 2024</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Peter Kandiah (Malaysian Trades Union Congress)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James Joshua Paulraj (with Kavitharini) (Tanes, Khoo &amp; Paulraj) for the company.</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04"/>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Salahudin Hidayat Shariff C"/>
            <w:bookmarkEnd w:id="1"/>
            <w:r>
              <w:rPr>
                <w:rFonts w:ascii="arial" w:eastAsia="arial" w:hAnsi="arial" w:cs="arial"/>
                <w:b/>
                <w:i w:val="0"/>
                <w:strike w:val="0"/>
                <w:noProof w:val="0"/>
                <w:color w:val="000000"/>
                <w:position w:val="0"/>
                <w:sz w:val="30"/>
                <w:u w:val="none"/>
                <w:vertAlign w:val="baseline"/>
              </w:rPr>
              <w:t>Salahudin Hidayat Shariff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REFERENCE: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matter is based on the referral dated 4 August 2021 by the Director General of Industrial Relations pursuant to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arising out of the dismissal of </w:t>
      </w:r>
      <w:r>
        <w:rPr>
          <w:rFonts w:ascii="arial" w:eastAsia="arial" w:hAnsi="arial" w:cs="arial"/>
          <w:b/>
          <w:i w:val="0"/>
          <w:strike w:val="0"/>
          <w:noProof w:val="0"/>
          <w:color w:val="000000"/>
          <w:position w:val="0"/>
          <w:sz w:val="24"/>
          <w:u w:val="none"/>
          <w:vertAlign w:val="baseline"/>
        </w:rPr>
        <w:t>Hanizah Binti Ahmad Jamaluddin</w:t>
      </w:r>
      <w:r>
        <w:rPr>
          <w:rFonts w:ascii="arial" w:eastAsia="arial" w:hAnsi="arial" w:cs="arial"/>
          <w:b w:val="0"/>
          <w:i w:val="0"/>
          <w:strike w:val="0"/>
          <w:noProof w:val="0"/>
          <w:color w:val="000000"/>
          <w:position w:val="0"/>
          <w:sz w:val="24"/>
          <w:u w:val="none"/>
          <w:vertAlign w:val="baseline"/>
        </w:rPr>
        <w:t xml:space="preserve"> (“the First Claimant) by </w:t>
      </w:r>
      <w:r>
        <w:rPr>
          <w:rFonts w:ascii="arial" w:eastAsia="arial" w:hAnsi="arial" w:cs="arial"/>
          <w:b/>
          <w:i w:val="0"/>
          <w:strike w:val="0"/>
          <w:noProof w:val="0"/>
          <w:color w:val="000000"/>
          <w:position w:val="0"/>
          <w:sz w:val="24"/>
          <w:u w:val="none"/>
          <w:vertAlign w:val="baseline"/>
        </w:rPr>
        <w:t>Scomi KMC Sdn Bhd</w:t>
      </w:r>
      <w:r>
        <w:rPr>
          <w:rFonts w:ascii="arial" w:eastAsia="arial" w:hAnsi="arial" w:cs="arial"/>
          <w:b w:val="0"/>
          <w:i w:val="0"/>
          <w:strike w:val="0"/>
          <w:noProof w:val="0"/>
          <w:color w:val="000000"/>
          <w:position w:val="0"/>
          <w:sz w:val="24"/>
          <w:u w:val="none"/>
          <w:vertAlign w:val="baseline"/>
        </w:rPr>
        <w:t xml:space="preserve"> (“the Company”) on 16 January 2021.</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The matter was heard together with another case namely case number 3/4-2761-21 and the referral is also dated 4 August 2021 by the Director General of Industrial Relations pursuant to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arising out of the dismissal of </w:t>
      </w:r>
      <w:r>
        <w:rPr>
          <w:rFonts w:ascii="arial" w:eastAsia="arial" w:hAnsi="arial" w:cs="arial"/>
          <w:b/>
          <w:i w:val="0"/>
          <w:strike w:val="0"/>
          <w:noProof w:val="0"/>
          <w:color w:val="000000"/>
          <w:position w:val="0"/>
          <w:sz w:val="24"/>
          <w:u w:val="none"/>
          <w:vertAlign w:val="baseline"/>
        </w:rPr>
        <w:t>Nor Asiah Binti Mohd Noor</w:t>
      </w:r>
      <w:r>
        <w:rPr>
          <w:rFonts w:ascii="arial" w:eastAsia="arial" w:hAnsi="arial" w:cs="arial"/>
          <w:b w:val="0"/>
          <w:i w:val="0"/>
          <w:strike w:val="0"/>
          <w:noProof w:val="0"/>
          <w:color w:val="000000"/>
          <w:position w:val="0"/>
          <w:sz w:val="24"/>
          <w:u w:val="none"/>
          <w:vertAlign w:val="baseline"/>
        </w:rPr>
        <w:t xml:space="preserve"> (“the Second Claimant”) by </w:t>
      </w:r>
      <w:r>
        <w:rPr>
          <w:rFonts w:ascii="arial" w:eastAsia="arial" w:hAnsi="arial" w:cs="arial"/>
          <w:b/>
          <w:i w:val="0"/>
          <w:strike w:val="0"/>
          <w:noProof w:val="0"/>
          <w:color w:val="000000"/>
          <w:position w:val="0"/>
          <w:sz w:val="24"/>
          <w:u w:val="none"/>
          <w:vertAlign w:val="baseline"/>
        </w:rPr>
        <w:t>Scomi KMC Sdn Bhd</w:t>
      </w:r>
      <w:r>
        <w:rPr>
          <w:rFonts w:ascii="arial" w:eastAsia="arial" w:hAnsi="arial" w:cs="arial"/>
          <w:b w:val="0"/>
          <w:i w:val="0"/>
          <w:strike w:val="0"/>
          <w:noProof w:val="0"/>
          <w:color w:val="000000"/>
          <w:position w:val="0"/>
          <w:sz w:val="24"/>
          <w:u w:val="none"/>
          <w:vertAlign w:val="baseline"/>
        </w:rPr>
        <w:t xml:space="preserve"> (“the Company”) on 16 January 2021.</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Brief Facts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The First Claimant joined the SCOMI Sdn Bhd as a probationary Clerk/Typist on 30 April 1993 via letter dated 28 April 1993. Subsequently the next submitted document was a Letter of Offer dated 12 February 2018 for the post of ‘Executive - Tender &amp; Contract’ in Scomi Oiltools Sdn Bhd. The First Claimant was given the assurance that there was no break in her service with Scomi Special Vehicles Bhd which is assumed was her previous posting. Later on 1 October 2019, the First Claimant was transferred from Scomi Oiltools Sdn Bhd to the Company via letter dated 10 October 2019.</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The Second Claimant joined the Kota Minerals &amp; Chemicals Sdn Bhd, which is a subsidiary of Scomi Group Bhd, as an Accounts Assistant on 1 May 2004 via letter dated 21 April 2004. In 2007, the letters addressing the Second Claimant was using the Scomi letterhead and signed off by Group Chief Executive Officer. The said letter also had imprinted at the bottom of the letter is Scomi Oiltools Sdn Bhd (formerly known as Kota Minerals &amp; Chemicals Sdn Bhd). The next change based on the Company’s bundle came in 2011, where the letterhead was entitled Scomi but at the bottom of the letter it was now Scomi KMC Sdn Bhd, the Company, with a different company registration number. As compared to the First Claimant, there was no transfer letter given.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xml:space="preserve">  The Company is almost entirely owned by Scomi Oiltools Sdn Bhd at 99.6% of the shares, based on SSM Corporate Information submitted by the Company in pages 1 to 6 at </w:t>
      </w:r>
      <w:r>
        <w:rPr>
          <w:rFonts w:ascii="arial" w:eastAsia="arial" w:hAnsi="arial" w:cs="arial"/>
          <w:b w:val="0"/>
          <w:i/>
          <w:strike w:val="0"/>
          <w:noProof w:val="0"/>
          <w:color w:val="000000"/>
          <w:position w:val="0"/>
          <w:sz w:val="24"/>
          <w:u w:val="none"/>
          <w:vertAlign w:val="baseline"/>
        </w:rPr>
        <w:t>COB-1.</w:t>
      </w:r>
      <w:r>
        <w:rPr>
          <w:rFonts w:ascii="arial" w:eastAsia="arial" w:hAnsi="arial" w:cs="arial"/>
          <w:b w:val="0"/>
          <w:i w:val="0"/>
          <w:strike w:val="0"/>
          <w:noProof w:val="0"/>
          <w:color w:val="000000"/>
          <w:position w:val="0"/>
          <w:sz w:val="24"/>
          <w:u w:val="none"/>
          <w:vertAlign w:val="baseline"/>
        </w:rPr>
        <w:t xml:space="preserve"> These companies are all under the group of companies headed by Scomi Energy Services Bhd (“SESB”), which is itself based on the Corporate Structure provided by the Company in pages 7 to 8 at </w:t>
      </w:r>
      <w:r>
        <w:rPr>
          <w:rFonts w:ascii="arial" w:eastAsia="arial" w:hAnsi="arial" w:cs="arial"/>
          <w:b w:val="0"/>
          <w:i/>
          <w:strike w:val="0"/>
          <w:noProof w:val="0"/>
          <w:color w:val="000000"/>
          <w:position w:val="0"/>
          <w:sz w:val="24"/>
          <w:u w:val="none"/>
          <w:vertAlign w:val="baseline"/>
        </w:rPr>
        <w:t>COB-1.</w:t>
      </w:r>
      <w:r>
        <w:rPr>
          <w:rFonts w:ascii="arial" w:eastAsia="arial" w:hAnsi="arial" w:cs="arial"/>
          <w:b w:val="0"/>
          <w:i w:val="0"/>
          <w:strike w:val="0"/>
          <w:noProof w:val="0"/>
          <w:color w:val="000000"/>
          <w:position w:val="0"/>
          <w:sz w:val="24"/>
          <w:u w:val="none"/>
          <w:vertAlign w:val="baseline"/>
        </w:rPr>
        <w:t xml:space="preserve"> Although, according to the Statement in Reply from the Company states that the Company is a subsidiary of SESB where it was claimed to own 52% stake and a further 4% through Scomi Oiltools Sdn Bhd. However, the evidence provided is an organisation chart in the Company’s bundles which will be discussed later in this award.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The evidence in Court by the Company’s witnesses had stated that the Company’s ownership structure has changed but not supported by any documentary evidence. Upon further examination, not all the witnesses that came to give evidence could actually furnish the Court with sufficient evidence that reflects some of the questions that were raised regarding the Company. The crux of the Company’s witnesses was to state that the Company was indebted and that it was under judicial management at the time of the termination of the Claimants.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xml:space="preserve">  In support of the indebtedness of the Company, the Company’s Counsel submitted volumes of agreements, debentures and letters, namely pages 9 of </w:t>
      </w:r>
      <w:r>
        <w:rPr>
          <w:rFonts w:ascii="arial" w:eastAsia="arial" w:hAnsi="arial" w:cs="arial"/>
          <w:b w:val="0"/>
          <w:i/>
          <w:strike w:val="0"/>
          <w:noProof w:val="0"/>
          <w:color w:val="000000"/>
          <w:position w:val="0"/>
          <w:sz w:val="24"/>
          <w:u w:val="none"/>
          <w:vertAlign w:val="baseline"/>
        </w:rPr>
        <w:t>COB-1</w:t>
      </w:r>
      <w:r>
        <w:rPr>
          <w:rFonts w:ascii="arial" w:eastAsia="arial" w:hAnsi="arial" w:cs="arial"/>
          <w:b w:val="0"/>
          <w:i w:val="0"/>
          <w:strike w:val="0"/>
          <w:noProof w:val="0"/>
          <w:color w:val="000000"/>
          <w:position w:val="0"/>
          <w:sz w:val="24"/>
          <w:u w:val="none"/>
          <w:vertAlign w:val="baseline"/>
        </w:rPr>
        <w:t xml:space="preserve"> to pages 1683 of </w:t>
      </w:r>
      <w:r>
        <w:rPr>
          <w:rFonts w:ascii="arial" w:eastAsia="arial" w:hAnsi="arial" w:cs="arial"/>
          <w:b w:val="0"/>
          <w:i/>
          <w:strike w:val="0"/>
          <w:noProof w:val="0"/>
          <w:color w:val="000000"/>
          <w:position w:val="0"/>
          <w:sz w:val="24"/>
          <w:u w:val="none"/>
          <w:vertAlign w:val="baseline"/>
        </w:rPr>
        <w:t>COB-5</w:t>
      </w:r>
      <w:r>
        <w:rPr>
          <w:rFonts w:ascii="arial" w:eastAsia="arial" w:hAnsi="arial" w:cs="arial"/>
          <w:b w:val="0"/>
          <w:i w:val="0"/>
          <w:strike w:val="0"/>
          <w:noProof w:val="0"/>
          <w:color w:val="000000"/>
          <w:position w:val="0"/>
          <w:sz w:val="24"/>
          <w:u w:val="none"/>
          <w:vertAlign w:val="baseline"/>
        </w:rPr>
        <w:t xml:space="preserve"> which have highlighted the fact that the loan taken by one of the companies in the group specifically KMCOB Capital Berhad. Initially it was from three banks but later the debt was taken over by other banks with guarantees from other companies within the group. This included the Company guaranteeing a part or the entire loan on behalf of the other companies within the group. The Court has no intention to go in-depth into the inner workings of the group of companies because this Court is only focused on the issue at hand, namely the termination of the Claimants in this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The Company never claimed that the Claimants were not working for the Company or at the very least with one of the companies within the group. However, the Company was claiming the Claimants years of service should only be considered in the Company and not the Group of Companies. The Claimants were finally working in the Company today before their termination. The Claimants were retrenched by the Company via a letter dated 14 December 2020 and effective 16 January 2021.</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The Company claims that the Claimants were terminated on instruction by the Judicial Manager or at the very least with the judicial manager’s approval. However, there is no specific document to support this other than the High Court’s Order giving powers to the Judicial Manager and listing the scope of his powers. This will also be discussed later in the Award.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The Court has gone through the evidence as given through testimony in Court and the documents and submission that have been filed. Those documents and submissions are listed for ease of reference as follows: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of Case of the First Claimant dated 20 December 2021;</w:t>
      </w:r>
    </w:p>
    <w:p>
      <w:pPr>
        <w:keepNext w:val="0"/>
        <w:numPr>
          <w:numId w:val="2"/>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Pernyataan Balas</w:t>
      </w:r>
      <w:r>
        <w:rPr>
          <w:rFonts w:ascii="arial" w:eastAsia="arial" w:hAnsi="arial" w:cs="arial"/>
          <w:b w:val="0"/>
          <w:i w:val="0"/>
          <w:strike w:val="0"/>
          <w:noProof w:val="0"/>
          <w:color w:val="000000"/>
          <w:position w:val="0"/>
          <w:sz w:val="24"/>
          <w:u w:val="none"/>
          <w:vertAlign w:val="baseline"/>
        </w:rPr>
        <w:t xml:space="preserve"> for 3/4-2760/21 dated 14 February 2022;</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Rejoinder dated 23 March 2022;</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First Claimant’s Bundle of Documents submitted on 17 January 2023 marked as exhibit </w:t>
      </w:r>
      <w:r>
        <w:rPr>
          <w:rFonts w:ascii="arial" w:eastAsia="arial" w:hAnsi="arial" w:cs="arial"/>
          <w:b w:val="0"/>
          <w:i/>
          <w:strike w:val="0"/>
          <w:noProof w:val="0"/>
          <w:color w:val="000000"/>
          <w:position w:val="0"/>
          <w:sz w:val="24"/>
          <w:u w:val="none"/>
          <w:vertAlign w:val="baseline"/>
        </w:rPr>
        <w:t>CLB-1;</w:t>
      </w:r>
    </w:p>
    <w:p>
      <w:pPr>
        <w:keepNext w:val="0"/>
        <w:numPr>
          <w:numId w:val="5"/>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Ikatan Dokumen Syarikat (Jilid 1)</w:t>
      </w:r>
      <w:r>
        <w:rPr>
          <w:rFonts w:ascii="arial" w:eastAsia="arial" w:hAnsi="arial" w:cs="arial"/>
          <w:b w:val="0"/>
          <w:i w:val="0"/>
          <w:strike w:val="0"/>
          <w:noProof w:val="0"/>
          <w:color w:val="000000"/>
          <w:position w:val="0"/>
          <w:sz w:val="24"/>
          <w:u w:val="none"/>
          <w:vertAlign w:val="baseline"/>
        </w:rPr>
        <w:t xml:space="preserve"> filed on 25 February 2022 marked as exhibit </w:t>
      </w:r>
      <w:r>
        <w:rPr>
          <w:rFonts w:ascii="arial" w:eastAsia="arial" w:hAnsi="arial" w:cs="arial"/>
          <w:b w:val="0"/>
          <w:i/>
          <w:strike w:val="0"/>
          <w:noProof w:val="0"/>
          <w:color w:val="000000"/>
          <w:position w:val="0"/>
          <w:sz w:val="24"/>
          <w:u w:val="none"/>
          <w:vertAlign w:val="baseline"/>
        </w:rPr>
        <w:t>COB-1;</w:t>
      </w:r>
    </w:p>
    <w:p>
      <w:pPr>
        <w:keepNext w:val="0"/>
        <w:numPr>
          <w:numId w:val="6"/>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Ikatan Dokumen Syarikat (Jilid 2)</w:t>
      </w:r>
      <w:r>
        <w:rPr>
          <w:rFonts w:ascii="arial" w:eastAsia="arial" w:hAnsi="arial" w:cs="arial"/>
          <w:b w:val="0"/>
          <w:i w:val="0"/>
          <w:strike w:val="0"/>
          <w:noProof w:val="0"/>
          <w:color w:val="000000"/>
          <w:position w:val="0"/>
          <w:sz w:val="24"/>
          <w:u w:val="none"/>
          <w:vertAlign w:val="baseline"/>
        </w:rPr>
        <w:t xml:space="preserve"> filed on 25 February 2022 marked as exhibit </w:t>
      </w:r>
      <w:r>
        <w:rPr>
          <w:rFonts w:ascii="arial" w:eastAsia="arial" w:hAnsi="arial" w:cs="arial"/>
          <w:b w:val="0"/>
          <w:i/>
          <w:strike w:val="0"/>
          <w:noProof w:val="0"/>
          <w:color w:val="000000"/>
          <w:position w:val="0"/>
          <w:sz w:val="24"/>
          <w:u w:val="none"/>
          <w:vertAlign w:val="baseline"/>
        </w:rPr>
        <w:t>COB-2;</w:t>
      </w:r>
    </w:p>
    <w:p>
      <w:pPr>
        <w:keepNext w:val="0"/>
        <w:numPr>
          <w:numId w:val="7"/>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Ikatan Dokumen Syarikat (Jilid 3)</w:t>
      </w:r>
      <w:r>
        <w:rPr>
          <w:rFonts w:ascii="arial" w:eastAsia="arial" w:hAnsi="arial" w:cs="arial"/>
          <w:b w:val="0"/>
          <w:i w:val="0"/>
          <w:strike w:val="0"/>
          <w:noProof w:val="0"/>
          <w:color w:val="000000"/>
          <w:position w:val="0"/>
          <w:sz w:val="24"/>
          <w:u w:val="none"/>
          <w:vertAlign w:val="baseline"/>
        </w:rPr>
        <w:t xml:space="preserve"> filed on 25 February 2022 marked as exhibit </w:t>
      </w:r>
      <w:r>
        <w:rPr>
          <w:rFonts w:ascii="arial" w:eastAsia="arial" w:hAnsi="arial" w:cs="arial"/>
          <w:b w:val="0"/>
          <w:i/>
          <w:strike w:val="0"/>
          <w:noProof w:val="0"/>
          <w:color w:val="000000"/>
          <w:position w:val="0"/>
          <w:sz w:val="24"/>
          <w:u w:val="none"/>
          <w:vertAlign w:val="baseline"/>
        </w:rPr>
        <w:t>COB-3;</w:t>
      </w:r>
    </w:p>
    <w:p>
      <w:pPr>
        <w:keepNext w:val="0"/>
        <w:numPr>
          <w:numId w:val="8"/>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Ikatan Dokumen Syarikat (Jilid 4)</w:t>
      </w:r>
      <w:r>
        <w:rPr>
          <w:rFonts w:ascii="arial" w:eastAsia="arial" w:hAnsi="arial" w:cs="arial"/>
          <w:b w:val="0"/>
          <w:i w:val="0"/>
          <w:strike w:val="0"/>
          <w:noProof w:val="0"/>
          <w:color w:val="000000"/>
          <w:position w:val="0"/>
          <w:sz w:val="24"/>
          <w:u w:val="none"/>
          <w:vertAlign w:val="baseline"/>
        </w:rPr>
        <w:t xml:space="preserve"> filed on 25 February 2022 marked as exhibit </w:t>
      </w:r>
      <w:r>
        <w:rPr>
          <w:rFonts w:ascii="arial" w:eastAsia="arial" w:hAnsi="arial" w:cs="arial"/>
          <w:b w:val="0"/>
          <w:i/>
          <w:strike w:val="0"/>
          <w:noProof w:val="0"/>
          <w:color w:val="000000"/>
          <w:position w:val="0"/>
          <w:sz w:val="24"/>
          <w:u w:val="none"/>
          <w:vertAlign w:val="baseline"/>
        </w:rPr>
        <w:t>COB-4;</w:t>
      </w:r>
    </w:p>
    <w:p>
      <w:pPr>
        <w:keepNext w:val="0"/>
        <w:numPr>
          <w:numId w:val="9"/>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Ikatan Dokumen Syarikat (Jilid 5)</w:t>
      </w:r>
      <w:r>
        <w:rPr>
          <w:rFonts w:ascii="arial" w:eastAsia="arial" w:hAnsi="arial" w:cs="arial"/>
          <w:b w:val="0"/>
          <w:i w:val="0"/>
          <w:strike w:val="0"/>
          <w:noProof w:val="0"/>
          <w:color w:val="000000"/>
          <w:position w:val="0"/>
          <w:sz w:val="24"/>
          <w:u w:val="none"/>
          <w:vertAlign w:val="baseline"/>
        </w:rPr>
        <w:t xml:space="preserve"> filed on 25 February 2022 marked as exhibit </w:t>
      </w:r>
      <w:r>
        <w:rPr>
          <w:rFonts w:ascii="arial" w:eastAsia="arial" w:hAnsi="arial" w:cs="arial"/>
          <w:b w:val="0"/>
          <w:i/>
          <w:strike w:val="0"/>
          <w:noProof w:val="0"/>
          <w:color w:val="000000"/>
          <w:position w:val="0"/>
          <w:sz w:val="24"/>
          <w:u w:val="none"/>
          <w:vertAlign w:val="baseline"/>
        </w:rPr>
        <w:t>COB-5;</w:t>
      </w:r>
    </w:p>
    <w:p>
      <w:pPr>
        <w:keepNext w:val="0"/>
        <w:numPr>
          <w:numId w:val="10"/>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Ikatan Dokumen Syarikat (Jilid 1)</w:t>
      </w:r>
      <w:r>
        <w:rPr>
          <w:rFonts w:ascii="arial" w:eastAsia="arial" w:hAnsi="arial" w:cs="arial"/>
          <w:b w:val="0"/>
          <w:i w:val="0"/>
          <w:strike w:val="0"/>
          <w:noProof w:val="0"/>
          <w:color w:val="000000"/>
          <w:position w:val="0"/>
          <w:sz w:val="24"/>
          <w:u w:val="none"/>
          <w:vertAlign w:val="baseline"/>
        </w:rPr>
        <w:t xml:space="preserve"> filed on 25 February 2022 marked as exhibit </w:t>
      </w:r>
      <w:r>
        <w:rPr>
          <w:rFonts w:ascii="arial" w:eastAsia="arial" w:hAnsi="arial" w:cs="arial"/>
          <w:b w:val="0"/>
          <w:i/>
          <w:strike w:val="0"/>
          <w:noProof w:val="0"/>
          <w:color w:val="000000"/>
          <w:position w:val="0"/>
          <w:sz w:val="24"/>
          <w:u w:val="none"/>
          <w:vertAlign w:val="baseline"/>
        </w:rPr>
        <w:t>COB-6;</w:t>
      </w:r>
    </w:p>
    <w:p>
      <w:pPr>
        <w:keepNext w:val="0"/>
        <w:numPr>
          <w:numId w:val="11"/>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Ikatan Dokumen Syarikat (Jilid 2)</w:t>
      </w:r>
      <w:r>
        <w:rPr>
          <w:rFonts w:ascii="arial" w:eastAsia="arial" w:hAnsi="arial" w:cs="arial"/>
          <w:b w:val="0"/>
          <w:i w:val="0"/>
          <w:strike w:val="0"/>
          <w:noProof w:val="0"/>
          <w:color w:val="000000"/>
          <w:position w:val="0"/>
          <w:sz w:val="24"/>
          <w:u w:val="none"/>
          <w:vertAlign w:val="baseline"/>
        </w:rPr>
        <w:t xml:space="preserve"> filed on 25 February 2022 marked as exhibit </w:t>
      </w:r>
      <w:r>
        <w:rPr>
          <w:rFonts w:ascii="arial" w:eastAsia="arial" w:hAnsi="arial" w:cs="arial"/>
          <w:b w:val="0"/>
          <w:i/>
          <w:strike w:val="0"/>
          <w:noProof w:val="0"/>
          <w:color w:val="000000"/>
          <w:position w:val="0"/>
          <w:sz w:val="24"/>
          <w:u w:val="none"/>
          <w:vertAlign w:val="baseline"/>
        </w:rPr>
        <w:t>COB-7;</w:t>
      </w:r>
    </w:p>
    <w:p>
      <w:pPr>
        <w:keepNext w:val="0"/>
        <w:numPr>
          <w:numId w:val="12"/>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Ikatan Dokumen Syarikat (Jilid 3)</w:t>
      </w:r>
      <w:r>
        <w:rPr>
          <w:rFonts w:ascii="arial" w:eastAsia="arial" w:hAnsi="arial" w:cs="arial"/>
          <w:b w:val="0"/>
          <w:i w:val="0"/>
          <w:strike w:val="0"/>
          <w:noProof w:val="0"/>
          <w:color w:val="000000"/>
          <w:position w:val="0"/>
          <w:sz w:val="24"/>
          <w:u w:val="none"/>
          <w:vertAlign w:val="baseline"/>
        </w:rPr>
        <w:t xml:space="preserve"> filed on 25 February 2022 marked as exhibit </w:t>
      </w:r>
      <w:r>
        <w:rPr>
          <w:rFonts w:ascii="arial" w:eastAsia="arial" w:hAnsi="arial" w:cs="arial"/>
          <w:b w:val="0"/>
          <w:i/>
          <w:strike w:val="0"/>
          <w:noProof w:val="0"/>
          <w:color w:val="000000"/>
          <w:position w:val="0"/>
          <w:sz w:val="24"/>
          <w:u w:val="none"/>
          <w:vertAlign w:val="baseline"/>
        </w:rPr>
        <w:t>COB-8;</w:t>
      </w:r>
    </w:p>
    <w:p>
      <w:pPr>
        <w:keepNext w:val="0"/>
        <w:numPr>
          <w:numId w:val="13"/>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Ikatan Dokumen Syarikat (Jilid 4)</w:t>
      </w:r>
      <w:r>
        <w:rPr>
          <w:rFonts w:ascii="arial" w:eastAsia="arial" w:hAnsi="arial" w:cs="arial"/>
          <w:b w:val="0"/>
          <w:i w:val="0"/>
          <w:strike w:val="0"/>
          <w:noProof w:val="0"/>
          <w:color w:val="000000"/>
          <w:position w:val="0"/>
          <w:sz w:val="24"/>
          <w:u w:val="none"/>
          <w:vertAlign w:val="baseline"/>
        </w:rPr>
        <w:t xml:space="preserve"> filed on 25 February 2022 marked as exhibit </w:t>
      </w:r>
      <w:r>
        <w:rPr>
          <w:rFonts w:ascii="arial" w:eastAsia="arial" w:hAnsi="arial" w:cs="arial"/>
          <w:b w:val="0"/>
          <w:i/>
          <w:strike w:val="0"/>
          <w:noProof w:val="0"/>
          <w:color w:val="000000"/>
          <w:position w:val="0"/>
          <w:sz w:val="24"/>
          <w:u w:val="none"/>
          <w:vertAlign w:val="baseline"/>
        </w:rPr>
        <w:t>COB-9;</w:t>
      </w:r>
    </w:p>
    <w:p>
      <w:pPr>
        <w:keepNext w:val="0"/>
        <w:numPr>
          <w:numId w:val="14"/>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Ikatan Dokumen Syarikat (Jilid 5)</w:t>
      </w:r>
      <w:r>
        <w:rPr>
          <w:rFonts w:ascii="arial" w:eastAsia="arial" w:hAnsi="arial" w:cs="arial"/>
          <w:b w:val="0"/>
          <w:i w:val="0"/>
          <w:strike w:val="0"/>
          <w:noProof w:val="0"/>
          <w:color w:val="000000"/>
          <w:position w:val="0"/>
          <w:sz w:val="24"/>
          <w:u w:val="none"/>
          <w:vertAlign w:val="baseline"/>
        </w:rPr>
        <w:t xml:space="preserve"> filed on 25 February 2022 marked as exhibit </w:t>
      </w:r>
      <w:r>
        <w:rPr>
          <w:rFonts w:ascii="arial" w:eastAsia="arial" w:hAnsi="arial" w:cs="arial"/>
          <w:b w:val="0"/>
          <w:i/>
          <w:strike w:val="0"/>
          <w:noProof w:val="0"/>
          <w:color w:val="000000"/>
          <w:position w:val="0"/>
          <w:sz w:val="24"/>
          <w:u w:val="none"/>
          <w:vertAlign w:val="baseline"/>
        </w:rPr>
        <w:t>COB-10;</w:t>
      </w:r>
    </w:p>
    <w:p>
      <w:pPr>
        <w:keepNext w:val="0"/>
        <w:numPr>
          <w:numId w:val="15"/>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Penyata Saksi (2)</w:t>
      </w:r>
      <w:r>
        <w:rPr>
          <w:rFonts w:ascii="arial" w:eastAsia="arial" w:hAnsi="arial" w:cs="arial"/>
          <w:b w:val="0"/>
          <w:i w:val="0"/>
          <w:strike w:val="0"/>
          <w:noProof w:val="0"/>
          <w:color w:val="000000"/>
          <w:position w:val="0"/>
          <w:sz w:val="24"/>
          <w:u w:val="none"/>
          <w:vertAlign w:val="baseline"/>
        </w:rPr>
        <w:t xml:space="preserve"> Razeim Azfar Mohd Bashir for the case 2760/21 signed on 17 January 2023 marked as exhibit </w:t>
      </w:r>
      <w:r>
        <w:rPr>
          <w:rFonts w:ascii="arial" w:eastAsia="arial" w:hAnsi="arial" w:cs="arial"/>
          <w:b w:val="0"/>
          <w:i/>
          <w:strike w:val="0"/>
          <w:noProof w:val="0"/>
          <w:color w:val="000000"/>
          <w:position w:val="0"/>
          <w:sz w:val="24"/>
          <w:u w:val="none"/>
          <w:vertAlign w:val="baseline"/>
        </w:rPr>
        <w:t>COWS-1A;</w:t>
      </w:r>
    </w:p>
    <w:p>
      <w:pPr>
        <w:keepNext w:val="0"/>
        <w:numPr>
          <w:numId w:val="16"/>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Penyata Saksi (2)</w:t>
      </w:r>
      <w:r>
        <w:rPr>
          <w:rFonts w:ascii="arial" w:eastAsia="arial" w:hAnsi="arial" w:cs="arial"/>
          <w:b w:val="0"/>
          <w:i w:val="0"/>
          <w:strike w:val="0"/>
          <w:noProof w:val="0"/>
          <w:color w:val="000000"/>
          <w:position w:val="0"/>
          <w:sz w:val="24"/>
          <w:u w:val="none"/>
          <w:vertAlign w:val="baseline"/>
        </w:rPr>
        <w:t xml:space="preserve"> Razeim Azfar Mohd Bashir for the case 2761/21 signed on 17 January 2023 marked as exhibit </w:t>
      </w:r>
      <w:r>
        <w:rPr>
          <w:rFonts w:ascii="arial" w:eastAsia="arial" w:hAnsi="arial" w:cs="arial"/>
          <w:b w:val="0"/>
          <w:i/>
          <w:strike w:val="0"/>
          <w:noProof w:val="0"/>
          <w:color w:val="000000"/>
          <w:position w:val="0"/>
          <w:sz w:val="24"/>
          <w:u w:val="none"/>
          <w:vertAlign w:val="baseline"/>
        </w:rPr>
        <w:t>COWS-1B;</w:t>
      </w:r>
    </w:p>
    <w:p>
      <w:pPr>
        <w:keepNext w:val="0"/>
        <w:numPr>
          <w:numId w:val="17"/>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Penyata Saksi (1)</w:t>
      </w:r>
      <w:r>
        <w:rPr>
          <w:rFonts w:ascii="arial" w:eastAsia="arial" w:hAnsi="arial" w:cs="arial"/>
          <w:b w:val="0"/>
          <w:i w:val="0"/>
          <w:strike w:val="0"/>
          <w:noProof w:val="0"/>
          <w:color w:val="000000"/>
          <w:position w:val="0"/>
          <w:sz w:val="24"/>
          <w:u w:val="none"/>
          <w:vertAlign w:val="baseline"/>
        </w:rPr>
        <w:t xml:space="preserve"> Shyawaludden Bin Mahmad for the case 2760/21 signed on 4 August 2023 marked as exhibit </w:t>
      </w:r>
      <w:r>
        <w:rPr>
          <w:rFonts w:ascii="arial" w:eastAsia="arial" w:hAnsi="arial" w:cs="arial"/>
          <w:b w:val="0"/>
          <w:i/>
          <w:strike w:val="0"/>
          <w:noProof w:val="0"/>
          <w:color w:val="000000"/>
          <w:position w:val="0"/>
          <w:sz w:val="24"/>
          <w:u w:val="none"/>
          <w:vertAlign w:val="baseline"/>
        </w:rPr>
        <w:t>COWS-2A;</w:t>
      </w:r>
    </w:p>
    <w:p>
      <w:pPr>
        <w:keepNext w:val="0"/>
        <w:numPr>
          <w:numId w:val="18"/>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Penyata Saksi (1)</w:t>
      </w:r>
      <w:r>
        <w:rPr>
          <w:rFonts w:ascii="arial" w:eastAsia="arial" w:hAnsi="arial" w:cs="arial"/>
          <w:b w:val="0"/>
          <w:i w:val="0"/>
          <w:strike w:val="0"/>
          <w:noProof w:val="0"/>
          <w:color w:val="000000"/>
          <w:position w:val="0"/>
          <w:sz w:val="24"/>
          <w:u w:val="none"/>
          <w:vertAlign w:val="baseline"/>
        </w:rPr>
        <w:t xml:space="preserve"> Shyawaludden Bin Mahmad for the case 2761/21 signed on 4 August 2023 marked as exhibit </w:t>
      </w:r>
      <w:r>
        <w:rPr>
          <w:rFonts w:ascii="arial" w:eastAsia="arial" w:hAnsi="arial" w:cs="arial"/>
          <w:b w:val="0"/>
          <w:i/>
          <w:strike w:val="0"/>
          <w:noProof w:val="0"/>
          <w:color w:val="000000"/>
          <w:position w:val="0"/>
          <w:sz w:val="24"/>
          <w:u w:val="none"/>
          <w:vertAlign w:val="baseline"/>
        </w:rPr>
        <w:t>COWS-2B;</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Claimant’s Witness Statement of Hanizah Binti Ahmad Jamaluddin signed on 4 August 2023 marked as exhibit </w:t>
      </w:r>
      <w:r>
        <w:rPr>
          <w:rFonts w:ascii="arial" w:eastAsia="arial" w:hAnsi="arial" w:cs="arial"/>
          <w:b w:val="0"/>
          <w:i/>
          <w:strike w:val="0"/>
          <w:noProof w:val="0"/>
          <w:color w:val="000000"/>
          <w:position w:val="0"/>
          <w:sz w:val="24"/>
          <w:u w:val="none"/>
          <w:vertAlign w:val="baseline"/>
        </w:rPr>
        <w:t>CLWS-1;</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Claimant’s Witness Statement of Nor Asiah Binti Mohd Noor signed on 4 August 2023 marked as exhibit </w:t>
      </w:r>
      <w:r>
        <w:rPr>
          <w:rFonts w:ascii="arial" w:eastAsia="arial" w:hAnsi="arial" w:cs="arial"/>
          <w:b w:val="0"/>
          <w:i/>
          <w:strike w:val="0"/>
          <w:noProof w:val="0"/>
          <w:color w:val="000000"/>
          <w:position w:val="0"/>
          <w:sz w:val="24"/>
          <w:u w:val="none"/>
          <w:vertAlign w:val="baseline"/>
        </w:rPr>
        <w:t>CLWS-2;</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Written Submissions dated 4 October 2023;</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Bundle of Authorities filed on 4 October 2023;</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Submissions dated 3 September 2023;</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Bundle of Authorities filed on 8 September 2023;</w:t>
      </w:r>
    </w:p>
    <w:p>
      <w:pPr>
        <w:keepNext w:val="0"/>
        <w:numPr>
          <w:numId w:val="2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Written Submissions in Reply dated 1 November 2023; and</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Bundle of Authorities (2) filed on 1 November 2023.</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DECISION</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Chair and the Role of the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xml:space="preserve">  Before proceeding with the full award, it should be expressly stated that the original Chairperson of the Court has been transferred. The new Chair took over the case and proceeded to give this award. This Court has already decided in earlier cases its position regarding the issue of taking over from another Chair, some of those cases are the cases of </w:t>
      </w:r>
      <w:r>
        <w:rPr>
          <w:rFonts w:ascii="arial" w:eastAsia="arial" w:hAnsi="arial" w:cs="arial"/>
          <w:b w:val="0"/>
          <w:i/>
          <w:strike w:val="0"/>
          <w:noProof w:val="0"/>
          <w:color w:val="000000"/>
          <w:position w:val="0"/>
          <w:sz w:val="24"/>
          <w:u w:val="none"/>
          <w:vertAlign w:val="baseline"/>
        </w:rPr>
        <w:t xml:space="preserve">Badariah Abdullah Iwn. Malaysia Airports (Sepang) Sdn Bhd  </w:t>
      </w:r>
      <w:r>
        <w:rPr>
          <w:rFonts w:ascii="arial" w:eastAsia="arial" w:hAnsi="arial" w:cs="arial"/>
          <w:b w:val="0"/>
          <w:i w:val="0"/>
          <w:strike w:val="0"/>
          <w:noProof w:val="0"/>
          <w:color w:val="000000"/>
          <w:position w:val="0"/>
          <w:sz w:val="24"/>
          <w:u w:val="none"/>
          <w:vertAlign w:val="baseline"/>
        </w:rPr>
        <w:t>[2023] 2 LNS 1546</w:t>
      </w:r>
      <w:r>
        <w:rPr>
          <w:rFonts w:ascii="arial" w:eastAsia="arial" w:hAnsi="arial" w:cs="arial"/>
          <w:b/>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Nor Azlina Abd Rahim lwn. Jurukur Perunding Services Sdn Bhd  </w:t>
      </w:r>
      <w:r>
        <w:rPr>
          <w:rFonts w:ascii="arial" w:eastAsia="arial" w:hAnsi="arial" w:cs="arial"/>
          <w:b w:val="0"/>
          <w:i w:val="0"/>
          <w:strike w:val="0"/>
          <w:noProof w:val="0"/>
          <w:color w:val="000000"/>
          <w:position w:val="0"/>
          <w:sz w:val="24"/>
          <w:u w:val="none"/>
          <w:vertAlign w:val="baseline"/>
        </w:rPr>
        <w:t xml:space="preserve">[2023] MELRU 1728 and </w:t>
      </w:r>
      <w:r>
        <w:rPr>
          <w:rFonts w:ascii="arial" w:eastAsia="arial" w:hAnsi="arial" w:cs="arial"/>
          <w:b w:val="0"/>
          <w:i/>
          <w:strike w:val="0"/>
          <w:noProof w:val="0"/>
          <w:color w:val="000000"/>
          <w:position w:val="0"/>
          <w:sz w:val="24"/>
          <w:u w:val="none"/>
          <w:vertAlign w:val="baseline"/>
        </w:rPr>
        <w:t xml:space="preserve">Chong Jee Fatt v. Tee E &amp; C (Malaysia) Sdn. Bhd.  </w:t>
      </w:r>
      <w:r>
        <w:rPr>
          <w:rFonts w:ascii="arial" w:eastAsia="arial" w:hAnsi="arial" w:cs="arial"/>
          <w:b w:val="0"/>
          <w:i w:val="0"/>
          <w:strike w:val="0"/>
          <w:noProof w:val="0"/>
          <w:color w:val="000000"/>
          <w:position w:val="0"/>
          <w:sz w:val="24"/>
          <w:u w:val="none"/>
          <w:vertAlign w:val="baseline"/>
        </w:rPr>
        <w:t xml:space="preserve">[2023] 3 ILR 204 In those awards this Court referred to the case of </w:t>
      </w:r>
      <w:r>
        <w:rPr>
          <w:rFonts w:ascii="arial" w:eastAsia="arial" w:hAnsi="arial" w:cs="arial"/>
          <w:b w:val="0"/>
          <w:i/>
          <w:strike w:val="0"/>
          <w:noProof w:val="0"/>
          <w:color w:val="000000"/>
          <w:position w:val="0"/>
          <w:sz w:val="24"/>
          <w:u w:val="none"/>
          <w:vertAlign w:val="baseline"/>
        </w:rPr>
        <w:t xml:space="preserve">Bax Global (Malaysia) Sdn Bhd V. Sukhdev Singh Pritam Singh &amp; Anor  </w:t>
      </w:r>
      <w:r>
        <w:rPr>
          <w:rFonts w:ascii="arial" w:eastAsia="arial" w:hAnsi="arial" w:cs="arial"/>
          <w:b w:val="0"/>
          <w:i w:val="0"/>
          <w:strike w:val="0"/>
          <w:noProof w:val="0"/>
          <w:color w:val="000000"/>
          <w:position w:val="0"/>
          <w:sz w:val="24"/>
          <w:u w:val="none"/>
          <w:vertAlign w:val="baseline"/>
        </w:rPr>
        <w:t xml:space="preserve">[2011] 2 CLJ 534 and subsection 23(6)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It would not be prudent to repeat the same and as such, parties are welcome to view the said case for an explanation why the Chair proceeded in completing this case. Suffice that the Chair was confident in the belief that the Award would not be prejudiced by the change of the chairman of the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xml:space="preserve">  Similarly, the Court reiterates its stand in all three of the above cases of </w:t>
      </w:r>
      <w:r>
        <w:rPr>
          <w:rFonts w:ascii="arial" w:eastAsia="arial" w:hAnsi="arial" w:cs="arial"/>
          <w:b/>
          <w:i/>
          <w:strike w:val="0"/>
          <w:noProof w:val="0"/>
          <w:color w:val="000000"/>
          <w:position w:val="0"/>
          <w:sz w:val="24"/>
          <w:u w:val="none"/>
          <w:vertAlign w:val="baseline"/>
        </w:rPr>
        <w:t>Badariah, Nor Azlina</w:t>
      </w:r>
      <w:r>
        <w:rPr>
          <w:rFonts w:ascii="arial" w:eastAsia="arial" w:hAnsi="arial" w:cs="arial"/>
          <w:b w:val="0"/>
          <w:i w:val="0"/>
          <w:strike w:val="0"/>
          <w:noProof w:val="0"/>
          <w:color w:val="000000"/>
          <w:position w:val="0"/>
          <w:sz w:val="24"/>
          <w:u w:val="none"/>
          <w:vertAlign w:val="baseline"/>
        </w:rPr>
        <w:t xml:space="preserve"> and </w:t>
      </w:r>
      <w:r>
        <w:rPr>
          <w:rFonts w:ascii="arial" w:eastAsia="arial" w:hAnsi="arial" w:cs="arial"/>
          <w:b/>
          <w:i/>
          <w:strike w:val="0"/>
          <w:noProof w:val="0"/>
          <w:color w:val="000000"/>
          <w:position w:val="0"/>
          <w:sz w:val="24"/>
          <w:u w:val="none"/>
          <w:vertAlign w:val="baseline"/>
        </w:rPr>
        <w:t>Chong Jee Fatt</w:t>
      </w:r>
      <w:r>
        <w:rPr>
          <w:rFonts w:ascii="arial" w:eastAsia="arial" w:hAnsi="arial" w:cs="arial"/>
          <w:b w:val="0"/>
          <w:i w:val="0"/>
          <w:strike w:val="0"/>
          <w:noProof w:val="0"/>
          <w:color w:val="000000"/>
          <w:position w:val="0"/>
          <w:sz w:val="24"/>
          <w:u w:val="none"/>
          <w:vertAlign w:val="baseline"/>
        </w:rPr>
        <w:t xml:space="preserve"> regarding the role of the Court in a matter referred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where the Court refers to the oft-cited Supreme Court case of </w:t>
      </w:r>
      <w:r>
        <w:rPr>
          <w:rFonts w:ascii="arial" w:eastAsia="arial" w:hAnsi="arial" w:cs="arial"/>
          <w:b w:val="0"/>
          <w:i/>
          <w:strike w:val="0"/>
          <w:noProof w:val="0"/>
          <w:color w:val="000000"/>
          <w:position w:val="0"/>
          <w:sz w:val="24"/>
          <w:u w:val="none"/>
          <w:vertAlign w:val="baseline"/>
        </w:rPr>
        <w:t xml:space="preserve">Wong Chee Hong v. Cathay Organisation Malaysia Sdn Bhd.  </w:t>
      </w:r>
      <w:r>
        <w:rPr>
          <w:rFonts w:ascii="arial" w:eastAsia="arial" w:hAnsi="arial" w:cs="arial"/>
          <w:b w:val="0"/>
          <w:i w:val="0"/>
          <w:strike w:val="0"/>
          <w:noProof w:val="0"/>
          <w:color w:val="000000"/>
          <w:position w:val="0"/>
          <w:sz w:val="24"/>
          <w:u w:val="none"/>
          <w:vertAlign w:val="baseline"/>
        </w:rPr>
        <w:t xml:space="preserve">[1988] 1 CLJ 45 and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2 MLJ 129</w:t>
      </w:r>
      <w:r>
        <w:rPr>
          <w:rFonts w:ascii="arial" w:eastAsia="arial" w:hAnsi="arial" w:cs="arial"/>
          <w:b/>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The accepted principles in those cases are clear and needs no further elaboration.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xml:space="preserve">  The case at hand is an application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as mentioned earlier and above as well as in this case specifically it is a clear case of retrenchment due to redundancy. It has been this Court’s norm that in cases of retrenchment that both retrenchment and redundancy are used interchangeably. As in today’s case, the retrenchment or the redundancy was due to restructuring or reorganisation exercise within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Nonetheless, before going into the issue of retrenchment or redundancy, another of the Court’s duty is to emphasis the level of proof required in cases in the Industrial Court.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Burden and Onus of Proof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xml:space="preserve">  The Court also refers to its previous cases with regards the burden of proof as well as adducing evidence in a case. The specific case referred is the case of </w:t>
      </w:r>
      <w:r>
        <w:rPr>
          <w:rFonts w:ascii="arial" w:eastAsia="arial" w:hAnsi="arial" w:cs="arial"/>
          <w:b w:val="0"/>
          <w:i/>
          <w:strike w:val="0"/>
          <w:noProof w:val="0"/>
          <w:color w:val="000000"/>
          <w:position w:val="0"/>
          <w:sz w:val="24"/>
          <w:u w:val="none"/>
          <w:vertAlign w:val="baseline"/>
        </w:rPr>
        <w:t xml:space="preserve">Mohamad Suffian Ismail v. Seacera Group Berhad  </w:t>
      </w:r>
      <w:r>
        <w:rPr>
          <w:rFonts w:ascii="arial" w:eastAsia="arial" w:hAnsi="arial" w:cs="arial"/>
          <w:b w:val="0"/>
          <w:i w:val="0"/>
          <w:strike w:val="0"/>
          <w:noProof w:val="0"/>
          <w:color w:val="000000"/>
          <w:position w:val="0"/>
          <w:sz w:val="24"/>
          <w:u w:val="none"/>
          <w:vertAlign w:val="baseline"/>
        </w:rPr>
        <w:t xml:space="preserve">[2023] MELRU 2317 whereby this Court refers to the Court of Appeal case of </w:t>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 xml:space="preserve">[2002] 3 CLJ 314 and the case of </w:t>
      </w:r>
      <w:r>
        <w:rPr>
          <w:rFonts w:ascii="arial" w:eastAsia="arial" w:hAnsi="arial" w:cs="arial"/>
          <w:b w:val="0"/>
          <w:i/>
          <w:strike w:val="0"/>
          <w:noProof w:val="0"/>
          <w:color w:val="000000"/>
          <w:position w:val="0"/>
          <w:sz w:val="24"/>
          <w:u w:val="none"/>
          <w:vertAlign w:val="baseline"/>
        </w:rPr>
        <w:t xml:space="preserve">International Times &amp; Ors v. Leong Ho Yuen  </w:t>
      </w:r>
      <w:r>
        <w:rPr>
          <w:rFonts w:ascii="arial" w:eastAsia="arial" w:hAnsi="arial" w:cs="arial"/>
          <w:b w:val="0"/>
          <w:i w:val="0"/>
          <w:strike w:val="0"/>
          <w:noProof w:val="0"/>
          <w:color w:val="000000"/>
          <w:position w:val="0"/>
          <w:sz w:val="24"/>
          <w:u w:val="none"/>
          <w:vertAlign w:val="baseline"/>
        </w:rPr>
        <w:t>[1980] 1 MLJ 86</w:t>
      </w:r>
      <w:r>
        <w:rPr>
          <w:rFonts w:ascii="arial" w:eastAsia="arial" w:hAnsi="arial" w:cs="arial"/>
          <w:b/>
          <w:i/>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xml:space="preserve">  Both the cases cited in the </w:t>
      </w:r>
      <w:r>
        <w:rPr>
          <w:rFonts w:ascii="arial" w:eastAsia="arial" w:hAnsi="arial" w:cs="arial"/>
          <w:b/>
          <w:i/>
          <w:strike w:val="0"/>
          <w:noProof w:val="0"/>
          <w:color w:val="000000"/>
          <w:position w:val="0"/>
          <w:sz w:val="24"/>
          <w:u w:val="none"/>
          <w:vertAlign w:val="baseline"/>
        </w:rPr>
        <w:t>Mohamad Suffian</w:t>
      </w:r>
      <w:r>
        <w:rPr>
          <w:rFonts w:ascii="arial" w:eastAsia="arial" w:hAnsi="arial" w:cs="arial"/>
          <w:b w:val="0"/>
          <w:i w:val="0"/>
          <w:strike w:val="0"/>
          <w:noProof w:val="0"/>
          <w:color w:val="000000"/>
          <w:position w:val="0"/>
          <w:sz w:val="24"/>
          <w:u w:val="none"/>
          <w:vertAlign w:val="baseline"/>
        </w:rPr>
        <w:t xml:space="preserve"> case above are the standard and burden of proof required by the Court and will be used when scrutinising this case. It is important to emphasise these factors because the entire case is beholden to adjudicate the evidence submitted based on the burden and standard of the proof of cases cited above. The Court has referred to this case despite the fact that the </w:t>
      </w:r>
      <w:r>
        <w:rPr>
          <w:rFonts w:ascii="arial" w:eastAsia="arial" w:hAnsi="arial" w:cs="arial"/>
          <w:b/>
          <w:i/>
          <w:strike w:val="0"/>
          <w:noProof w:val="0"/>
          <w:color w:val="000000"/>
          <w:position w:val="0"/>
          <w:sz w:val="24"/>
          <w:u w:val="none"/>
          <w:vertAlign w:val="baseline"/>
        </w:rPr>
        <w:t>Mohamad Suffian</w:t>
      </w:r>
      <w:r>
        <w:rPr>
          <w:rFonts w:ascii="arial" w:eastAsia="arial" w:hAnsi="arial" w:cs="arial"/>
          <w:b w:val="0"/>
          <w:i w:val="0"/>
          <w:strike w:val="0"/>
          <w:noProof w:val="0"/>
          <w:color w:val="000000"/>
          <w:position w:val="0"/>
          <w:sz w:val="24"/>
          <w:u w:val="none"/>
          <w:vertAlign w:val="baseline"/>
        </w:rPr>
        <w:t xml:space="preserve"> case has been referred from judicial review. The Court awaits the outcome and until then, the Courts position remains.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It is encumbered on the parties asserting the facts that it must be proven based on the balance of probabilities. This obligation has to be proven by both parties. So now, the Court will look into the crux of the case today, which is the issue of dismissal was due to retrenchment and/or redundancy.</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Locus Standi</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xml:space="preserve">  Besides the above, the Court will touch on an issue that has been raised in several cases before this Court, namely the issue is </w:t>
      </w:r>
      <w:r>
        <w:rPr>
          <w:rFonts w:ascii="arial" w:eastAsia="arial" w:hAnsi="arial" w:cs="arial"/>
          <w:b w:val="0"/>
          <w:i/>
          <w:strike w:val="0"/>
          <w:noProof w:val="0"/>
          <w:color w:val="000000"/>
          <w:position w:val="0"/>
          <w:sz w:val="24"/>
          <w:u w:val="none"/>
          <w:vertAlign w:val="baseline"/>
        </w:rPr>
        <w:t>locus standi.</w:t>
      </w:r>
      <w:r>
        <w:rPr>
          <w:rFonts w:ascii="arial" w:eastAsia="arial" w:hAnsi="arial" w:cs="arial"/>
          <w:b w:val="0"/>
          <w:i w:val="0"/>
          <w:strike w:val="0"/>
          <w:noProof w:val="0"/>
          <w:color w:val="000000"/>
          <w:position w:val="0"/>
          <w:sz w:val="24"/>
          <w:u w:val="none"/>
          <w:vertAlign w:val="baseline"/>
        </w:rPr>
        <w:t xml:space="preserve"> In this case, there are two areas where the </w:t>
      </w:r>
      <w:r>
        <w:rPr>
          <w:rFonts w:ascii="arial" w:eastAsia="arial" w:hAnsi="arial" w:cs="arial"/>
          <w:b w:val="0"/>
          <w:i/>
          <w:strike w:val="0"/>
          <w:noProof w:val="0"/>
          <w:color w:val="000000"/>
          <w:position w:val="0"/>
          <w:sz w:val="24"/>
          <w:u w:val="none"/>
          <w:vertAlign w:val="baseline"/>
        </w:rPr>
        <w:t>locus</w:t>
      </w:r>
      <w:r>
        <w:rPr>
          <w:rFonts w:ascii="arial" w:eastAsia="arial" w:hAnsi="arial" w:cs="arial"/>
          <w:b w:val="0"/>
          <w:i w:val="0"/>
          <w:strike w:val="0"/>
          <w:noProof w:val="0"/>
          <w:color w:val="000000"/>
          <w:position w:val="0"/>
          <w:sz w:val="24"/>
          <w:u w:val="none"/>
          <w:vertAlign w:val="baseline"/>
        </w:rPr>
        <w:t xml:space="preserve"> was an issue. The first is regarding whether since the Company was under judicial management and the judicial manager ought to be brought to task besides the Company. The second, although not really raised by the Company in this case but the Court mentions as a grounds for future cases which is regarding the status of the Claimants who were transferred within the companies of the group.</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xml:space="preserve">  There are several perspectives that could be taken in determining who is the actual party that ought to have been brought before the Court or the proceedings. In a recent case, where the Court had to determine an interim award on the question of </w:t>
      </w:r>
      <w:r>
        <w:rPr>
          <w:rFonts w:ascii="arial" w:eastAsia="arial" w:hAnsi="arial" w:cs="arial"/>
          <w:b w:val="0"/>
          <w:i/>
          <w:strike w:val="0"/>
          <w:noProof w:val="0"/>
          <w:color w:val="000000"/>
          <w:position w:val="0"/>
          <w:sz w:val="24"/>
          <w:u w:val="none"/>
          <w:vertAlign w:val="baseline"/>
        </w:rPr>
        <w:t>locus standi</w:t>
      </w:r>
      <w:r>
        <w:rPr>
          <w:rFonts w:ascii="arial" w:eastAsia="arial" w:hAnsi="arial" w:cs="arial"/>
          <w:b w:val="0"/>
          <w:i w:val="0"/>
          <w:strike w:val="0"/>
          <w:noProof w:val="0"/>
          <w:color w:val="000000"/>
          <w:position w:val="0"/>
          <w:sz w:val="24"/>
          <w:u w:val="none"/>
          <w:vertAlign w:val="baseline"/>
        </w:rPr>
        <w:t xml:space="preserve"> of the company namely the Interim Award No. 323/2024. The company had claimed that it was not the company that employed the employee. However, the Court had decided in favour of the Claimant and stated that since the Industrial Court is an arbitrative tribunal exercising principles of equity through a social legislation.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This would entail parties coming to the Court with not only clean hands but also to be more forthcoming. The Court has decided in the above mentioned award that if the parties itself were being questioned, it should have been raised at the Department of Industrial Relations stage during the negotiation process. This would have allowed the Claimants time to refile an action against the correct party within the statutory time limit. Therefore, this Court believes that the parties that come to the Industrial Court have proper </w:t>
      </w:r>
      <w:r>
        <w:rPr>
          <w:rFonts w:ascii="arial" w:eastAsia="arial" w:hAnsi="arial" w:cs="arial"/>
          <w:b w:val="0"/>
          <w:i/>
          <w:strike w:val="0"/>
          <w:noProof w:val="0"/>
          <w:color w:val="000000"/>
          <w:position w:val="0"/>
          <w:sz w:val="24"/>
          <w:u w:val="none"/>
          <w:vertAlign w:val="baseline"/>
        </w:rPr>
        <w:t>locus standi</w:t>
      </w:r>
      <w:r>
        <w:rPr>
          <w:rFonts w:ascii="arial" w:eastAsia="arial" w:hAnsi="arial" w:cs="arial"/>
          <w:b w:val="0"/>
          <w:i w:val="0"/>
          <w:strike w:val="0"/>
          <w:noProof w:val="0"/>
          <w:color w:val="000000"/>
          <w:position w:val="0"/>
          <w:sz w:val="24"/>
          <w:u w:val="none"/>
          <w:vertAlign w:val="baseline"/>
        </w:rPr>
        <w:t xml:space="preserve"> because they had gone through the necessary negotiation process at the Department of Industrial Relations and there were no objections or if there were, it was rejected administratively. This Court will only consider it necessary to determine this issue if the situation was the latter.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xml:space="preserve">  There is no evidence that the Company had raised the issue of the proper party was the Judicial Manager at the negotiation stage and that it was rejected by the Department of Industrial Relations. The Court is acutely aware that the negotiations process should be done on a without prejudice basis, however, this Court believes the if parties merely stated that the issue </w:t>
      </w:r>
      <w:r>
        <w:rPr>
          <w:rFonts w:ascii="arial" w:eastAsia="arial" w:hAnsi="arial" w:cs="arial"/>
          <w:b w:val="0"/>
          <w:i/>
          <w:strike w:val="0"/>
          <w:noProof w:val="0"/>
          <w:color w:val="000000"/>
          <w:position w:val="0"/>
          <w:sz w:val="24"/>
          <w:u w:val="none"/>
          <w:vertAlign w:val="baseline"/>
        </w:rPr>
        <w:t>locus standi</w:t>
      </w:r>
      <w:r>
        <w:rPr>
          <w:rFonts w:ascii="arial" w:eastAsia="arial" w:hAnsi="arial" w:cs="arial"/>
          <w:b w:val="0"/>
          <w:i w:val="0"/>
          <w:strike w:val="0"/>
          <w:noProof w:val="0"/>
          <w:color w:val="000000"/>
          <w:position w:val="0"/>
          <w:sz w:val="24"/>
          <w:u w:val="none"/>
          <w:vertAlign w:val="baseline"/>
        </w:rPr>
        <w:t xml:space="preserve"> was raised, is not a contravention of subsection 54(2)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xml:space="preserve">  The Company ought to have raised the issue of </w:t>
      </w:r>
      <w:r>
        <w:rPr>
          <w:rFonts w:ascii="arial" w:eastAsia="arial" w:hAnsi="arial" w:cs="arial"/>
          <w:b w:val="0"/>
          <w:i/>
          <w:strike w:val="0"/>
          <w:noProof w:val="0"/>
          <w:color w:val="000000"/>
          <w:position w:val="0"/>
          <w:sz w:val="24"/>
          <w:u w:val="none"/>
          <w:vertAlign w:val="baseline"/>
        </w:rPr>
        <w:t>locus standi</w:t>
      </w:r>
      <w:r>
        <w:rPr>
          <w:rFonts w:ascii="arial" w:eastAsia="arial" w:hAnsi="arial" w:cs="arial"/>
          <w:b w:val="0"/>
          <w:i w:val="0"/>
          <w:strike w:val="0"/>
          <w:noProof w:val="0"/>
          <w:color w:val="000000"/>
          <w:position w:val="0"/>
          <w:sz w:val="24"/>
          <w:u w:val="none"/>
          <w:vertAlign w:val="baseline"/>
        </w:rPr>
        <w:t xml:space="preserve"> at that stage at the Department of Industrial Relations and not at this stage of the proceedings. The Court also notes that the Claimants have worked at other companies within the same group of companies. On this issue, the Court also feels that if the parties were not the correct party, the matter should have been raised at the negotiations stage and should not be raised after the matter has been referred to the Industrial Courts.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Position of the Judicial Manager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xml:space="preserve">  At the outset, as the Court has mentioned above, the parties asserting the facts must provide the said evidence to prove its case on the balance of probabilities. The case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has always been that the Company must prove that the termination was with just cause and excuse. This case entails retrenchment after the Company had entered into financial distress requiring it to enter judicial management. The fact that the Company was under judicial management is not contested. What is contested is that the termination was done under the instruction of the judicial manager. This can be seen in the Company’s witness statement marked as </w:t>
      </w:r>
      <w:r>
        <w:rPr>
          <w:rFonts w:ascii="arial" w:eastAsia="arial" w:hAnsi="arial" w:cs="arial"/>
          <w:b w:val="0"/>
          <w:i/>
          <w:strike w:val="0"/>
          <w:noProof w:val="0"/>
          <w:color w:val="000000"/>
          <w:position w:val="0"/>
          <w:sz w:val="24"/>
          <w:u w:val="none"/>
          <w:vertAlign w:val="baseline"/>
        </w:rPr>
        <w:t>COWS-1A</w:t>
      </w:r>
      <w:r>
        <w:rPr>
          <w:rFonts w:ascii="arial" w:eastAsia="arial" w:hAnsi="arial" w:cs="arial"/>
          <w:b w:val="0"/>
          <w:i w:val="0"/>
          <w:strike w:val="0"/>
          <w:noProof w:val="0"/>
          <w:color w:val="000000"/>
          <w:position w:val="0"/>
          <w:sz w:val="24"/>
          <w:u w:val="none"/>
          <w:vertAlign w:val="baseline"/>
        </w:rPr>
        <w:t xml:space="preserve"> which states as follows: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“S3: Adakah anda tahu tindakan yang telah difailkan oleh Hanizah Binti Ahmad Jamaluddin terhadap Syarikat?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J3: Ya, tindakan ini adalah berkaitan dengan pemberhentian kerja Hanizah Binti Ahmad Jamaluddin daripada Syarikat berkuatkuasa 15 Januari 2012 akibat daripada satu </w:t>
      </w:r>
      <w:r>
        <w:rPr>
          <w:rFonts w:ascii="arial" w:eastAsia="arial" w:hAnsi="arial" w:cs="arial"/>
          <w:b w:val="0"/>
          <w:i/>
          <w:strike w:val="0"/>
          <w:noProof w:val="0"/>
          <w:color w:val="000000"/>
          <w:position w:val="0"/>
          <w:sz w:val="18"/>
          <w:u w:val="none"/>
          <w:vertAlign w:val="baseline"/>
        </w:rPr>
        <w:t>rightsizing exercise</w:t>
      </w:r>
      <w:r>
        <w:rPr>
          <w:rFonts w:ascii="arial" w:eastAsia="arial" w:hAnsi="arial" w:cs="arial"/>
          <w:b w:val="0"/>
          <w:i w:val="0"/>
          <w:strike w:val="0"/>
          <w:noProof w:val="0"/>
          <w:color w:val="000000"/>
          <w:position w:val="0"/>
          <w:sz w:val="18"/>
          <w:u w:val="none"/>
          <w:vertAlign w:val="baseline"/>
        </w:rPr>
        <w:t xml:space="preserve"> dan </w:t>
      </w:r>
      <w:r>
        <w:rPr>
          <w:rFonts w:ascii="arial" w:eastAsia="arial" w:hAnsi="arial" w:cs="arial"/>
          <w:b w:val="0"/>
          <w:i/>
          <w:strike w:val="0"/>
          <w:noProof w:val="0"/>
          <w:color w:val="000000"/>
          <w:position w:val="0"/>
          <w:sz w:val="18"/>
          <w:u w:val="none"/>
          <w:vertAlign w:val="baseline"/>
        </w:rPr>
        <w:t>manpower optimization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(“Arahan tersebut”)</w:t>
      </w:r>
      <w:r>
        <w:rPr>
          <w:rFonts w:ascii="arial" w:eastAsia="arial" w:hAnsi="arial" w:cs="arial"/>
          <w:b w:val="0"/>
          <w:i w:val="0"/>
          <w:strike w:val="0"/>
          <w:noProof w:val="0"/>
          <w:color w:val="000000"/>
          <w:position w:val="0"/>
          <w:sz w:val="18"/>
          <w:u w:val="none"/>
          <w:vertAlign w:val="baseline"/>
        </w:rPr>
        <w:t xml:space="preserve"> yang telah dilakukan oleh Syarikat.</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S4: Kenapa satu</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rightsizing exercise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dan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manpower optimization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terpaksa dilakukan di Syarikat?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J4.1: Sepanjang pengetahuan saya, Arahan tersebut telah dilakukan oleh kerana penurunan harga minyak dan gas serta kelembapan ekonomi global.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J4.2: Arahan tersebut merupakan salah satu daripada langkah-langkah yang telah diambil oleh Syarikat dan Kumpulan Scomi Energy untuk memperbaiki kedudukan kewangan Syarikat. Namun, Arahan tersebut diperlukan untuk melaraskan semula modal kerja dan penilaian semula struktur organisasi mengikut kesesuaian dan keperluan semasa, dan oleh itu, beberapa jabatan dan/atau posisi di dalam Syarikat telah dikenalpasti sebagai tidak diperlukan </w:t>
      </w:r>
      <w:r>
        <w:rPr>
          <w:rFonts w:ascii="arial" w:eastAsia="arial" w:hAnsi="arial" w:cs="arial"/>
          <w:b w:val="0"/>
          <w:i/>
          <w:strike w:val="0"/>
          <w:noProof w:val="0"/>
          <w:color w:val="000000"/>
          <w:position w:val="0"/>
          <w:sz w:val="18"/>
          <w:u w:val="none"/>
          <w:vertAlign w:val="baseline"/>
        </w:rPr>
        <w:t>(redundant).</w:t>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The above clearly states that there was some sort of Directive or Order issued. Although in the first question, the witness admitted that the Directive refers to the rightsizing exercise and not any specific instruction from the Judicial Manager. However, the second part of the answer tries to harmonise the High Court Order as the reason for the Directive. This Court agrees that the High Court Order dated 14 August 2020 by YA Azmi bin Ariffin does state the parameters of the Judicial Manager’s authority.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The Court acknowledges that the authority is far and wide as well as includes the power to restructure the Company. Nonetheless, the Order does not supersede the normal rules of evidence whereby any assertion must be supported by evidence as clearly highlighted several times in the Company’s submission.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xml:space="preserve">  The Company’s Counsel had also referred to the question and answer after the above, specifically question and answer 5 in </w:t>
      </w:r>
      <w:r>
        <w:rPr>
          <w:rFonts w:ascii="arial" w:eastAsia="arial" w:hAnsi="arial" w:cs="arial"/>
          <w:b w:val="0"/>
          <w:i/>
          <w:strike w:val="0"/>
          <w:noProof w:val="0"/>
          <w:color w:val="000000"/>
          <w:position w:val="0"/>
          <w:sz w:val="24"/>
          <w:u w:val="none"/>
          <w:vertAlign w:val="baseline"/>
        </w:rPr>
        <w:t>COWS-1A,</w:t>
      </w:r>
      <w:r>
        <w:rPr>
          <w:rFonts w:ascii="arial" w:eastAsia="arial" w:hAnsi="arial" w:cs="arial"/>
          <w:b w:val="0"/>
          <w:i w:val="0"/>
          <w:strike w:val="0"/>
          <w:noProof w:val="0"/>
          <w:color w:val="000000"/>
          <w:position w:val="0"/>
          <w:sz w:val="24"/>
          <w:u w:val="none"/>
          <w:vertAlign w:val="baseline"/>
        </w:rPr>
        <w:t xml:space="preserve"> where the witness had referred to a plan by the Company’s Judicial Manager. However, the situation is the same, since there is absolutely no proof of the Directive given and it was again related or tried to harmonise with the High Court Order mentioned above.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xml:space="preserve">  The Company must show the Directive was actually given by the Judicial Manager since this was the grounds of the Company’s justification or as submitted by the Company’s Counsel “was conducted by the Judicial Manager during the Judicial Management Period”. There was no minutes or resolution submitted to support this assertion. The Company’s witness </w:t>
      </w:r>
      <w:r>
        <w:rPr>
          <w:rFonts w:ascii="arial" w:eastAsia="arial" w:hAnsi="arial" w:cs="arial"/>
          <w:b w:val="0"/>
          <w:i/>
          <w:strike w:val="0"/>
          <w:noProof w:val="0"/>
          <w:color w:val="000000"/>
          <w:position w:val="0"/>
          <w:sz w:val="24"/>
          <w:u w:val="none"/>
          <w:vertAlign w:val="baseline"/>
        </w:rPr>
        <w:t>COW-1,</w:t>
      </w:r>
      <w:r>
        <w:rPr>
          <w:rFonts w:ascii="arial" w:eastAsia="arial" w:hAnsi="arial" w:cs="arial"/>
          <w:b w:val="0"/>
          <w:i w:val="0"/>
          <w:strike w:val="0"/>
          <w:noProof w:val="0"/>
          <w:color w:val="000000"/>
          <w:position w:val="0"/>
          <w:sz w:val="24"/>
          <w:u w:val="none"/>
          <w:vertAlign w:val="baseline"/>
        </w:rPr>
        <w:t xml:space="preserve"> during cross examination stated clearly that the “Arahan” came from Judicial Manager. However, there is nothing submitted to support this statement.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xml:space="preserve">  Further adding to the confusion is the testimony of </w:t>
      </w:r>
      <w:r>
        <w:rPr>
          <w:rFonts w:ascii="arial" w:eastAsia="arial" w:hAnsi="arial" w:cs="arial"/>
          <w:b w:val="0"/>
          <w:i/>
          <w:strike w:val="0"/>
          <w:noProof w:val="0"/>
          <w:color w:val="000000"/>
          <w:position w:val="0"/>
          <w:sz w:val="24"/>
          <w:u w:val="none"/>
          <w:vertAlign w:val="baseline"/>
        </w:rPr>
        <w:t>COW-2,</w:t>
      </w:r>
      <w:r>
        <w:rPr>
          <w:rFonts w:ascii="arial" w:eastAsia="arial" w:hAnsi="arial" w:cs="arial"/>
          <w:b w:val="0"/>
          <w:i w:val="0"/>
          <w:strike w:val="0"/>
          <w:noProof w:val="0"/>
          <w:color w:val="000000"/>
          <w:position w:val="0"/>
          <w:sz w:val="24"/>
          <w:u w:val="none"/>
          <w:vertAlign w:val="baseline"/>
        </w:rPr>
        <w:t xml:space="preserve"> the Director of the Company, who during cross examination stated that the order to terminate the Claimants from the parent company, SESB. During re-examination, the witness repeated the same that it was SESB that ordered the termination but did not know why it was SESB that gave the orders. No mention of the Judicial Manager at all. Although during the re-examination he later stated that he did not know who terminated the Claimants.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The only rational conclusion that this Court can adduce based on the above is that there was no specific Directive issued by the Judicial Manager. However, the actions of the Company was done in the normal course of its business operations and subsequently ratified by the Judicial Manager. Clearly, the authority is there but no documentary evidence to support the said instruction. This is in no means challenging or questioning the High Court Order and the appointment of the Judicial Manager, but rather it should be pointed out that it was the Company’s position that that the termination was due to the instruction of the Judicial Manager. Nevertheless, the justification by the Company must be supported by evidence.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Had the Company just admitted that it was part of their actions to fulfil the High Court Order and subsequently agreed by the Judicial Manager. This is an equitable Court of arbitration and he who comes to equity must come with clean hands. Based on this the Court is off the view that there was no instruction for the Judicial Manager and that the Company is merely transferring the accountability to another.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The Company must now prove that the termination was done with just cause and excuse without referring to the so-called instructions of the Judicial Manager that has been proven to be non-existent. The Court notes that the absence of the Directive does not automatically mean that the Claimants were dismissed without just cause. The Court must look into other factors which are usual for the retrenchment or redundancy cases.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Retrenchment and Redundancy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xml:space="preserve">  Before, going into that argument, the Court looks into the definition of both retrenchment and redundancy. This Court has referred to the definitions in an earlier decided case of </w:t>
      </w:r>
      <w:r>
        <w:rPr>
          <w:rFonts w:ascii="arial" w:eastAsia="arial" w:hAnsi="arial" w:cs="arial"/>
          <w:b w:val="0"/>
          <w:i/>
          <w:strike w:val="0"/>
          <w:noProof w:val="0"/>
          <w:color w:val="000000"/>
          <w:position w:val="0"/>
          <w:sz w:val="24"/>
          <w:u w:val="none"/>
          <w:vertAlign w:val="baseline"/>
        </w:rPr>
        <w:t xml:space="preserve">Ooi Lay Khuan v. Inti International Education Sdn Bhd  </w:t>
      </w:r>
      <w:r>
        <w:rPr>
          <w:rFonts w:ascii="arial" w:eastAsia="arial" w:hAnsi="arial" w:cs="arial"/>
          <w:b w:val="0"/>
          <w:i w:val="0"/>
          <w:strike w:val="0"/>
          <w:noProof w:val="0"/>
          <w:color w:val="000000"/>
          <w:position w:val="0"/>
          <w:sz w:val="24"/>
          <w:u w:val="none"/>
          <w:vertAlign w:val="baseline"/>
        </w:rPr>
        <w:t>[2024] MELRU 186</w:t>
      </w:r>
      <w:r>
        <w:rPr>
          <w:rFonts w:ascii="arial" w:eastAsia="arial" w:hAnsi="arial" w:cs="arial"/>
          <w:b/>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This Court had referred to two cases on the definition namely the Court of Appeal case of </w:t>
      </w:r>
      <w:r>
        <w:rPr>
          <w:rFonts w:ascii="arial" w:eastAsia="arial" w:hAnsi="arial" w:cs="arial"/>
          <w:b w:val="0"/>
          <w:i/>
          <w:strike w:val="0"/>
          <w:noProof w:val="0"/>
          <w:color w:val="000000"/>
          <w:position w:val="0"/>
          <w:sz w:val="24"/>
          <w:u w:val="none"/>
          <w:vertAlign w:val="baseline"/>
        </w:rPr>
        <w:t xml:space="preserve">William Jacks &amp; Co. (M) Sdn. Bhd. v. S. Balasingam  </w:t>
      </w:r>
      <w:r>
        <w:rPr>
          <w:rFonts w:ascii="arial" w:eastAsia="arial" w:hAnsi="arial" w:cs="arial"/>
          <w:b w:val="0"/>
          <w:i w:val="0"/>
          <w:strike w:val="0"/>
          <w:noProof w:val="0"/>
          <w:color w:val="000000"/>
          <w:position w:val="0"/>
          <w:sz w:val="24"/>
          <w:u w:val="none"/>
          <w:vertAlign w:val="baseline"/>
        </w:rPr>
        <w:t xml:space="preserve">[1997] 3 CLJ 235 and the High Court case of </w:t>
      </w:r>
      <w:r>
        <w:rPr>
          <w:rFonts w:ascii="arial" w:eastAsia="arial" w:hAnsi="arial" w:cs="arial"/>
          <w:b w:val="0"/>
          <w:i/>
          <w:strike w:val="0"/>
          <w:noProof w:val="0"/>
          <w:color w:val="000000"/>
          <w:position w:val="0"/>
          <w:sz w:val="24"/>
          <w:u w:val="none"/>
          <w:vertAlign w:val="baseline"/>
        </w:rPr>
        <w:t xml:space="preserve">Stephen Bong v. FCB (M) Sdn Bhd &amp; Anor  </w:t>
      </w:r>
      <w:r>
        <w:rPr>
          <w:rFonts w:ascii="arial" w:eastAsia="arial" w:hAnsi="arial" w:cs="arial"/>
          <w:b w:val="0"/>
          <w:i w:val="0"/>
          <w:strike w:val="0"/>
          <w:noProof w:val="0"/>
          <w:color w:val="000000"/>
          <w:position w:val="0"/>
          <w:sz w:val="24"/>
          <w:u w:val="none"/>
          <w:vertAlign w:val="baseline"/>
        </w:rPr>
        <w:t>[1999] 3 MLJ 411.</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xml:space="preserve">  The Court does not wish to repeat the same so parties can refer to the said case for a better understanding on this Courts approach on retrenchment and redundancy. The term redundancy or retrenchment can be used interchangeably but, the Court wishes to illustrate the fundamental issue, notwithstanding whether it is either of the terms, occurs when a company has made a decision to reduce or downsize its workforce, for whatever reason it may be. In the </w:t>
      </w:r>
      <w:r>
        <w:rPr>
          <w:rFonts w:ascii="arial" w:eastAsia="arial" w:hAnsi="arial" w:cs="arial"/>
          <w:b/>
          <w:i/>
          <w:strike w:val="0"/>
          <w:noProof w:val="0"/>
          <w:color w:val="000000"/>
          <w:position w:val="0"/>
          <w:sz w:val="24"/>
          <w:u w:val="none"/>
          <w:vertAlign w:val="baseline"/>
        </w:rPr>
        <w:t>Ooi Lay Khuan</w:t>
      </w:r>
      <w:r>
        <w:rPr>
          <w:rFonts w:ascii="arial" w:eastAsia="arial" w:hAnsi="arial" w:cs="arial"/>
          <w:b w:val="0"/>
          <w:i w:val="0"/>
          <w:strike w:val="0"/>
          <w:noProof w:val="0"/>
          <w:color w:val="000000"/>
          <w:position w:val="0"/>
          <w:sz w:val="24"/>
          <w:u w:val="none"/>
          <w:vertAlign w:val="baseline"/>
        </w:rPr>
        <w:t xml:space="preserve"> case, the Court had also referred to another Industrial Court case of </w:t>
      </w:r>
      <w:r>
        <w:rPr>
          <w:rFonts w:ascii="arial" w:eastAsia="arial" w:hAnsi="arial" w:cs="arial"/>
          <w:b w:val="0"/>
          <w:i/>
          <w:strike w:val="0"/>
          <w:noProof w:val="0"/>
          <w:color w:val="000000"/>
          <w:position w:val="0"/>
          <w:sz w:val="24"/>
          <w:u w:val="none"/>
          <w:vertAlign w:val="baseline"/>
        </w:rPr>
        <w:t xml:space="preserve">Mohd Nor Hassan &amp; Ors v. Continental Sime Tyre PJ Sdn. Bhd.  </w:t>
      </w:r>
      <w:r>
        <w:rPr>
          <w:rFonts w:ascii="arial" w:eastAsia="arial" w:hAnsi="arial" w:cs="arial"/>
          <w:b w:val="0"/>
          <w:i w:val="0"/>
          <w:strike w:val="0"/>
          <w:noProof w:val="0"/>
          <w:color w:val="000000"/>
          <w:position w:val="0"/>
          <w:sz w:val="24"/>
          <w:u w:val="none"/>
          <w:vertAlign w:val="baseline"/>
        </w:rPr>
        <w:t>[2014] 3 ILR 144 where the Court repeated three tests that needed to be fulfilled are as follows:</w:t>
      </w:r>
    </w:p>
    <w:p>
      <w:pPr>
        <w:keepNext w:val="0"/>
        <w:numPr>
          <w:numId w:val="2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there was a genuine need for the reorganisation exercise by the Company:</w:t>
      </w:r>
    </w:p>
    <w:p>
      <w:pPr>
        <w:keepNext w:val="0"/>
        <w:numPr>
          <w:numId w:val="2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a genuine redundancy situation had arisen which led to the retrenchment of the Claimant; and</w:t>
      </w:r>
    </w:p>
    <w:p>
      <w:pPr>
        <w:keepNext w:val="0"/>
        <w:numPr>
          <w:numId w:val="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 Company had complied with the accepted standards and procedure when selecting and retrenching the Claimant.</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xml:space="preserve">  The </w:t>
      </w:r>
      <w:r>
        <w:rPr>
          <w:rFonts w:ascii="arial" w:eastAsia="arial" w:hAnsi="arial" w:cs="arial"/>
          <w:b/>
          <w:i/>
          <w:strike w:val="0"/>
          <w:noProof w:val="0"/>
          <w:color w:val="000000"/>
          <w:position w:val="0"/>
          <w:sz w:val="24"/>
          <w:u w:val="none"/>
          <w:vertAlign w:val="baseline"/>
        </w:rPr>
        <w:t>Ooi Lay Khuan</w:t>
      </w:r>
      <w:r>
        <w:rPr>
          <w:rFonts w:ascii="arial" w:eastAsia="arial" w:hAnsi="arial" w:cs="arial"/>
          <w:b w:val="0"/>
          <w:i w:val="0"/>
          <w:strike w:val="0"/>
          <w:noProof w:val="0"/>
          <w:color w:val="000000"/>
          <w:position w:val="0"/>
          <w:sz w:val="24"/>
          <w:u w:val="none"/>
          <w:vertAlign w:val="baseline"/>
        </w:rPr>
        <w:t xml:space="preserve"> case also referred to the Court of Appeal cases of </w:t>
      </w:r>
      <w:r>
        <w:rPr>
          <w:rFonts w:ascii="arial" w:eastAsia="arial" w:hAnsi="arial" w:cs="arial"/>
          <w:b w:val="0"/>
          <w:i/>
          <w:strike w:val="0"/>
          <w:noProof w:val="0"/>
          <w:color w:val="000000"/>
          <w:position w:val="0"/>
          <w:sz w:val="24"/>
          <w:u w:val="none"/>
          <w:vertAlign w:val="baseline"/>
        </w:rPr>
        <w:t xml:space="preserve">Harris Solid State (M) Sdn. Bhd. &amp; Ors. V. Bruno Gentil Pereira &amp; Ors.  </w:t>
      </w:r>
      <w:r>
        <w:rPr>
          <w:rFonts w:ascii="arial" w:eastAsia="arial" w:hAnsi="arial" w:cs="arial"/>
          <w:b w:val="0"/>
          <w:i w:val="0"/>
          <w:strike w:val="0"/>
          <w:noProof w:val="0"/>
          <w:color w:val="000000"/>
          <w:position w:val="0"/>
          <w:sz w:val="24"/>
          <w:u w:val="none"/>
          <w:vertAlign w:val="baseline"/>
        </w:rPr>
        <w:t xml:space="preserve">[1996] 4 CLJ 747 and </w:t>
      </w:r>
      <w:r>
        <w:rPr>
          <w:rFonts w:ascii="arial" w:eastAsia="arial" w:hAnsi="arial" w:cs="arial"/>
          <w:b w:val="0"/>
          <w:i/>
          <w:strike w:val="0"/>
          <w:noProof w:val="0"/>
          <w:color w:val="000000"/>
          <w:position w:val="0"/>
          <w:sz w:val="24"/>
          <w:u w:val="none"/>
          <w:vertAlign w:val="baseline"/>
        </w:rPr>
        <w:t xml:space="preserve">Bayer (M) Sdn. Bhd. V. Ng Hong Pau  </w:t>
      </w:r>
      <w:r>
        <w:rPr>
          <w:rFonts w:ascii="arial" w:eastAsia="arial" w:hAnsi="arial" w:cs="arial"/>
          <w:b w:val="0"/>
          <w:i w:val="0"/>
          <w:strike w:val="0"/>
          <w:noProof w:val="0"/>
          <w:color w:val="000000"/>
          <w:position w:val="0"/>
          <w:sz w:val="24"/>
          <w:u w:val="none"/>
          <w:vertAlign w:val="baseline"/>
        </w:rPr>
        <w:t>[1999] 4 CLJ 155 The latter case was also quoted by the Company’s Counsel in submission. Both these cases also provide the grounds for this Court to construe when determining what is deemed retrenchment and redundancy.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The decisions above illustrates that the Company has to prove that the functions of the Claimants’ post had been reduced significantly to be considered redundant. It has not been objected in this case that the Company’s physical activities had to be curtailed especially during the MCO. However, there must be actual evidence that the Claimant’s jobs were redundant. The Company did not actually provide evidence to support this contention.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xml:space="preserve">  Coming back to the case law above, the Company stated that it had done a reorganization of the Company, but the requirement was that it has to be genuine. In the </w:t>
      </w:r>
      <w:r>
        <w:rPr>
          <w:rFonts w:ascii="arial" w:eastAsia="arial" w:hAnsi="arial" w:cs="arial"/>
          <w:b/>
          <w:i/>
          <w:strike w:val="0"/>
          <w:noProof w:val="0"/>
          <w:color w:val="000000"/>
          <w:position w:val="0"/>
          <w:sz w:val="24"/>
          <w:u w:val="none"/>
          <w:vertAlign w:val="baseline"/>
        </w:rPr>
        <w:t>Bayer</w:t>
      </w:r>
      <w:r>
        <w:rPr>
          <w:rFonts w:ascii="arial" w:eastAsia="arial" w:hAnsi="arial" w:cs="arial"/>
          <w:b w:val="0"/>
          <w:i w:val="0"/>
          <w:strike w:val="0"/>
          <w:noProof w:val="0"/>
          <w:color w:val="000000"/>
          <w:position w:val="0"/>
          <w:sz w:val="24"/>
          <w:u w:val="none"/>
          <w:vertAlign w:val="baseline"/>
        </w:rPr>
        <w:t xml:space="preserve"> case and as stated by the Court earlier, it is quite clear that the Company had to show evidence that the Claimant’s post was truly redundant. In this case the Company has showed that there were signs that the Company needed to restructure and reorganise to settle the loan. A loan that was encumbered on them through their group of companies. This was the entire focus of the Company’s case. There was not enough evidence provided regarding the reorganisation and restructuring of the work in the Company that led to the redundancy of the Claimants posts.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xml:space="preserve">  This Court has decided in another case namely </w:t>
      </w:r>
      <w:r>
        <w:rPr>
          <w:rFonts w:ascii="arial" w:eastAsia="arial" w:hAnsi="arial" w:cs="arial"/>
          <w:b w:val="0"/>
          <w:i/>
          <w:strike w:val="0"/>
          <w:noProof w:val="0"/>
          <w:color w:val="000000"/>
          <w:position w:val="0"/>
          <w:sz w:val="24"/>
          <w:u w:val="none"/>
          <w:vertAlign w:val="baseline"/>
        </w:rPr>
        <w:t xml:space="preserve">Zulika Atika binti Khamis v. Nice Paradise Sdn. Bhd.,  </w:t>
      </w:r>
      <w:r>
        <w:rPr>
          <w:rFonts w:ascii="arial" w:eastAsia="arial" w:hAnsi="arial" w:cs="arial"/>
          <w:b w:val="0"/>
          <w:i w:val="0"/>
          <w:strike w:val="0"/>
          <w:noProof w:val="0"/>
          <w:color w:val="000000"/>
          <w:position w:val="0"/>
          <w:sz w:val="24"/>
          <w:u w:val="none"/>
          <w:vertAlign w:val="baseline"/>
        </w:rPr>
        <w:t>[2023] MELRU 2194</w:t>
      </w:r>
      <w:r>
        <w:rPr>
          <w:rFonts w:ascii="arial" w:eastAsia="arial" w:hAnsi="arial" w:cs="arial"/>
          <w:b/>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In that case, the Company had gone through great lengths to show which posts were deemed redundant and the departments involved. Even then the Court felt was not done in just cause and excuse. The Court is of the view that the Company has to provide substantive evidence that the duties and tasks of the Claimants were deemed redundant due to the reorganisation such as the termination of excess staff from specific departments.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The Court has stated above that the Company has focused its attention on the fact that the Company had a lot of loans to settle. This Court has no intention to look into the details or actions taken to settle the loan through the various companies within the group. However, the Court does intend to relate the fact that the loan was redistributed and guaranteed between the companies within the group. The actions are perfectly legal but the Court notes that this illustrates the fact that the group almost acts as one entity so the loan distribution and movement of employees merely solidifies this fact.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Despite all of this, the question before this Court remains the same, that is whether the termination of the Claimants was done with just cause and excuse. If it was purely on the basis that the Company has incurred to much debt, thence it can be argued in the affirmative. Nonetheless, the transferring of debts between the companies should not, through no fault of the Company in the eyes of the Court, be borne by the employees.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xml:space="preserve">  The appointment of the Judicial Manager, by the Company itself, also illustrates the dire situation faced by the Company at that time.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restructuring and reorganisation was therefore necessary to ensure that the Company maintains its solvency and existence. However, this does not absolve the obligations of the Company to prove that the selection process was done fairly and that the number of years of service was taken into consideration.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The Claimants, both have lengthy years of service, despite the Counsel for the Company trying to paint a picture that both were only recently appointed in the Company. This Court has always been of the view that whenever an employee has a clause in their employment that allows for a transfer to other companies within the group, thence the argument that the Claimants were only recently appointed cannot be accepted.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xml:space="preserve">  Furthermore, both the Claimants in this case have an almost identical clause in their employment agreements which the Court has referred too, namely at page 1906 </w:t>
      </w:r>
      <w:r>
        <w:rPr>
          <w:rFonts w:ascii="arial" w:eastAsia="arial" w:hAnsi="arial" w:cs="arial"/>
          <w:b w:val="0"/>
          <w:i/>
          <w:strike w:val="0"/>
          <w:noProof w:val="0"/>
          <w:color w:val="000000"/>
          <w:position w:val="0"/>
          <w:sz w:val="24"/>
          <w:u w:val="none"/>
          <w:vertAlign w:val="baseline"/>
        </w:rPr>
        <w:t>COB-5</w:t>
      </w:r>
      <w:r>
        <w:rPr>
          <w:rFonts w:ascii="arial" w:eastAsia="arial" w:hAnsi="arial" w:cs="arial"/>
          <w:b w:val="0"/>
          <w:i w:val="0"/>
          <w:strike w:val="0"/>
          <w:noProof w:val="0"/>
          <w:color w:val="000000"/>
          <w:position w:val="0"/>
          <w:sz w:val="24"/>
          <w:u w:val="none"/>
          <w:vertAlign w:val="baseline"/>
        </w:rPr>
        <w:t xml:space="preserve"> for the First Claimant and page 1752 </w:t>
      </w:r>
      <w:r>
        <w:rPr>
          <w:rFonts w:ascii="arial" w:eastAsia="arial" w:hAnsi="arial" w:cs="arial"/>
          <w:b w:val="0"/>
          <w:i/>
          <w:strike w:val="0"/>
          <w:noProof w:val="0"/>
          <w:color w:val="000000"/>
          <w:position w:val="0"/>
          <w:sz w:val="24"/>
          <w:u w:val="none"/>
          <w:vertAlign w:val="baseline"/>
        </w:rPr>
        <w:t>COB-10</w:t>
      </w:r>
      <w:r>
        <w:rPr>
          <w:rFonts w:ascii="arial" w:eastAsia="arial" w:hAnsi="arial" w:cs="arial"/>
          <w:b w:val="0"/>
          <w:i w:val="0"/>
          <w:strike w:val="0"/>
          <w:noProof w:val="0"/>
          <w:color w:val="000000"/>
          <w:position w:val="0"/>
          <w:sz w:val="24"/>
          <w:u w:val="none"/>
          <w:vertAlign w:val="baseline"/>
        </w:rPr>
        <w:t xml:space="preserve"> for the Second Claimant. The clauses have clearly stated that, and taking the latter as an example, “you a re liable to be transferred to work in any section, department or division of the Group at the absolute discretion of the Company.”. There should not be any ambiguity on the meaning and relationship of the companies within the group.</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The Company had argued that the separate legal entity of the companies must be maintained unless there are grounds to show otherwise. Of course, the Company’s Counsel had argued otherwise. The Court will look into the issue of lifting of the corporate veil.</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Lifting the Corporate Veil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[43]</w:t>
      </w:r>
      <w:r>
        <w:rPr>
          <w:rFonts w:ascii="arial" w:eastAsia="arial" w:hAnsi="arial" w:cs="arial"/>
          <w:b w:val="0"/>
          <w:i w:val="0"/>
          <w:strike w:val="0"/>
          <w:noProof w:val="0"/>
          <w:color w:val="000000"/>
          <w:position w:val="0"/>
          <w:sz w:val="24"/>
          <w:u w:val="none"/>
          <w:vertAlign w:val="baseline"/>
        </w:rPr>
        <w:t xml:space="preserve">  The Court had already looked into the issue the corporate in the above mentioned case of </w:t>
      </w:r>
      <w:r>
        <w:rPr>
          <w:rFonts w:ascii="arial" w:eastAsia="arial" w:hAnsi="arial" w:cs="arial"/>
          <w:b/>
          <w:i/>
          <w:strike w:val="0"/>
          <w:noProof w:val="0"/>
          <w:color w:val="000000"/>
          <w:position w:val="0"/>
          <w:sz w:val="24"/>
          <w:u w:val="none"/>
          <w:vertAlign w:val="baseline"/>
        </w:rPr>
        <w:t>Chong Jee Fat</w:t>
      </w:r>
      <w:r>
        <w:rPr>
          <w:rFonts w:ascii="arial" w:eastAsia="arial" w:hAnsi="arial" w:cs="arial"/>
          <w:b w:val="0"/>
          <w:i/>
          <w:strike w:val="0"/>
          <w:noProof w:val="0"/>
          <w:color w:val="000000"/>
          <w:position w:val="0"/>
          <w:sz w:val="24"/>
          <w:u w:val="none"/>
          <w:vertAlign w:val="baseline"/>
        </w:rPr>
        <w:t>s</w:t>
      </w:r>
      <w:r>
        <w:rPr>
          <w:rFonts w:ascii="arial" w:eastAsia="arial" w:hAnsi="arial" w:cs="arial"/>
          <w:b w:val="0"/>
          <w:i w:val="0"/>
          <w:strike w:val="0"/>
          <w:noProof w:val="0"/>
          <w:color w:val="000000"/>
          <w:position w:val="0"/>
          <w:sz w:val="24"/>
          <w:u w:val="none"/>
          <w:vertAlign w:val="baseline"/>
        </w:rPr>
        <w:t xml:space="preserve"> case. In that case the Court had referred to the Court of Appeal Case </w:t>
      </w:r>
      <w:r>
        <w:rPr>
          <w:rFonts w:ascii="arial" w:eastAsia="arial" w:hAnsi="arial" w:cs="arial"/>
          <w:b w:val="0"/>
          <w:i/>
          <w:strike w:val="0"/>
          <w:noProof w:val="0"/>
          <w:color w:val="000000"/>
          <w:position w:val="0"/>
          <w:sz w:val="24"/>
          <w:u w:val="none"/>
          <w:vertAlign w:val="baseline"/>
        </w:rPr>
        <w:t xml:space="preserve">Law Kam Loy &amp; Anor v. Boltex Sdn Bhd. &amp; Ors  </w:t>
      </w:r>
      <w:r>
        <w:rPr>
          <w:rFonts w:ascii="arial" w:eastAsia="arial" w:hAnsi="arial" w:cs="arial"/>
          <w:b w:val="0"/>
          <w:i w:val="0"/>
          <w:strike w:val="0"/>
          <w:noProof w:val="0"/>
          <w:color w:val="000000"/>
          <w:position w:val="0"/>
          <w:sz w:val="24"/>
          <w:u w:val="none"/>
          <w:vertAlign w:val="baseline"/>
        </w:rPr>
        <w:t>[2005] 3 CLJ 355</w:t>
      </w:r>
      <w:r>
        <w:rPr>
          <w:rFonts w:ascii="arial" w:eastAsia="arial" w:hAnsi="arial" w:cs="arial"/>
          <w:b/>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The Court of Appeal had highlighted the possibility of lifting the corporate veil. The Court will now construe whether this case fulfils the requirement to lift the corporate veil.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[44]</w:t>
      </w:r>
      <w:r>
        <w:rPr>
          <w:rFonts w:ascii="arial" w:eastAsia="arial" w:hAnsi="arial" w:cs="arial"/>
          <w:b w:val="0"/>
          <w:i w:val="0"/>
          <w:strike w:val="0"/>
          <w:noProof w:val="0"/>
          <w:color w:val="000000"/>
          <w:position w:val="0"/>
          <w:sz w:val="24"/>
          <w:u w:val="none"/>
          <w:vertAlign w:val="baseline"/>
        </w:rPr>
        <w:t xml:space="preserve">  The Court answers the assertion by the Company’s Counsel whether the situation in this case is fulfils the requirement for lifting the corporate veil in the affirmative despite the Counsel saying “No.”. The Company referred to the Federal Court case of </w:t>
      </w:r>
      <w:r>
        <w:rPr>
          <w:rFonts w:ascii="arial" w:eastAsia="arial" w:hAnsi="arial" w:cs="arial"/>
          <w:b w:val="0"/>
          <w:i/>
          <w:strike w:val="0"/>
          <w:noProof w:val="0"/>
          <w:color w:val="000000"/>
          <w:position w:val="0"/>
          <w:sz w:val="24"/>
          <w:u w:val="none"/>
          <w:vertAlign w:val="baseline"/>
        </w:rPr>
        <w:t xml:space="preserve">Zahri Mirza Abdul Hamid v. AIMS Cyberjaya Sdn Bhd  </w:t>
      </w:r>
      <w:r>
        <w:rPr>
          <w:rFonts w:ascii="arial" w:eastAsia="arial" w:hAnsi="arial" w:cs="arial"/>
          <w:b w:val="0"/>
          <w:i w:val="0"/>
          <w:strike w:val="0"/>
          <w:noProof w:val="0"/>
          <w:color w:val="000000"/>
          <w:position w:val="0"/>
          <w:sz w:val="24"/>
          <w:u w:val="none"/>
          <w:vertAlign w:val="baseline"/>
        </w:rPr>
        <w:t>[2020] 3 ILR 233</w:t>
      </w:r>
      <w:r>
        <w:rPr>
          <w:rFonts w:ascii="arial" w:eastAsia="arial" w:hAnsi="arial" w:cs="arial"/>
          <w:b/>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Looking into the Federal Court case, this Court refers to the following paragraphs in the judgment:</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“[15]</w:t>
      </w:r>
      <w:r>
        <w:rPr>
          <w:rFonts w:ascii="arial" w:eastAsia="arial" w:hAnsi="arial" w:cs="arial"/>
          <w:b w:val="0"/>
          <w:i w:val="0"/>
          <w:strike w:val="0"/>
          <w:noProof w:val="0"/>
          <w:color w:val="000000"/>
          <w:position w:val="0"/>
          <w:sz w:val="18"/>
          <w:u w:val="none"/>
          <w:vertAlign w:val="baseline"/>
        </w:rPr>
        <w:t xml:space="preserve"> Courts have recognised a number of factors that may lead to lifting/piercing of the corporate veil. Generally speaking, grounds under general law for lifting/piercing the corporate veil may be grouped into the following categories:</w:t>
      </w:r>
    </w:p>
    <w:p>
      <w:pPr>
        <w:keepNext w:val="0"/>
        <w:numPr>
          <w:numId w:val="30"/>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agency;</w:t>
      </w:r>
    </w:p>
    <w:p>
      <w:pPr>
        <w:keepNext w:val="0"/>
        <w:numPr>
          <w:numId w:val="31"/>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fraud;</w:t>
      </w:r>
    </w:p>
    <w:p>
      <w:pPr>
        <w:keepNext w:val="0"/>
        <w:numPr>
          <w:numId w:val="32"/>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sham or facade;</w:t>
      </w:r>
    </w:p>
    <w:p>
      <w:pPr>
        <w:keepNext w:val="0"/>
        <w:numPr>
          <w:numId w:val="33"/>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group enterprise; and</w:t>
      </w:r>
    </w:p>
    <w:p>
      <w:pPr>
        <w:keepNext w:val="0"/>
        <w:numPr>
          <w:numId w:val="34"/>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unfairness/injustice.</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These categories are probably not exhaustive. For the purpose of this instant appeal, categories (iv) and (v) are relevant.</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[16]</w:t>
      </w:r>
      <w:r>
        <w:rPr>
          <w:rFonts w:ascii="arial" w:eastAsia="arial" w:hAnsi="arial" w:cs="arial"/>
          <w:b w:val="0"/>
          <w:i w:val="0"/>
          <w:strike w:val="0"/>
          <w:noProof w:val="0"/>
          <w:color w:val="000000"/>
          <w:position w:val="0"/>
          <w:sz w:val="18"/>
          <w:u w:val="none"/>
          <w:vertAlign w:val="baseline"/>
        </w:rPr>
        <w:t xml:space="preserve"> A court may lift/pierce the corporate veil where the relationship between companies in the same group is so intertwined that they should be treated as a single entity to reflect the economic and commercial realities of the situation. </w:t>
      </w:r>
      <w:r>
        <w:rPr>
          <w:rFonts w:ascii="arial" w:eastAsia="arial" w:hAnsi="arial" w:cs="arial"/>
          <w:b/>
          <w:i w:val="0"/>
          <w:strike w:val="0"/>
          <w:noProof w:val="0"/>
          <w:color w:val="000000"/>
          <w:position w:val="0"/>
          <w:sz w:val="18"/>
          <w:u w:val="none"/>
          <w:vertAlign w:val="baseline"/>
        </w:rPr>
        <w:t>An argument of “group enterprise” is that in certain circumstances a corporate group is operating in such a manner as to make each individual entity indistinguishable, and therefore it is proper to lift/pierce the corporate veil to treat the parent company as liable for the acts of the subsidiary. Lifting/piercing the corporate veil is one way to ensure that a corporate group, which seeks the advantages of limited liability, must also accept the corresponding responsibilities.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[17]</w:t>
      </w:r>
      <w:r>
        <w:rPr>
          <w:rFonts w:ascii="arial" w:eastAsia="arial" w:hAnsi="arial" w:cs="arial"/>
          <w:b w:val="0"/>
          <w:i w:val="0"/>
          <w:strike w:val="0"/>
          <w:noProof w:val="0"/>
          <w:color w:val="000000"/>
          <w:position w:val="0"/>
          <w:sz w:val="18"/>
          <w:u w:val="none"/>
          <w:vertAlign w:val="baseline"/>
        </w:rPr>
        <w:t xml:space="preserve"> In the employment law perspective, the application of the “single economic unit” test or “functional integrality” test is particularly significant in ascertaining the continuity of employment for the scope of dismissal protection (see </w:t>
      </w:r>
      <w:r>
        <w:rPr>
          <w:rFonts w:ascii="arial" w:eastAsia="arial" w:hAnsi="arial" w:cs="arial"/>
          <w:b w:val="0"/>
          <w:i/>
          <w:strike w:val="0"/>
          <w:noProof w:val="0"/>
          <w:color w:val="000000"/>
          <w:position w:val="0"/>
          <w:sz w:val="18"/>
          <w:u w:val="none"/>
          <w:vertAlign w:val="baseline"/>
        </w:rPr>
        <w:t xml:space="preserve">Manley Inc v. Fallis  </w:t>
      </w:r>
      <w:r>
        <w:rPr>
          <w:rFonts w:ascii="arial" w:eastAsia="arial" w:hAnsi="arial" w:cs="arial"/>
          <w:b w:val="0"/>
          <w:i w:val="0"/>
          <w:strike w:val="0"/>
          <w:noProof w:val="0"/>
          <w:color w:val="000000"/>
          <w:position w:val="0"/>
          <w:sz w:val="18"/>
          <w:u w:val="none"/>
          <w:vertAlign w:val="baseline"/>
        </w:rPr>
        <w:t>(1977), 2 BLR 277 (Ont CA)]. It recognises the complexity of modern corporate structures and that the corporate veil must only be pierced in exceptional circumstances. On the other hand, such complexity should not be an obstacle to defeat the legitimate entitlements of wrongfully dismissed employees. This approach has its root on the general notions of fairness, equality and proportionality in the treatment of vulnerable employees. It serves to balance fairness with evolving commercial realities.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[45]</w:t>
      </w:r>
      <w:r>
        <w:rPr>
          <w:rFonts w:ascii="arial" w:eastAsia="arial" w:hAnsi="arial" w:cs="arial"/>
          <w:b w:val="0"/>
          <w:i w:val="0"/>
          <w:strike w:val="0"/>
          <w:noProof w:val="0"/>
          <w:color w:val="000000"/>
          <w:position w:val="0"/>
          <w:sz w:val="24"/>
          <w:u w:val="none"/>
          <w:vertAlign w:val="baseline"/>
        </w:rPr>
        <w:t>  Based on the above, it is clear that the situation in this case, clearly justifies the lifting of the corporate veil. The group had allowed the decision to transfer the Claimants, it was also the group that allowed that the Company to take on the debts from the other companies within the group. This is clearly what the Federal Court states as “group enterprise” and in this case must also accept the corresponding responsibilities.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[46]</w:t>
      </w:r>
      <w:r>
        <w:rPr>
          <w:rFonts w:ascii="arial" w:eastAsia="arial" w:hAnsi="arial" w:cs="arial"/>
          <w:b w:val="0"/>
          <w:i w:val="0"/>
          <w:strike w:val="0"/>
          <w:noProof w:val="0"/>
          <w:color w:val="000000"/>
          <w:position w:val="0"/>
          <w:sz w:val="24"/>
          <w:u w:val="none"/>
          <w:vertAlign w:val="baseline"/>
        </w:rPr>
        <w:t xml:space="preserve">  This then leads the Court to the next issue namely, the maxim of last in first out or “LIFO”. The Claimants counsel raised the issue of the principle of LIFO. The Court had already made a decision on this matter in an earlier case of </w:t>
      </w:r>
      <w:r>
        <w:rPr>
          <w:rFonts w:ascii="arial" w:eastAsia="arial" w:hAnsi="arial" w:cs="arial"/>
          <w:b w:val="0"/>
          <w:i/>
          <w:strike w:val="0"/>
          <w:noProof w:val="0"/>
          <w:color w:val="000000"/>
          <w:position w:val="0"/>
          <w:sz w:val="24"/>
          <w:u w:val="none"/>
          <w:vertAlign w:val="baseline"/>
        </w:rPr>
        <w:t xml:space="preserve">Shairazi Aslam Abd Aziz v. Air Asia Berhad  </w:t>
      </w:r>
      <w:r>
        <w:rPr>
          <w:rFonts w:ascii="arial" w:eastAsia="arial" w:hAnsi="arial" w:cs="arial"/>
          <w:b w:val="0"/>
          <w:i w:val="0"/>
          <w:strike w:val="0"/>
          <w:noProof w:val="0"/>
          <w:color w:val="000000"/>
          <w:position w:val="0"/>
          <w:sz w:val="24"/>
          <w:u w:val="none"/>
          <w:vertAlign w:val="baseline"/>
        </w:rPr>
        <w:t xml:space="preserve">[2023] MELRU 2174 and reiterated in the </w:t>
      </w:r>
      <w:r>
        <w:rPr>
          <w:rFonts w:ascii="arial" w:eastAsia="arial" w:hAnsi="arial" w:cs="arial"/>
          <w:b/>
          <w:i/>
          <w:strike w:val="0"/>
          <w:noProof w:val="0"/>
          <w:color w:val="000000"/>
          <w:position w:val="0"/>
          <w:sz w:val="24"/>
          <w:u w:val="none"/>
          <w:vertAlign w:val="baseline"/>
        </w:rPr>
        <w:t>Ooi Lay Khuan</w:t>
      </w:r>
      <w:r>
        <w:rPr>
          <w:rFonts w:ascii="arial" w:eastAsia="arial" w:hAnsi="arial" w:cs="arial"/>
          <w:b w:val="0"/>
          <w:i w:val="0"/>
          <w:strike w:val="0"/>
          <w:noProof w:val="0"/>
          <w:color w:val="000000"/>
          <w:position w:val="0"/>
          <w:sz w:val="24"/>
          <w:u w:val="none"/>
          <w:vertAlign w:val="baseline"/>
        </w:rPr>
        <w:t xml:space="preserve"> case. This Court notes that the case has been appealed but until the appeal has been heard then the ratio still stands.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LIFO</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[47]</w:t>
      </w:r>
      <w:r>
        <w:rPr>
          <w:rFonts w:ascii="arial" w:eastAsia="arial" w:hAnsi="arial" w:cs="arial"/>
          <w:b w:val="0"/>
          <w:i w:val="0"/>
          <w:strike w:val="0"/>
          <w:noProof w:val="0"/>
          <w:color w:val="000000"/>
          <w:position w:val="0"/>
          <w:sz w:val="24"/>
          <w:u w:val="none"/>
          <w:vertAlign w:val="baseline"/>
        </w:rPr>
        <w:t xml:space="preserve">  In both the </w:t>
      </w:r>
      <w:r>
        <w:rPr>
          <w:rFonts w:ascii="arial" w:eastAsia="arial" w:hAnsi="arial" w:cs="arial"/>
          <w:b/>
          <w:i/>
          <w:strike w:val="0"/>
          <w:noProof w:val="0"/>
          <w:color w:val="000000"/>
          <w:position w:val="0"/>
          <w:sz w:val="24"/>
          <w:u w:val="none"/>
          <w:vertAlign w:val="baseline"/>
        </w:rPr>
        <w:t>Shairazi</w:t>
      </w:r>
      <w:r>
        <w:rPr>
          <w:rFonts w:ascii="arial" w:eastAsia="arial" w:hAnsi="arial" w:cs="arial"/>
          <w:b w:val="0"/>
          <w:i w:val="0"/>
          <w:strike w:val="0"/>
          <w:noProof w:val="0"/>
          <w:color w:val="000000"/>
          <w:position w:val="0"/>
          <w:sz w:val="24"/>
          <w:u w:val="none"/>
          <w:vertAlign w:val="baseline"/>
        </w:rPr>
        <w:t xml:space="preserve"> and </w:t>
      </w:r>
      <w:r>
        <w:rPr>
          <w:rFonts w:ascii="arial" w:eastAsia="arial" w:hAnsi="arial" w:cs="arial"/>
          <w:b/>
          <w:i/>
          <w:strike w:val="0"/>
          <w:noProof w:val="0"/>
          <w:color w:val="000000"/>
          <w:position w:val="0"/>
          <w:sz w:val="24"/>
          <w:u w:val="none"/>
          <w:vertAlign w:val="baseline"/>
        </w:rPr>
        <w:t>Ooi Lay Khuan</w:t>
      </w:r>
      <w:r>
        <w:rPr>
          <w:rFonts w:ascii="arial" w:eastAsia="arial" w:hAnsi="arial" w:cs="arial"/>
          <w:b w:val="0"/>
          <w:i w:val="0"/>
          <w:strike w:val="0"/>
          <w:noProof w:val="0"/>
          <w:color w:val="000000"/>
          <w:position w:val="0"/>
          <w:sz w:val="24"/>
          <w:u w:val="none"/>
          <w:vertAlign w:val="baseline"/>
        </w:rPr>
        <w:t xml:space="preserve"> cases, this Court referred to the Federal Court case of </w:t>
      </w:r>
      <w:r>
        <w:rPr>
          <w:rFonts w:ascii="arial" w:eastAsia="arial" w:hAnsi="arial" w:cs="arial"/>
          <w:b w:val="0"/>
          <w:i/>
          <w:strike w:val="0"/>
          <w:noProof w:val="0"/>
          <w:color w:val="000000"/>
          <w:position w:val="0"/>
          <w:sz w:val="24"/>
          <w:u w:val="none"/>
          <w:vertAlign w:val="baseline"/>
        </w:rPr>
        <w:t xml:space="preserve">Dynacraft Industries Sdn Bhd v. Kamaruddin Kana Mohd Shariff &amp; Ors  </w:t>
      </w:r>
      <w:r>
        <w:rPr>
          <w:rFonts w:ascii="arial" w:eastAsia="arial" w:hAnsi="arial" w:cs="arial"/>
          <w:b w:val="0"/>
          <w:i w:val="0"/>
          <w:strike w:val="0"/>
          <w:noProof w:val="0"/>
          <w:color w:val="000000"/>
          <w:position w:val="0"/>
          <w:sz w:val="24"/>
          <w:u w:val="none"/>
          <w:vertAlign w:val="baseline"/>
        </w:rPr>
        <w:t>[2012] 9 CLJ 21 where it was stated as follows: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“[13]</w:t>
      </w:r>
      <w:r>
        <w:rPr>
          <w:rFonts w:ascii="arial" w:eastAsia="arial" w:hAnsi="arial" w:cs="arial"/>
          <w:b w:val="0"/>
          <w:i w:val="0"/>
          <w:strike w:val="0"/>
          <w:noProof w:val="0"/>
          <w:color w:val="000000"/>
          <w:position w:val="0"/>
          <w:sz w:val="18"/>
          <w:u w:val="none"/>
          <w:vertAlign w:val="baseline"/>
        </w:rPr>
        <w:t xml:space="preserve"> We will deal with the first question posed in this appeal. It concerns the correctness of the application of the LIFO principle by the Industrial Court. </w:t>
      </w:r>
      <w:r>
        <w:rPr>
          <w:rFonts w:ascii="arial" w:eastAsia="arial" w:hAnsi="arial" w:cs="arial"/>
          <w:b/>
          <w:i w:val="0"/>
          <w:strike w:val="0"/>
          <w:noProof w:val="0"/>
          <w:color w:val="000000"/>
          <w:position w:val="0"/>
          <w:sz w:val="18"/>
          <w:u w:val="none"/>
          <w:vertAlign w:val="baseline"/>
        </w:rPr>
        <w:t>The LIFO</w:t>
      </w:r>
      <w:r>
        <w:rPr>
          <w:rFonts w:ascii="arial" w:eastAsia="arial" w:hAnsi="arial" w:cs="arial"/>
          <w:b w:val="0"/>
          <w:i w:val="0"/>
          <w:strike w:val="0"/>
          <w:noProof w:val="0"/>
          <w:color w:val="000000"/>
          <w:position w:val="0"/>
          <w:sz w:val="18"/>
          <w:u w:val="none"/>
          <w:vertAlign w:val="baseline"/>
        </w:rPr>
        <w:t xml:space="preserve"> (last in first out) or “last come first go” principle requires the most junior employee to be retrenched before the more senior ones in the same category. The principle is </w:t>
      </w:r>
      <w:r>
        <w:rPr>
          <w:rFonts w:ascii="arial" w:eastAsia="arial" w:hAnsi="arial" w:cs="arial"/>
          <w:b/>
          <w:i w:val="0"/>
          <w:strike w:val="0"/>
          <w:noProof w:val="0"/>
          <w:color w:val="000000"/>
          <w:position w:val="0"/>
          <w:sz w:val="18"/>
          <w:u w:val="none"/>
          <w:vertAlign w:val="baseline"/>
        </w:rPr>
        <w:t>intended to afford a healthy safeguard against discrimination of workmen in the matter of retrenchment</w:t>
      </w:r>
      <w:r>
        <w:rPr>
          <w:rFonts w:ascii="arial" w:eastAsia="arial" w:hAnsi="arial" w:cs="arial"/>
          <w:b w:val="0"/>
          <w:i w:val="0"/>
          <w:strike w:val="0"/>
          <w:noProof w:val="0"/>
          <w:color w:val="000000"/>
          <w:position w:val="0"/>
          <w:sz w:val="18"/>
          <w:u w:val="none"/>
          <w:vertAlign w:val="baseline"/>
        </w:rPr>
        <w:t xml:space="preserve"> [see </w:t>
      </w:r>
      <w:r>
        <w:rPr>
          <w:rFonts w:ascii="arial" w:eastAsia="arial" w:hAnsi="arial" w:cs="arial"/>
          <w:b w:val="0"/>
          <w:i/>
          <w:strike w:val="0"/>
          <w:noProof w:val="0"/>
          <w:color w:val="000000"/>
          <w:position w:val="0"/>
          <w:sz w:val="18"/>
          <w:u w:val="none"/>
          <w:vertAlign w:val="baseline"/>
        </w:rPr>
        <w:t xml:space="preserve">Swadesamitran Ltd v. Their Workmen </w:t>
      </w:r>
      <w:r>
        <w:rPr>
          <w:rFonts w:ascii="arial" w:eastAsia="arial" w:hAnsi="arial" w:cs="arial"/>
          <w:b w:val="0"/>
          <w:i w:val="0"/>
          <w:strike w:val="0"/>
          <w:noProof w:val="0"/>
          <w:color w:val="000000"/>
          <w:position w:val="0"/>
          <w:sz w:val="18"/>
          <w:u w:val="none"/>
          <w:vertAlign w:val="baseline"/>
        </w:rPr>
        <w:t xml:space="preserve">, AIR, 1960 (SC) 762]. Explaining this principle, in </w:t>
      </w:r>
      <w:r>
        <w:rPr>
          <w:rFonts w:ascii="arial" w:eastAsia="arial" w:hAnsi="arial" w:cs="arial"/>
          <w:b w:val="0"/>
          <w:i/>
          <w:strike w:val="0"/>
          <w:noProof w:val="0"/>
          <w:color w:val="000000"/>
          <w:position w:val="0"/>
          <w:sz w:val="18"/>
          <w:u w:val="none"/>
          <w:vertAlign w:val="baseline"/>
        </w:rPr>
        <w:t xml:space="preserve">Workmen of Sudder Workshop of Jorehaut Tea Co Ltd v. The Management of Jorehaut Tea Co Ltd </w:t>
      </w:r>
      <w:r>
        <w:rPr>
          <w:rFonts w:ascii="arial" w:eastAsia="arial" w:hAnsi="arial" w:cs="arial"/>
          <w:b w:val="0"/>
          <w:i w:val="0"/>
          <w:strike w:val="0"/>
          <w:noProof w:val="0"/>
          <w:color w:val="000000"/>
          <w:position w:val="0"/>
          <w:sz w:val="18"/>
          <w:u w:val="none"/>
          <w:vertAlign w:val="baseline"/>
        </w:rPr>
        <w:t>, AIR 1980, SC 1454, the Supreme Court said:</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The rule is that the employer shall retrench the workman who came last, first, popularly known as ‘last come first go’.</w:t>
      </w:r>
      <w:r>
        <w:t>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[14] It is well-established and accepted in Industrial law that in effecting retrenchment, </w:t>
      </w:r>
      <w:r>
        <w:rPr>
          <w:rFonts w:ascii="arial" w:eastAsia="arial" w:hAnsi="arial" w:cs="arial"/>
          <w:b/>
          <w:i w:val="0"/>
          <w:strike w:val="0"/>
          <w:noProof w:val="0"/>
          <w:color w:val="000000"/>
          <w:position w:val="0"/>
          <w:sz w:val="18"/>
          <w:u w:val="none"/>
          <w:vertAlign w:val="baseline"/>
        </w:rPr>
        <w:t>an employer should comply with the principle of last in first out unless there are some valid reasons for departure</w:t>
      </w:r>
      <w:r>
        <w:rPr>
          <w:rFonts w:ascii="arial" w:eastAsia="arial" w:hAnsi="arial" w:cs="arial"/>
          <w:b w:val="0"/>
          <w:i w:val="0"/>
          <w:strike w:val="0"/>
          <w:noProof w:val="0"/>
          <w:color w:val="000000"/>
          <w:position w:val="0"/>
          <w:sz w:val="18"/>
          <w:u w:val="none"/>
          <w:vertAlign w:val="baseline"/>
        </w:rPr>
        <w:t xml:space="preserve"> [see </w:t>
      </w:r>
      <w:r>
        <w:rPr>
          <w:rFonts w:ascii="arial" w:eastAsia="arial" w:hAnsi="arial" w:cs="arial"/>
          <w:b w:val="0"/>
          <w:i/>
          <w:strike w:val="0"/>
          <w:noProof w:val="0"/>
          <w:color w:val="000000"/>
          <w:position w:val="0"/>
          <w:sz w:val="18"/>
          <w:u w:val="none"/>
          <w:vertAlign w:val="baseline"/>
        </w:rPr>
        <w:t xml:space="preserve">Firex Sdn Bhd v. Ng Shoo Waa  </w:t>
      </w:r>
      <w:r>
        <w:rPr>
          <w:rFonts w:ascii="arial" w:eastAsia="arial" w:hAnsi="arial" w:cs="arial"/>
          <w:b w:val="0"/>
          <w:i w:val="0"/>
          <w:strike w:val="0"/>
          <w:noProof w:val="0"/>
          <w:color w:val="000000"/>
          <w:position w:val="0"/>
          <w:sz w:val="18"/>
          <w:u w:val="none"/>
          <w:vertAlign w:val="baseline"/>
        </w:rPr>
        <w:t xml:space="preserve">[1990] 1 ILR 226]. In </w:t>
      </w:r>
      <w:r>
        <w:rPr>
          <w:rFonts w:ascii="arial" w:eastAsia="arial" w:hAnsi="arial" w:cs="arial"/>
          <w:b w:val="0"/>
          <w:i/>
          <w:strike w:val="0"/>
          <w:noProof w:val="0"/>
          <w:color w:val="000000"/>
          <w:position w:val="0"/>
          <w:sz w:val="18"/>
          <w:u w:val="none"/>
          <w:vertAlign w:val="baseline"/>
        </w:rPr>
        <w:t xml:space="preserve">Om Oil and Oil Seeds Exchange Ltd Delhi v. Their Workmen,  </w:t>
      </w:r>
      <w:r>
        <w:rPr>
          <w:rFonts w:ascii="arial" w:eastAsia="arial" w:hAnsi="arial" w:cs="arial"/>
          <w:b w:val="0"/>
          <w:i w:val="0"/>
          <w:strike w:val="0"/>
          <w:noProof w:val="0"/>
          <w:color w:val="000000"/>
          <w:position w:val="0"/>
          <w:sz w:val="18"/>
          <w:u w:val="none"/>
          <w:vertAlign w:val="baseline"/>
        </w:rPr>
        <w:t>1966 AIR (SC) 1657, the Supreme Court said:</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 xml:space="preserve">(3) It is an accepted principle of industrial law that in ordering retrenchment ordinarily the management should commence with the latest recruit, and progressively retrench employees higher up in the list of seniority. But the rule is not immutable, and for valid reasons may be departed from. It was observed by this Court in </w:t>
      </w:r>
      <w:r>
        <w:rPr>
          <w:rFonts w:ascii="arial" w:eastAsia="arial" w:hAnsi="arial" w:cs="arial"/>
          <w:b w:val="0"/>
          <w:i/>
          <w:strike w:val="0"/>
          <w:noProof w:val="0"/>
          <w:color w:val="000000"/>
          <w:position w:val="0"/>
          <w:sz w:val="18"/>
          <w:u w:val="none"/>
          <w:vertAlign w:val="baseline"/>
        </w:rPr>
        <w:t xml:space="preserve">Swadesamitran Ltd., Madras v. Their Workmen,  </w:t>
      </w:r>
      <w:r>
        <w:rPr>
          <w:rFonts w:ascii="arial" w:eastAsia="arial" w:hAnsi="arial" w:cs="arial"/>
          <w:b w:val="0"/>
          <w:i w:val="0"/>
          <w:strike w:val="0"/>
          <w:noProof w:val="0"/>
          <w:color w:val="000000"/>
          <w:position w:val="0"/>
          <w:sz w:val="18"/>
          <w:u w:val="none"/>
          <w:vertAlign w:val="baseline"/>
        </w:rPr>
        <w:t xml:space="preserve">1960-1 Lab LJ 504: (AIR ; 1960 SC 762), that if a case for retrenchment is made out, </w:t>
      </w:r>
      <w:r>
        <w:rPr>
          <w:rFonts w:ascii="arial" w:eastAsia="arial" w:hAnsi="arial" w:cs="arial"/>
          <w:b/>
          <w:i w:val="0"/>
          <w:strike w:val="0"/>
          <w:noProof w:val="0"/>
          <w:color w:val="000000"/>
          <w:position w:val="0"/>
          <w:sz w:val="18"/>
          <w:u w:val="none"/>
          <w:vertAlign w:val="baseline"/>
        </w:rPr>
        <w:t>it would normally be for the employer to decide which of the employees should be retrenched; but there can be no doubt that the ordinary industrial rule of retrenchment is “first come, last go” and where other things are equal, this rule has to be followed by the employer in effecting retrenchment.</w:t>
      </w:r>
      <w:r>
        <w:t>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[48]</w:t>
      </w:r>
      <w:r>
        <w:rPr>
          <w:rFonts w:ascii="arial" w:eastAsia="arial" w:hAnsi="arial" w:cs="arial"/>
          <w:b w:val="0"/>
          <w:i w:val="0"/>
          <w:strike w:val="0"/>
          <w:noProof w:val="0"/>
          <w:color w:val="000000"/>
          <w:position w:val="0"/>
          <w:sz w:val="24"/>
          <w:u w:val="none"/>
          <w:vertAlign w:val="baseline"/>
        </w:rPr>
        <w:t>  The Court has emphasised some portions of the judgment above which are relevant to this case and notes that the principle was not binding on the Courts but rather ought to be invoked when necessary taking into consideration the facts of the case. In this case, the Court had difficulty in construing the principle due to the fact that there was insufficient information submitted by the parties.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[49]</w:t>
      </w:r>
      <w:r>
        <w:rPr>
          <w:rFonts w:ascii="arial" w:eastAsia="arial" w:hAnsi="arial" w:cs="arial"/>
          <w:b w:val="0"/>
          <w:i w:val="0"/>
          <w:strike w:val="0"/>
          <w:noProof w:val="0"/>
          <w:color w:val="000000"/>
          <w:position w:val="0"/>
          <w:sz w:val="24"/>
          <w:u w:val="none"/>
          <w:vertAlign w:val="baseline"/>
        </w:rPr>
        <w:t>  The Company did not give any comparison of the employees within the department that the Claimants were working, only a statement that LIFO was followed because the Claimants literally joined in 2019. The Claimants were never given a choice in the transfer to the new Company. It is not now equitable for the Company to use the justification that the Claimants have recently joined the Company since the group transferred them at the groups discretion and not at the request of the Claimants.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[50]</w:t>
      </w:r>
      <w:r>
        <w:rPr>
          <w:rFonts w:ascii="arial" w:eastAsia="arial" w:hAnsi="arial" w:cs="arial"/>
          <w:b w:val="0"/>
          <w:i w:val="0"/>
          <w:strike w:val="0"/>
          <w:noProof w:val="0"/>
          <w:color w:val="000000"/>
          <w:position w:val="0"/>
          <w:sz w:val="24"/>
          <w:u w:val="none"/>
          <w:vertAlign w:val="baseline"/>
        </w:rPr>
        <w:t>  At this point that the Court also notes that the First Claimant has worked within the group for almost twenty-eight years, whilst the Second Claimant has worked within the group for almost seventeen years. These are quite significant lengths of time for any person to serve in an organisation. This form of loyalty ought to be rewarded and not taken advantage off. Clearly, the Company was not equitable on the issue of LIFO. As stated earlier, the Court found it difficult to determine with certainty since the parties have not provided sufficient evidence.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[51]</w:t>
      </w:r>
      <w:r>
        <w:rPr>
          <w:rFonts w:ascii="arial" w:eastAsia="arial" w:hAnsi="arial" w:cs="arial"/>
          <w:b w:val="0"/>
          <w:i w:val="0"/>
          <w:strike w:val="0"/>
          <w:noProof w:val="0"/>
          <w:color w:val="000000"/>
          <w:position w:val="0"/>
          <w:sz w:val="24"/>
          <w:u w:val="none"/>
          <w:vertAlign w:val="baseline"/>
        </w:rPr>
        <w:t>  The Court can only decide based on the evidence that has been submitted to the Court. In this case, the Claimants had almost twenty-eight and seventeen years of service in the group of companies. The groups of Companies standard employment agreement has a clause allowing for the transfer of employees within the group of companies and this should not be at a loss of any seniority and privileges for the Claimants. Since the Company has not submitted any specific evidence as to the length of service of other employees within the Company, it would not be correct to say that the termination of the Claimants fulfilled LIFO.</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[52]</w:t>
      </w:r>
      <w:r>
        <w:rPr>
          <w:rFonts w:ascii="arial" w:eastAsia="arial" w:hAnsi="arial" w:cs="arial"/>
          <w:b w:val="0"/>
          <w:i w:val="0"/>
          <w:strike w:val="0"/>
          <w:noProof w:val="0"/>
          <w:color w:val="000000"/>
          <w:position w:val="0"/>
          <w:sz w:val="24"/>
          <w:u w:val="none"/>
          <w:vertAlign w:val="baseline"/>
        </w:rPr>
        <w:t xml:space="preserve">  Another area that was raised by the Claimants representative was the application of the code of Conduct of Industrial Harmony (“Code”). Again this Court had already determined the issue of the implementation of the Code in the cases </w:t>
      </w:r>
      <w:r>
        <w:rPr>
          <w:rFonts w:ascii="arial" w:eastAsia="arial" w:hAnsi="arial" w:cs="arial"/>
          <w:b/>
          <w:i/>
          <w:strike w:val="0"/>
          <w:noProof w:val="0"/>
          <w:color w:val="000000"/>
          <w:position w:val="0"/>
          <w:sz w:val="24"/>
          <w:u w:val="none"/>
          <w:vertAlign w:val="baseline"/>
        </w:rPr>
        <w:t>Shairazi</w:t>
      </w:r>
      <w:r>
        <w:rPr>
          <w:rFonts w:ascii="arial" w:eastAsia="arial" w:hAnsi="arial" w:cs="arial"/>
          <w:b w:val="0"/>
          <w:i w:val="0"/>
          <w:strike w:val="0"/>
          <w:noProof w:val="0"/>
          <w:color w:val="000000"/>
          <w:position w:val="0"/>
          <w:sz w:val="24"/>
          <w:u w:val="none"/>
          <w:vertAlign w:val="baseline"/>
        </w:rPr>
        <w:t xml:space="preserve"> and </w:t>
      </w:r>
      <w:r>
        <w:rPr>
          <w:rFonts w:ascii="arial" w:eastAsia="arial" w:hAnsi="arial" w:cs="arial"/>
          <w:b/>
          <w:i/>
          <w:strike w:val="0"/>
          <w:noProof w:val="0"/>
          <w:color w:val="000000"/>
          <w:position w:val="0"/>
          <w:sz w:val="24"/>
          <w:u w:val="none"/>
          <w:vertAlign w:val="baseline"/>
        </w:rPr>
        <w:t>Ooi Lay Khuan.</w:t>
      </w:r>
      <w:r>
        <w:rPr>
          <w:rFonts w:ascii="arial" w:eastAsia="arial" w:hAnsi="arial" w:cs="arial"/>
          <w:b w:val="0"/>
          <w:i w:val="0"/>
          <w:strike w:val="0"/>
          <w:noProof w:val="0"/>
          <w:color w:val="000000"/>
          <w:position w:val="0"/>
          <w:sz w:val="24"/>
          <w:u w:val="none"/>
          <w:vertAlign w:val="baseline"/>
        </w:rPr>
        <w:t xml:space="preserve"> The Court does not want to repeat itself by for a further explanation of the position this Court has used.</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Code of Conduct of Industrial Harmony (“Code”)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[53]</w:t>
      </w:r>
      <w:r>
        <w:rPr>
          <w:rFonts w:ascii="arial" w:eastAsia="arial" w:hAnsi="arial" w:cs="arial"/>
          <w:b w:val="0"/>
          <w:i w:val="0"/>
          <w:strike w:val="0"/>
          <w:noProof w:val="0"/>
          <w:color w:val="000000"/>
          <w:position w:val="0"/>
          <w:sz w:val="24"/>
          <w:u w:val="none"/>
          <w:vertAlign w:val="baseline"/>
        </w:rPr>
        <w:t xml:space="preserve">  The Court referred to this principle through the Court of Appeal cases of </w:t>
      </w:r>
      <w:r>
        <w:rPr>
          <w:rFonts w:ascii="arial" w:eastAsia="arial" w:hAnsi="arial" w:cs="arial"/>
          <w:b w:val="0"/>
          <w:i/>
          <w:strike w:val="0"/>
          <w:noProof w:val="0"/>
          <w:color w:val="000000"/>
          <w:position w:val="0"/>
          <w:sz w:val="24"/>
          <w:u w:val="none"/>
          <w:vertAlign w:val="baseline"/>
        </w:rPr>
        <w:t xml:space="preserve">Equant Integration Services Sdn Bhd (In Liquidation) v Wong Wai Hung  </w:t>
      </w:r>
      <w:r>
        <w:rPr>
          <w:rFonts w:ascii="arial" w:eastAsia="arial" w:hAnsi="arial" w:cs="arial"/>
          <w:b w:val="0"/>
          <w:i w:val="0"/>
          <w:strike w:val="0"/>
          <w:noProof w:val="0"/>
          <w:color w:val="000000"/>
          <w:position w:val="0"/>
          <w:sz w:val="24"/>
          <w:u w:val="none"/>
          <w:vertAlign w:val="baseline"/>
        </w:rPr>
        <w:t xml:space="preserve">[2012] 1 LNS 1296 and </w:t>
      </w:r>
      <w:r>
        <w:rPr>
          <w:rFonts w:ascii="arial" w:eastAsia="arial" w:hAnsi="arial" w:cs="arial"/>
          <w:b w:val="0"/>
          <w:i/>
          <w:strike w:val="0"/>
          <w:noProof w:val="0"/>
          <w:color w:val="000000"/>
          <w:position w:val="0"/>
          <w:sz w:val="24"/>
          <w:u w:val="none"/>
          <w:vertAlign w:val="baseline"/>
        </w:rPr>
        <w:t xml:space="preserve">Ng Chong Seng v Technip Geoproduction (M) Sdn Bhd &amp; Anor  </w:t>
      </w:r>
      <w:r>
        <w:rPr>
          <w:rFonts w:ascii="arial" w:eastAsia="arial" w:hAnsi="arial" w:cs="arial"/>
          <w:b w:val="0"/>
          <w:i w:val="0"/>
          <w:strike w:val="0"/>
          <w:noProof w:val="0"/>
          <w:color w:val="000000"/>
          <w:position w:val="0"/>
          <w:sz w:val="24"/>
          <w:u w:val="none"/>
          <w:vertAlign w:val="baseline"/>
        </w:rPr>
        <w:t>[2021] 1 MLJ 447</w:t>
      </w:r>
      <w:r>
        <w:rPr>
          <w:rFonts w:ascii="arial" w:eastAsia="arial" w:hAnsi="arial" w:cs="arial"/>
          <w:b/>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These are two very distinct cases and decisions, one where the Code is binding and another where the Code is not binding. The latest case states that it is binding and this Court is bound by the precedent set. This would mean that the Code is binding, by extension on all the parties in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[54]</w:t>
      </w:r>
      <w:r>
        <w:rPr>
          <w:rFonts w:ascii="arial" w:eastAsia="arial" w:hAnsi="arial" w:cs="arial"/>
          <w:b w:val="0"/>
          <w:i w:val="0"/>
          <w:strike w:val="0"/>
          <w:noProof w:val="0"/>
          <w:color w:val="000000"/>
          <w:position w:val="0"/>
          <w:sz w:val="24"/>
          <w:u w:val="none"/>
          <w:vertAlign w:val="baseline"/>
        </w:rPr>
        <w:t xml:space="preserve">  The Court is not convinced that the parties have sufficiently submitted on the issue of fulfilling the Code. The Company, through their first witness had in </w:t>
      </w:r>
      <w:r>
        <w:rPr>
          <w:rFonts w:ascii="arial" w:eastAsia="arial" w:hAnsi="arial" w:cs="arial"/>
          <w:b w:val="0"/>
          <w:i/>
          <w:strike w:val="0"/>
          <w:noProof w:val="0"/>
          <w:color w:val="000000"/>
          <w:position w:val="0"/>
          <w:sz w:val="24"/>
          <w:u w:val="none"/>
          <w:vertAlign w:val="baseline"/>
        </w:rPr>
        <w:t>COWS-1A</w:t>
      </w:r>
      <w:r>
        <w:rPr>
          <w:rFonts w:ascii="arial" w:eastAsia="arial" w:hAnsi="arial" w:cs="arial"/>
          <w:b w:val="0"/>
          <w:i w:val="0"/>
          <w:strike w:val="0"/>
          <w:noProof w:val="0"/>
          <w:color w:val="000000"/>
          <w:position w:val="0"/>
          <w:sz w:val="24"/>
          <w:u w:val="none"/>
          <w:vertAlign w:val="baseline"/>
        </w:rPr>
        <w:t xml:space="preserve"> and </w:t>
      </w:r>
      <w:r>
        <w:rPr>
          <w:rFonts w:ascii="arial" w:eastAsia="arial" w:hAnsi="arial" w:cs="arial"/>
          <w:b w:val="0"/>
          <w:i/>
          <w:strike w:val="0"/>
          <w:noProof w:val="0"/>
          <w:color w:val="000000"/>
          <w:position w:val="0"/>
          <w:sz w:val="24"/>
          <w:u w:val="none"/>
          <w:vertAlign w:val="baseline"/>
        </w:rPr>
        <w:t>COWS-1B</w:t>
      </w:r>
      <w:r>
        <w:rPr>
          <w:rFonts w:ascii="arial" w:eastAsia="arial" w:hAnsi="arial" w:cs="arial"/>
          <w:b w:val="0"/>
          <w:i w:val="0"/>
          <w:strike w:val="0"/>
          <w:noProof w:val="0"/>
          <w:color w:val="000000"/>
          <w:position w:val="0"/>
          <w:sz w:val="24"/>
          <w:u w:val="none"/>
          <w:vertAlign w:val="baseline"/>
        </w:rPr>
        <w:t xml:space="preserve"> made a list of the actions taken by the group of companies had taken to try and maintain its solvency. On the other hand, the Claimants representative had raised that the Company did not completely fulfil all the requirements of the Code, especially with regards to the following areas:</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Limitation on recruitment;</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Restriction of overtime work;</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Restriction of work on weekly day of rest;</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reduction in number of shifts or days worked a week;</w:t>
      </w:r>
    </w:p>
    <w:p>
      <w:pPr>
        <w:keepNext w:val="0"/>
        <w:numPr>
          <w:numId w:val="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reduction in the number of hours worked; and</w:t>
      </w:r>
    </w:p>
    <w:p>
      <w:pPr>
        <w:keepNext w:val="0"/>
        <w:numPr>
          <w:numId w:val="4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re-training and and/or transfer to the other department/work.</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[55]</w:t>
      </w:r>
      <w:r>
        <w:rPr>
          <w:rFonts w:ascii="arial" w:eastAsia="arial" w:hAnsi="arial" w:cs="arial"/>
          <w:b w:val="0"/>
          <w:i w:val="0"/>
          <w:strike w:val="0"/>
          <w:noProof w:val="0"/>
          <w:color w:val="000000"/>
          <w:position w:val="0"/>
          <w:sz w:val="24"/>
          <w:u w:val="none"/>
          <w:vertAlign w:val="baseline"/>
        </w:rPr>
        <w:t>  The areas mentioned above by the Claimants representative are similarly not supported by any evidence other than the assertions of the Claimants themselves. The company’s witnesses were questioned on some of the issues especially on item (i) and the second limb of item (vi), which the Court believes were answered reasonably. As for items (ii) to (v) of the Code the Court feels that given the financial situation the Company was in reasonably fulfilled by the Company. The only exception is the second limb of item (vi), where the Company’s reply was weak to say the least. The group had transferred the Claimants to the Company, the group and the Company could have tried to look for suitable work at a different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[56]</w:t>
      </w:r>
      <w:r>
        <w:rPr>
          <w:rFonts w:ascii="arial" w:eastAsia="arial" w:hAnsi="arial" w:cs="arial"/>
          <w:b w:val="0"/>
          <w:i w:val="0"/>
          <w:strike w:val="0"/>
          <w:noProof w:val="0"/>
          <w:color w:val="000000"/>
          <w:position w:val="0"/>
          <w:sz w:val="24"/>
          <w:u w:val="none"/>
          <w:vertAlign w:val="baseline"/>
        </w:rPr>
        <w:t>  The Court believes that the Company had a duty to try to look for an alternative employment within the group before the termination of employment. The evidence of both the Company’s witnesses, where both had said that there was no suitable employment in other companies within the group being insufficient.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[57]</w:t>
      </w:r>
      <w:r>
        <w:rPr>
          <w:rFonts w:ascii="arial" w:eastAsia="arial" w:hAnsi="arial" w:cs="arial"/>
          <w:b w:val="0"/>
          <w:i w:val="0"/>
          <w:strike w:val="0"/>
          <w:noProof w:val="0"/>
          <w:color w:val="000000"/>
          <w:position w:val="0"/>
          <w:sz w:val="24"/>
          <w:u w:val="none"/>
          <w:vertAlign w:val="baseline"/>
        </w:rPr>
        <w:t>  Nonetheless, the order for the appointment of the Judicial Manager has lapsed and the Company is still in operation. This would mean that the restructuring and reorganisation had succeeded in saving the Company. The Company, now could have taken steps now to reappoint the Claimants if the Company was sincere that the restructuring and reorganisation was done purely for the survival of the Company.</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Conclusion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[58]</w:t>
      </w:r>
      <w:r>
        <w:rPr>
          <w:rFonts w:ascii="arial" w:eastAsia="arial" w:hAnsi="arial" w:cs="arial"/>
          <w:b w:val="0"/>
          <w:i w:val="0"/>
          <w:strike w:val="0"/>
          <w:noProof w:val="0"/>
          <w:color w:val="000000"/>
          <w:position w:val="0"/>
          <w:sz w:val="24"/>
          <w:u w:val="none"/>
          <w:vertAlign w:val="baseline"/>
        </w:rPr>
        <w:t>  Based on all the above, the Court is of the view that the Claimants long service ought to count for something. Despite the fact that the Company had no other alternative but to conduct a restructuring and reorganisation to save the Company. However, this does not absolve the fact that the Company has obligations to perform before conducting the exercise. These obligations, confirmed by the cases mentioned above, with the objective to soften the blow on the employees and the part of the Government’s actions to ensure that there is no abuse of the process.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[59]</w:t>
      </w:r>
      <w:r>
        <w:rPr>
          <w:rFonts w:ascii="arial" w:eastAsia="arial" w:hAnsi="arial" w:cs="arial"/>
          <w:b w:val="0"/>
          <w:i w:val="0"/>
          <w:strike w:val="0"/>
          <w:noProof w:val="0"/>
          <w:color w:val="000000"/>
          <w:position w:val="0"/>
          <w:sz w:val="24"/>
          <w:u w:val="none"/>
          <w:vertAlign w:val="baseline"/>
        </w:rPr>
        <w:t xml:space="preserve">  Therefore, based on all the factors above, based on the principles in subsection 30(5),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namely equity, good conscience and substantial merits of the case without regard to technicalities and legal form and all the evidence adduced in this Court, this Court finds that the Claimants were dismissed without just cause and excuse because despite the Company proving that the restructuring and reorganisation was necessary but the Company has failed to prove that the Claimants were accommodated the safeguards under the Code and LIFO.</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Remedy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[60]</w:t>
      </w:r>
      <w:r>
        <w:rPr>
          <w:rFonts w:ascii="arial" w:eastAsia="arial" w:hAnsi="arial" w:cs="arial"/>
          <w:b w:val="0"/>
          <w:i w:val="0"/>
          <w:strike w:val="0"/>
          <w:noProof w:val="0"/>
          <w:color w:val="000000"/>
          <w:position w:val="0"/>
          <w:sz w:val="24"/>
          <w:u w:val="none"/>
          <w:vertAlign w:val="baseline"/>
        </w:rPr>
        <w:t>  Since it has been determined above that the Claimants were retrenched without just cause and now the Court will ascertain the Award the Claimants should be given. The Court took into consideration all the factors mentioned earlier above.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[61]</w:t>
      </w:r>
      <w:r>
        <w:rPr>
          <w:rFonts w:ascii="arial" w:eastAsia="arial" w:hAnsi="arial" w:cs="arial"/>
          <w:b w:val="0"/>
          <w:i w:val="0"/>
          <w:strike w:val="0"/>
          <w:noProof w:val="0"/>
          <w:color w:val="000000"/>
          <w:position w:val="0"/>
          <w:sz w:val="24"/>
          <w:u w:val="none"/>
          <w:vertAlign w:val="baseline"/>
        </w:rPr>
        <w:t xml:space="preserve">  The Court believes that despite the Claimants are entitled to some remedy, however, it has always been the Court’s position all awards must fulfil subsection 30(4)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which states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“(4) In making its award in respect of a trade dispute, the Court shall have regard to the public interest, financial implications and the effect of the award on the economy of the country, and on the industry concerned, and also to the probable effect in related or similar industries.”</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[62]</w:t>
      </w:r>
      <w:r>
        <w:rPr>
          <w:rFonts w:ascii="arial" w:eastAsia="arial" w:hAnsi="arial" w:cs="arial"/>
          <w:b w:val="0"/>
          <w:i w:val="0"/>
          <w:strike w:val="0"/>
          <w:noProof w:val="0"/>
          <w:color w:val="000000"/>
          <w:position w:val="0"/>
          <w:sz w:val="24"/>
          <w:u w:val="none"/>
          <w:vertAlign w:val="baseline"/>
        </w:rPr>
        <w:t>  The Court has to weigh the above especially when trying to balance the rights of both the Company and the Claimants. Although the general rule is that the Claimants would be entitled for backwages and reinstatement. However, in this case, both these remedies may not be suitable because the Company’s position may not have changed simply because the Company has not reinstated them earlier. Therefore, the Court believes that reinstatement is not applicable in this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[63]</w:t>
      </w:r>
      <w:r>
        <w:rPr>
          <w:rFonts w:ascii="arial" w:eastAsia="arial" w:hAnsi="arial" w:cs="arial"/>
          <w:b w:val="0"/>
          <w:i w:val="0"/>
          <w:strike w:val="0"/>
          <w:noProof w:val="0"/>
          <w:color w:val="000000"/>
          <w:position w:val="0"/>
          <w:sz w:val="24"/>
          <w:u w:val="none"/>
          <w:vertAlign w:val="baseline"/>
        </w:rPr>
        <w:t>  Whereas, on the issue of backwages, the Court believes the only relevant remedy is that provided under subregulations 3(1) and 6(1) of Employment (Termination and Lay-Off Benefits) Regulations 1980 (PU (A) 278/80). These are benefits that ought to be given for any employee that has been terminated. The amount based on the provided formula takes into consideration the years of service and practicable for this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[64]</w:t>
      </w:r>
      <w:r>
        <w:rPr>
          <w:rFonts w:ascii="arial" w:eastAsia="arial" w:hAnsi="arial" w:cs="arial"/>
          <w:b w:val="0"/>
          <w:i w:val="0"/>
          <w:strike w:val="0"/>
          <w:noProof w:val="0"/>
          <w:color w:val="000000"/>
          <w:position w:val="0"/>
          <w:sz w:val="24"/>
          <w:u w:val="none"/>
          <w:vertAlign w:val="baseline"/>
        </w:rPr>
        <w:t xml:space="preserve">  This Court refers to the Court of Appeal case of </w:t>
      </w:r>
      <w:r>
        <w:rPr>
          <w:rFonts w:ascii="arial" w:eastAsia="arial" w:hAnsi="arial" w:cs="arial"/>
          <w:b w:val="0"/>
          <w:i/>
          <w:strike w:val="0"/>
          <w:noProof w:val="0"/>
          <w:color w:val="000000"/>
          <w:position w:val="0"/>
          <w:sz w:val="24"/>
          <w:u w:val="none"/>
          <w:vertAlign w:val="baseline"/>
        </w:rPr>
        <w:t xml:space="preserve">Equant Integration Services Sdn Bhd (In Liquidation) v. Wong Wai Hung  </w:t>
      </w:r>
      <w:r>
        <w:rPr>
          <w:rFonts w:ascii="arial" w:eastAsia="arial" w:hAnsi="arial" w:cs="arial"/>
          <w:b w:val="0"/>
          <w:i w:val="0"/>
          <w:strike w:val="0"/>
          <w:noProof w:val="0"/>
          <w:color w:val="000000"/>
          <w:position w:val="0"/>
          <w:sz w:val="24"/>
          <w:u w:val="none"/>
          <w:vertAlign w:val="baseline"/>
        </w:rPr>
        <w:t>[2012] 1 LNS 1296 as justification which has stated as follows: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“[19]</w:t>
      </w:r>
      <w:r>
        <w:rPr>
          <w:rFonts w:ascii="arial" w:eastAsia="arial" w:hAnsi="arial" w:cs="arial"/>
          <w:b w:val="0"/>
          <w:i w:val="0"/>
          <w:strike w:val="0"/>
          <w:noProof w:val="0"/>
          <w:color w:val="000000"/>
          <w:position w:val="0"/>
          <w:sz w:val="18"/>
          <w:u w:val="none"/>
          <w:vertAlign w:val="baseline"/>
        </w:rPr>
        <w:t xml:space="preserve"> We say so because a compensation of back wages is based on the underlying principle envisaged under the </w:t>
      </w:r>
      <w:r>
        <w:rPr>
          <w:rFonts w:ascii="arial" w:eastAsia="arial" w:hAnsi="arial" w:cs="arial"/>
          <w:b w:val="0"/>
          <w:i w:val="0"/>
          <w:strike w:val="0"/>
          <w:noProof w:val="0"/>
          <w:color w:val="000000"/>
          <w:position w:val="0"/>
          <w:sz w:val="18"/>
          <w:u w:val="single"/>
          <w:vertAlign w:val="baseline"/>
        </w:rPr>
        <w:t>Employment (Termination and LayOffs Benefits) Regulations 1980,</w:t>
      </w:r>
      <w:r>
        <w:rPr>
          <w:rFonts w:ascii="arial" w:eastAsia="arial" w:hAnsi="arial" w:cs="arial"/>
          <w:b w:val="0"/>
          <w:i w:val="0"/>
          <w:strike w:val="0"/>
          <w:noProof w:val="0"/>
          <w:color w:val="000000"/>
          <w:position w:val="0"/>
          <w:sz w:val="18"/>
          <w:u w:val="none"/>
          <w:vertAlign w:val="baseline"/>
        </w:rPr>
        <w:t xml:space="preserve"> made under the </w:t>
      </w:r>
      <w:r>
        <w:rPr>
          <w:rFonts w:ascii="arial" w:eastAsia="arial" w:hAnsi="arial" w:cs="arial"/>
          <w:b w:val="0"/>
          <w:i w:val="0"/>
          <w:strike w:val="0"/>
          <w:noProof w:val="0"/>
          <w:color w:val="000000"/>
          <w:position w:val="0"/>
          <w:sz w:val="18"/>
          <w:u w:val="single"/>
          <w:vertAlign w:val="baseline"/>
        </w:rPr>
        <w:t xml:space="preserve">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single"/>
          <w:vertAlign w:val="baseline"/>
        </w:rPr>
        <w:t xml:space="preserve"> 1955.</w:t>
      </w:r>
      <w:r>
        <w:rPr>
          <w:rFonts w:ascii="arial" w:eastAsia="arial" w:hAnsi="arial" w:cs="arial"/>
          <w:b w:val="0"/>
          <w:i w:val="0"/>
          <w:strike w:val="0"/>
          <w:noProof w:val="0"/>
          <w:color w:val="000000"/>
          <w:position w:val="0"/>
          <w:sz w:val="18"/>
          <w:u w:val="none"/>
          <w:vertAlign w:val="baseline"/>
        </w:rPr>
        <w:t xml:space="preserve"> The </w:t>
      </w:r>
      <w:r>
        <w:rPr>
          <w:rFonts w:ascii="arial" w:eastAsia="arial" w:hAnsi="arial" w:cs="arial"/>
          <w:b w:val="0"/>
          <w:i w:val="0"/>
          <w:strike w:val="0"/>
          <w:noProof w:val="0"/>
          <w:color w:val="000000"/>
          <w:position w:val="0"/>
          <w:sz w:val="18"/>
          <w:u w:val="single"/>
          <w:vertAlign w:val="baseline"/>
        </w:rPr>
        <w:t xml:space="preserve">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single"/>
          <w:vertAlign w:val="baseline"/>
        </w:rPr>
        <w:t xml:space="preserve"> 1955</w:t>
      </w:r>
      <w:r>
        <w:rPr>
          <w:rFonts w:ascii="arial" w:eastAsia="arial" w:hAnsi="arial" w:cs="arial"/>
          <w:b w:val="0"/>
          <w:i w:val="0"/>
          <w:strike w:val="0"/>
          <w:noProof w:val="0"/>
          <w:color w:val="000000"/>
          <w:position w:val="0"/>
          <w:sz w:val="18"/>
          <w:u w:val="none"/>
          <w:vertAlign w:val="baseline"/>
        </w:rPr>
        <w:t xml:space="preserve"> is not applicable to the respondent, he not being an employee with less than RM2,000 salary per month. Even under the Regulations, a person employed more than one year would be entitled to ten days wages for one year of service. For others, it would depend on his contract of employment or in a case of unionised employee the term of their respective collective agreements. A standard industry labour practice is to compensate the retrenched employee with a salary of one month to one year of service. The compensation granted in this case far exceeded any of these.”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[65]</w:t>
      </w:r>
      <w:r>
        <w:rPr>
          <w:rFonts w:ascii="arial" w:eastAsia="arial" w:hAnsi="arial" w:cs="arial"/>
          <w:b w:val="0"/>
          <w:i w:val="0"/>
          <w:strike w:val="0"/>
          <w:noProof w:val="0"/>
          <w:color w:val="000000"/>
          <w:position w:val="0"/>
          <w:sz w:val="24"/>
          <w:u w:val="none"/>
          <w:vertAlign w:val="baseline"/>
        </w:rPr>
        <w:t xml:space="preserve">  Based on the Court of Appeal case above, it is quite clear that the Employment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1955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265] is applicable in the Industrial Court but not applicable for this case because the Claimant has crossed the threshold set by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265. Nonetheless, the Court would still use the amount stated in subregulations 6(1) under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265. Besides that, the Court has also factored in the pay the Claimants received before their reduction of salary.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[66]</w:t>
      </w:r>
      <w:r>
        <w:rPr>
          <w:rFonts w:ascii="arial" w:eastAsia="arial" w:hAnsi="arial" w:cs="arial"/>
          <w:b w:val="0"/>
          <w:i w:val="0"/>
          <w:strike w:val="0"/>
          <w:noProof w:val="0"/>
          <w:color w:val="000000"/>
          <w:position w:val="0"/>
          <w:sz w:val="24"/>
          <w:u w:val="none"/>
          <w:vertAlign w:val="baseline"/>
        </w:rPr>
        <w:t>  The Claimants Award is as follows: First</w:t>
      </w:r>
    </w:p>
    <w:p/>
    <w:tbl>
      <w:tblPr>
        <w:tblW w:w="5000" w:type="pct"/>
        <w:jc w:val="center"/>
        <w:tblBorders>
          <w:top w:val="nil"/>
          <w:left w:val="nil"/>
          <w:bottom w:val="nil"/>
          <w:right w:val="nil"/>
          <w:insideH w:val="nil"/>
          <w:insideV w:val="nil"/>
        </w:tblBorders>
        <w:tblLayout w:type="fixed"/>
        <w:tblCellMar>
          <w:left w:w="108" w:type="dxa"/>
          <w:right w:w="108" w:type="dxa"/>
        </w:tblCellMar>
      </w:tblPr>
      <w:tblGrid>
        <w:gridCol w:w="3486"/>
        <w:gridCol w:w="3485"/>
        <w:gridCol w:w="3485"/>
      </w:tblGrid>
      <w:tr>
        <w:tblPrEx>
          <w:tblW w:w="5000" w:type="pct"/>
          <w:tblLayout w:type="fixed"/>
        </w:tblPrEx>
        <w:tc>
          <w:tcPr>
            <w:tcW w:w="3413" w:type="dxa"/>
            <w:tcBorders>
              <w:bottom w:val="nil"/>
              <w:right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First Claimant</w:t>
            </w:r>
          </w:p>
        </w:tc>
        <w:tc>
          <w:tcPr>
            <w:tcW w:w="3413" w:type="dxa"/>
            <w:tcBorders>
              <w:bottom w:val="nil"/>
              <w:right w:val="nil"/>
            </w:tcBorders>
          </w:tcPr>
          <w:p/>
        </w:tc>
        <w:tc>
          <w:tcPr>
            <w:tcW w:w="3413" w:type="dxa"/>
            <w:tcBorders>
              <w:bottom w:val="nil"/>
            </w:tcBorders>
          </w:tcPr>
          <w:p/>
        </w:tc>
      </w:tr>
      <w:tr>
        <w:tblPrEx>
          <w:tblW w:w="5000" w:type="pct"/>
          <w:tblLayout w:type="fixed"/>
        </w:tblPrEx>
        <w:tc>
          <w:tcPr>
            <w:tcW w:w="3413" w:type="dxa"/>
            <w:tcBorders>
              <w:bottom w:val="nil"/>
              <w:right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RM4,370.00 x 20/30 days x 28 years</w:t>
            </w:r>
          </w:p>
        </w:tc>
        <w:tc>
          <w:tcPr>
            <w:tcW w:w="3413" w:type="dxa"/>
            <w:tcBorders>
              <w:bottom w:val="nil"/>
              <w:right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3413" w:type="dxa"/>
            <w:tcBorders>
              <w:bottom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RM81,573.33</w:t>
            </w:r>
          </w:p>
        </w:tc>
      </w:tr>
      <w:tr>
        <w:tblPrEx>
          <w:tblW w:w="5000" w:type="pct"/>
          <w:tblLayout w:type="fixed"/>
        </w:tblPrEx>
        <w:tc>
          <w:tcPr>
            <w:tcW w:w="3413" w:type="dxa"/>
            <w:tcBorders>
              <w:bottom w:val="nil"/>
              <w:right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3413" w:type="dxa"/>
            <w:tcBorders>
              <w:bottom w:val="nil"/>
              <w:right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3413" w:type="dxa"/>
            <w:tcBorders>
              <w:bottom w:val="nil"/>
            </w:tcBorders>
            <w:tcMar>
              <w:top w:w="100" w:type="dxa"/>
              <w:bottom w:w="10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RM81,573.33</w:t>
            </w:r>
          </w:p>
        </w:tc>
      </w:tr>
      <w:tr>
        <w:tblPrEx>
          <w:tblW w:w="5000" w:type="pct"/>
          <w:tblLayout w:type="fixed"/>
        </w:tblPrEx>
        <w:tc>
          <w:tcPr>
            <w:tcW w:w="3413" w:type="dxa"/>
            <w:tcBorders>
              <w:bottom w:val="nil"/>
              <w:right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Second Claimant</w:t>
            </w:r>
          </w:p>
        </w:tc>
        <w:tc>
          <w:tcPr>
            <w:tcW w:w="3413" w:type="dxa"/>
            <w:tcBorders>
              <w:bottom w:val="nil"/>
              <w:right w:val="nil"/>
            </w:tcBorders>
          </w:tcPr>
          <w:p/>
        </w:tc>
        <w:tc>
          <w:tcPr>
            <w:tcW w:w="3413" w:type="dxa"/>
            <w:tcBorders>
              <w:bottom w:val="nil"/>
            </w:tcBorders>
          </w:tcPr>
          <w:p/>
        </w:tc>
      </w:tr>
      <w:tr>
        <w:tblPrEx>
          <w:tblW w:w="5000" w:type="pct"/>
          <w:tblLayout w:type="fixed"/>
        </w:tblPrEx>
        <w:tc>
          <w:tcPr>
            <w:tcW w:w="3413" w:type="dxa"/>
            <w:tcBorders>
              <w:bottom w:val="nil"/>
              <w:right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RM3,975.00 x 20/30 days x 17 years</w:t>
            </w:r>
          </w:p>
        </w:tc>
        <w:tc>
          <w:tcPr>
            <w:tcW w:w="3413" w:type="dxa"/>
            <w:tcBorders>
              <w:bottom w:val="nil"/>
              <w:right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3413" w:type="dxa"/>
            <w:tcBorders>
              <w:bottom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RM45,050.00</w:t>
            </w:r>
          </w:p>
        </w:tc>
      </w:tr>
      <w:tr>
        <w:tblPrEx>
          <w:tblW w:w="5000" w:type="pct"/>
          <w:tblLayout w:type="fixed"/>
        </w:tblPrEx>
        <w:tc>
          <w:tcPr>
            <w:tcW w:w="3413" w:type="dxa"/>
            <w:tcBorders>
              <w:right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3413" w:type="dxa"/>
            <w:tcBorders>
              <w:right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3413" w:type="dxa"/>
            <w:tcMar>
              <w:top w:w="100" w:type="dxa"/>
              <w:bottom w:w="10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RM45,050.00</w:t>
            </w:r>
          </w:p>
        </w:tc>
      </w:tr>
    </w:tbl>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[67]</w:t>
      </w:r>
      <w:r>
        <w:rPr>
          <w:rFonts w:ascii="arial" w:eastAsia="arial" w:hAnsi="arial" w:cs="arial"/>
          <w:b w:val="0"/>
          <w:i w:val="0"/>
          <w:strike w:val="0"/>
          <w:noProof w:val="0"/>
          <w:color w:val="000000"/>
          <w:position w:val="0"/>
          <w:sz w:val="24"/>
          <w:u w:val="none"/>
          <w:vertAlign w:val="baseline"/>
        </w:rPr>
        <w:t>  The Court hereby orders that the Company pay the First Claimant the total sum of Ringgit Malaysia Eighty one thousand five hundred seventy three and thirty three cents (RM81,573.33) only within 30 days from the date of this Award and 8% per annum after thirty one days from the date of this Award if the amount has not been settled.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[68]</w:t>
      </w:r>
      <w:r>
        <w:rPr>
          <w:rFonts w:ascii="arial" w:eastAsia="arial" w:hAnsi="arial" w:cs="arial"/>
          <w:b w:val="0"/>
          <w:i w:val="0"/>
          <w:strike w:val="0"/>
          <w:noProof w:val="0"/>
          <w:color w:val="000000"/>
          <w:position w:val="0"/>
          <w:sz w:val="24"/>
          <w:u w:val="none"/>
          <w:vertAlign w:val="baseline"/>
        </w:rPr>
        <w:t>  The Court hereby orders that the Company pay the Second Claimant the total sum of Ringgit Malaysia Forty five thousand and fifty (RM45,050.00) only within 30 days from the date of this Award and 8% per annum after thirty one days from the date of this Award if the amount has not been settled.</w:t>
      </w:r>
      <w:r>
        <w:t>
</w:t>
      </w:r>
    </w:p>
    <w:p/>
    <w:p>
      <w:pPr>
        <w:ind w:left="200"/>
      </w:pPr>
      <w:r>
        <w:br/>
      </w:r>
      <w:r>
        <w:pict>
          <v:line id="_x0000_s102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Nor Asiah bt Mohd Noor v Scomi KMC Sdn Bhd  [2024] ILJU 128</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x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x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x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x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x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x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x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x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x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x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xx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xx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xx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xx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lowerRoman"/>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ii)"/>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iii)"/>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iv)"/>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v)"/>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 Asiah bt Mohd Noor v Scomi KMC Sdn Bhd  [2024] ILJU 128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V2-CJR3-MC9N-D18T-00000-00">
    <vt:lpwstr>Doc::/shared/document|contextualFeaturePermID::1522468</vt:lpwstr>
  </property>
  <property fmtid="{D5CDD505-2E9C-101B-9397-08002B2CF9AE}" pid="4" name="LNDeliveryID">
    <vt:lpwstr>283274885</vt:lpwstr>
  </property>
  <property fmtid="{D5CDD505-2E9C-101B-9397-08002B2CF9AE}" pid="5" name="UserPermID">
    <vt:lpwstr>urn:user:PA196491919</vt:lpwstr>
  </property>
</Properties>
</file>