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sectPr>
      </w:pPr>
    </w:p>
    <w:p>
      <w:pPr>
        <w:pStyle w:val="Heading1"/>
        <w:keepNext w:val="0"/>
        <w:spacing w:before="0" w:after="60" w:line="340" w:lineRule="atLeast"/>
        <w:ind w:left="120" w:right="0" w:firstLine="0"/>
        <w:jc w:val="center"/>
      </w:pPr>
      <w:r>
        <w:rPr>
          <w:rFonts w:ascii="arial" w:eastAsia="arial" w:hAnsi="arial" w:cs="arial"/>
          <w:b/>
          <w:i w:val="0"/>
          <w:strike w:val="0"/>
          <w:noProof w:val="0"/>
          <w:color w:val="0077CC"/>
          <w:position w:val="0"/>
          <w:sz w:val="28"/>
          <w:u w:val="none"/>
          <w:vertAlign w:val="baseline"/>
        </w:rPr>
        <w:t>Nor Hafizza binti Abdul Manan lwn Yayasan Pembangunan Ekonomi Islam Malaysia (Yapeim) [2024] 3 ILJ 216</w:t>
      </w:r>
    </w:p>
    <w:p>
      <w:pPr>
        <w:keepNext w:val="0"/>
        <w:spacing w:before="120" w:after="0" w:line="260" w:lineRule="atLeast"/>
        <w:ind w:left="0" w:right="0" w:firstLine="0"/>
        <w:jc w:val="center"/>
      </w:pPr>
      <w:r>
        <w:rPr>
          <w:rFonts w:ascii="arial" w:eastAsia="arial" w:hAnsi="arial" w:cs="arial"/>
          <w:b w:val="0"/>
          <w:i w:val="0"/>
          <w:strike w:val="0"/>
          <w:noProof w:val="0"/>
          <w:color w:val="6D6E71"/>
          <w:position w:val="0"/>
          <w:sz w:val="20"/>
          <w:u w:val="none"/>
          <w:vertAlign w:val="baseline"/>
        </w:rPr>
        <w:t>Industrial Law Journal (ILJ)</w:t>
      </w:r>
    </w:p>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MAHKAMAH PERUSAHAAN (KUALA LUMPUR)</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SALAHUDIN BIN DATO’ HIDAYAT SHARIFF, P</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AWARD NO: 163 TAHUN 2024</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23 January 2024</w:t>
      </w:r>
    </w:p>
    <w:p>
      <w:pPr>
        <w:keepNext/>
        <w:spacing w:before="120" w:after="0" w:line="340" w:lineRule="atLeast"/>
        <w:ind w:left="0" w:right="0" w:firstLine="0"/>
        <w:jc w:val="left"/>
      </w:pPr>
      <w:bookmarkStart w:id="0" w:name="Case Summary"/>
      <w:bookmarkEnd w:id="0"/>
      <w:r>
        <w:rPr>
          <w:rFonts w:ascii="arial" w:eastAsia="arial" w:hAnsi="arial" w:cs="arial"/>
          <w:b/>
          <w:i w:val="0"/>
          <w:strike w:val="0"/>
          <w:noProof w:val="0"/>
          <w:color w:val="000000"/>
          <w:position w:val="0"/>
          <w:sz w:val="28"/>
          <w:u w:val="none"/>
          <w:vertAlign w:val="baseline"/>
        </w:rPr>
        <w:t>Case Summary</w:t>
      </w:r>
    </w:p>
    <w:p>
      <w:pPr>
        <w:spacing w:line="60" w:lineRule="exact"/>
      </w:pPr>
      <w:r>
        <w:pict>
          <v:line id="_x0000_s1025" style="position:absolute;z-index:251658240" from="0,2pt" to="512pt,2pt" strokecolor="#009ddb" strokeweight="2pt">
            <v:stroke linestyle="single"/>
          </v:line>
        </w:pict>
      </w:r>
    </w:p>
    <w:p>
      <w:pPr>
        <w:spacing w:line="240" w:lineRule="exact"/>
      </w:pPr>
    </w:p>
    <w:p>
      <w:pPr>
        <w:keepNext w:val="0"/>
        <w:spacing w:after="0" w:line="300" w:lineRule="atLeast"/>
        <w:ind w:left="0" w:right="0" w:firstLine="0"/>
        <w:jc w:val="left"/>
      </w:pPr>
      <w:bookmarkStart w:id="1" w:name="Catchwords"/>
      <w:bookmarkEnd w:id="1"/>
      <w:r>
        <w:rPr>
          <w:rFonts w:ascii="arial" w:eastAsia="arial" w:hAnsi="arial" w:cs="arial"/>
          <w:b/>
          <w:i w:val="0"/>
          <w:strike w:val="0"/>
          <w:noProof w:val="0"/>
          <w:color w:val="000000"/>
          <w:position w:val="0"/>
          <w:sz w:val="24"/>
          <w:u w:val="none"/>
          <w:vertAlign w:val="baseline"/>
        </w:rPr>
        <w:t>Undang-Undang Buruh — Pekerjaan — Pemberhentian kerja — Sama ada tuduhan salah laku pihak menuntut dibuktikan — Sama ada hukuman pemberhentian setimpal dengan salah laku pihak penuntut — Sama ada penamatan pihak menuntut dilaksanakan tanpa sebab atau alasan munasabah — Sama ada pemulihan semula ke jawatan asal wajar</w:t>
      </w:r>
    </w:p>
    <w:p>
      <w:pPr>
        <w:keepNext w:val="0"/>
        <w:spacing w:before="0" w:after="0" w:line="300" w:lineRule="atLeast"/>
        <w:ind w:left="0" w:right="0" w:firstLine="0"/>
        <w:jc w:val="both"/>
      </w:pPr>
      <w:bookmarkStart w:id="2" w:name="Case summary "/>
      <w:bookmarkEnd w:id="2"/>
      <w:r>
        <w:br/>
      </w:r>
      <w:r>
        <w:rPr>
          <w:rFonts w:ascii="arial" w:eastAsia="arial" w:hAnsi="arial" w:cs="arial"/>
          <w:b w:val="0"/>
          <w:i w:val="0"/>
          <w:strike w:val="0"/>
          <w:noProof w:val="0"/>
          <w:color w:val="000000"/>
          <w:position w:val="0"/>
          <w:sz w:val="24"/>
          <w:u w:val="none"/>
          <w:vertAlign w:val="baseline"/>
        </w:rPr>
        <w:t>Syarikat telah ditugaskan untuk menganjurkan program-program untuk membantu ekonomi orang Islam di Malaysia secara am. Oleh itu, syarikat telah bercadang untuk memasukki satu urus niaga dengan satu entiti lain untuk membeli satu rangkaian kedai runcit di Malaysia dan mencadangkan memasukki perjanjian untuk membeli saham-saham rangkaian kedai tersebut. Ketua Pengarah Syarikat (‘KP’) telah mengarahkan urusniaga yang dimaksudkan dilaksanakan oleh bahagian yang diketuai oleh pihak yang menuntut (‘PYM’). Walau bagaimanapun, terdapat beberapa perkara berbangkit yang menjadi penghalang untuk urusniaga ini sehingga syarikat telah kerugian sehingga RM1 juta. Selepas satu penyiasatan dalaman (‘DI’), tiga pegawai telah dipersalahkan, termasuk PYM, untuk beberapa kesalahan lain termasuk kerugian yang dinyatakan. PYM kemudiannya telah diberhentikan kerja. PYM telah mencabar kesahan DI tersebut dan menyatakan ia telah melanggar natural justice atau keadilan asasi/semulajadi.</w:t>
      </w:r>
      <w:r>
        <w:t>
</w:t>
      </w:r>
    </w:p>
    <w:p>
      <w:pPr>
        <w:keepNext w:val="0"/>
        <w:spacing w:after="0" w:line="300" w:lineRule="atLeast"/>
        <w:ind w:left="0" w:right="0" w:firstLine="0"/>
        <w:jc w:val="both"/>
      </w:pPr>
      <w:bookmarkStart w:id="3" w:name="Holdings of court"/>
      <w:bookmarkEnd w:id="3"/>
      <w:r>
        <w:rPr>
          <w:rFonts w:ascii="arial" w:eastAsia="arial" w:hAnsi="arial" w:cs="arial"/>
          <w:b/>
          <w:i w:val="0"/>
          <w:strike w:val="0"/>
          <w:noProof w:val="0"/>
          <w:color w:val="000000"/>
          <w:position w:val="0"/>
          <w:sz w:val="24"/>
          <w:u w:val="none"/>
          <w:vertAlign w:val="baseline"/>
        </w:rPr>
        <w:t>Diputuskan</w:t>
      </w:r>
      <w:r>
        <w:rPr>
          <w:rFonts w:ascii="arial" w:eastAsia="arial" w:hAnsi="arial" w:cs="arial"/>
          <w:b w:val="0"/>
          <w:i w:val="0"/>
          <w:strike w:val="0"/>
          <w:noProof w:val="0"/>
          <w:color w:val="000000"/>
          <w:position w:val="0"/>
          <w:sz w:val="24"/>
          <w:u w:val="none"/>
          <w:vertAlign w:val="baseline"/>
        </w:rPr>
        <w:t>, membenarkan tuntutan pihak menuntut:</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tab/>
      </w:r>
    </w:p>
    <w:p>
      <w:pPr>
        <w:spacing w:line="120" w:lineRule="exact"/>
      </w:pPr>
    </w:p>
    <w:p>
      <w:pPr>
        <w:keepNext w:val="0"/>
        <w:spacing w:before="200" w:after="0" w:line="300" w:lineRule="atLeast"/>
        <w:ind w:left="360" w:right="0" w:firstLine="0"/>
        <w:jc w:val="both"/>
      </w:pPr>
      <w:r>
        <w:rPr>
          <w:rFonts w:ascii="arial" w:eastAsia="arial" w:hAnsi="arial" w:cs="arial"/>
          <w:b w:val="0"/>
          <w:i w:val="0"/>
          <w:strike w:val="0"/>
          <w:noProof w:val="0"/>
          <w:color w:val="000000"/>
          <w:position w:val="0"/>
          <w:sz w:val="24"/>
          <w:u w:val="none"/>
          <w:vertAlign w:val="baseline"/>
        </w:rPr>
        <w:t xml:space="preserve"> </w:t>
        <w:tab/>
      </w:r>
    </w:p>
    <w:p>
      <w:pPr>
        <w:keepNext w:val="0"/>
        <w:numPr>
          <w:numId w:val="1"/>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Walaupun DI yang dilaksanakan tidak dijalankan dengan tatacara yang kemas, tidak semestinya kes syarikat gagal secara automatik. Adalah menjadi tanggungjawab mahkamah ini untuk menilai dan menimbang semula semua bukti yang dikemukakan untuk membuat keputusan tentang kesahan penamatan PYM (lihat perenggan 28–29). </w:t>
      </w:r>
      <w:r>
        <w:rPr>
          <w:rFonts w:ascii="arial" w:eastAsia="arial" w:hAnsi="arial" w:cs="arial"/>
          <w:b w:val="0"/>
          <w:i w:val="0"/>
          <w:strike w:val="0"/>
          <w:noProof w:val="0"/>
          <w:color w:val="000000"/>
          <w:position w:val="0"/>
          <w:sz w:val="24"/>
          <w:u w:val="none"/>
          <w:vertAlign w:val="baseline"/>
        </w:rPr>
        <w:t xml:space="preserve"> </w:t>
        <w:tab/>
      </w:r>
    </w:p>
    <w:p>
      <w:pPr>
        <w:keepNext w:val="0"/>
        <w:numPr>
          <w:numId w:val="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Berdasarkan pertuduhan pertama, kesalahan PYM adalah mengeluarkan memo, bukannya sama ada memo tersebut tidak tepat atau tidak benar. Setelah merujuk kepada alasan ahli panel dan kenyataan saksi syarikat, tiada bukti yang mengatakan bahawa tindakan PYM adalah satu kesalahan. Malah, saksi syarikat sendiri menyatakan bahawa pengeluaran memo bukanlah satu kesalahan. Oleh itu, syarikat telah gagal membuktikan wujudnya satu kesalahan di dalam pertuduhan pertama di mana sukar untuk dibuktikan bahawa PYM mengeluarkan memo dengan sengaja untuk mengingkari arahan Lembaga Pemegang Amanah (‘LPA’) mahupun melanggar arahan lisan KP (lihat perenggan 32–33 &amp; 40).</w:t>
      </w:r>
    </w:p>
    <w:p>
      <w:pPr>
        <w:keepNext w:val="0"/>
        <w:numPr>
          <w:numId w:val="3"/>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Pertuduhan kedua merupakan kesalahan yang berat sekiranya dapat dibuktikan. Walau bagaimanapun, syarikat tidak menyertakan emel yang dimaksudkan untuk mahkamah menimbangkan sama ada wujudnya satu kesalahan terhadap PYM. Rujukan kepada emel hanya wujud dalam bentuk notis tunjuk sebab dan jawapan kepada notis tunjuk sebab, tiada bukti lain langsung dikemukakan. Dalam keadaan ini, faedah keraguan atau benefit of the doubt diberikan kepada PYM. Justeru, syarikat gagal membuktikan pertuduhan kedua terhadap PYM kerana ketiadaan bukti untuk menyokong kes syarikat (lihat perenggan 41 &amp; 43–44).</w:t>
      </w:r>
      <w:r>
        <w:rPr>
          <w:rFonts w:ascii="arial" w:eastAsia="arial" w:hAnsi="arial" w:cs="arial"/>
          <w:b w:val="0"/>
          <w:i w:val="0"/>
          <w:strike w:val="0"/>
          <w:noProof w:val="0"/>
          <w:color w:val="000000"/>
          <w:position w:val="0"/>
          <w:sz w:val="24"/>
          <w:u w:val="none"/>
          <w:vertAlign w:val="baseline"/>
        </w:rPr>
        <w:t xml:space="preserve"> </w:t>
        <w:tab/>
      </w:r>
    </w:p>
    <w:p>
      <w:pPr>
        <w:keepNext w:val="0"/>
        <w:numPr>
          <w:numId w:val="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Pertuduhan ketiga dan keempat merupakan satu pertuduhan yang agak umum atau generic. Namun daripada semua pertuduhan yang lain, kedua-dua pertuduhan ini yang berkemungkinan boleh dikenakan terhadap PYM. Ini adalah kerana kedua-dua pertuduhan ini berkaitan dengan tanggungjawab seorang pekerja syarikat untuk memberi nasihat ataupun wujudnya satu andaian yang setiap pekerja bertanggungjawab untuk berbuat sedemikian serta tugas am pekerja terhadap syarikat. Akan tetapi, walaupun PYM bersalah untuk pertuduhan ketiga dan keempat tetapi hukuman yang dikenakan tidak setimpal dan keterlaluan berdasarkan doktrin keseimbangan atau doctrine of proportionality (lihat perenggan 45 &amp; 48).</w:t>
      </w:r>
    </w:p>
    <w:p>
      <w:pPr>
        <w:keepNext w:val="0"/>
        <w:numPr>
          <w:numId w:val="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Tindakan PYM yang melepaskan segala tanggungjawab kepada pihak perundangan bukanlah satu perkara yang boleh dicontohi. PYM merupakan seorang pegawai atau kakitangan kanan yang berpengalaman. PYM seharusnya lebih bertanggungjawab untuk memastikan terdapat usaha yang lebih untuk menunjukkan bahawa segala yang boleh dibuat telah dibuat. Walau bagaimanapun, syarikat telah gagal membuktikan bahawa PYM telah dipecat tanpa sebab atau alasan yang munasabah. Juga, PYM telah menyumbang kepada keadaan ini dan atas dasar doktrin keseimbangan, perlu menanggung sebahagian daripada kekhilafan ini (lihat perenggan 49–50 &amp; 52).</w:t>
      </w:r>
    </w:p>
    <w:p>
      <w:pPr>
        <w:keepNext w:val="0"/>
        <w:numPr>
          <w:numId w:val="6"/>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Kesalahan-kesalahan PYM tidak mewajarkan pemecatan beliau. Sepatutnya penurunan pangkat adalah memadai. Pemulihan semula ke jawatan asal agak sukar dilaksanakan memandangkan wujudnya satu situasi yang tidak harmoni antara PYM dan syarikat. Tambahan, PYM telah pun memperolehi pekerjaan yang lain. Lazimnya, mahkamah akan memberi pampasan sebagai ganti pemulihan semula jawatan.  (lihat perenggan 53–54 &amp; 56).</w:t>
      </w:r>
      <w:r>
        <w:rPr>
          <w:rFonts w:ascii="arial" w:eastAsia="arial" w:hAnsi="arial" w:cs="arial"/>
          <w:b w:val="0"/>
          <w:i w:val="0"/>
          <w:strike w:val="0"/>
          <w:noProof w:val="0"/>
          <w:color w:val="000000"/>
          <w:position w:val="0"/>
          <w:sz w:val="24"/>
          <w:u w:val="none"/>
          <w:vertAlign w:val="baseline"/>
        </w:rPr>
        <w:t xml:space="preserve"> </w:t>
        <w:tab/>
      </w:r>
    </w:p>
    <w:p>
      <w:pPr>
        <w:keepNext w:val="0"/>
        <w:numPr>
          <w:numId w:val="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Pada masa penamatan gaji keseluruhan PYM adalah RM12,584. Jumlah ini akan digunakan untuk pengiraan jumlah award. Memandangkan PYM dipecat tanpa sebab atau alasan munasabah, PYM sepatutnya layak menerima upah tangguhan. Walau bagaimanapun, PYM telah mengakui bahawa beliau mendapat pekerjaan sebulan selepas ditamatkan. Berikutan itu, mahkamah keberatan untuk memberi apa-apa award tambahan. Justeru, hanya pampasan mengganti pemulihan semula jawatan sahaja diberikan (lihat perenggan 55, 59 &amp; 61).</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tab/>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 xml:space="preserve">The company had been tasked with organizing programs to assist the economy of Muslims in Malaysia in general. Therefore, the company had proposed to enter into a transaction with another entity to purchase a chain of retail stores in Malaysia and proposed to enter into an agreement to purchase the shares of the chain of stores. The Director General of the company ('DGC') had instructed the intended transaction to be carried out by the department led by the claimant. However, there were several circumstances that accrued amounting to obstacles for the transaction to take place causing the company to face losses up to RM1m. After a domestic inquiry ('DI'), three officers were found guilty, including the claimant, for several other misconducts including causing the said losses. The claimant then terminated from employment. The claimant challenged the validity of the DI and stated that was conducted in violation of natural justice.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Held</w:t>
      </w:r>
      <w:r>
        <w:rPr>
          <w:rFonts w:ascii="arial" w:eastAsia="arial" w:hAnsi="arial" w:cs="arial"/>
          <w:b w:val="0"/>
          <w:i w:val="0"/>
          <w:strike w:val="0"/>
          <w:noProof w:val="0"/>
          <w:color w:val="000000"/>
          <w:position w:val="0"/>
          <w:sz w:val="24"/>
          <w:u w:val="none"/>
          <w:vertAlign w:val="baseline"/>
        </w:rPr>
        <w:t>, allowing the claimant’s claim:</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tab/>
      </w:r>
    </w:p>
    <w:p>
      <w:pPr>
        <w:spacing w:line="120" w:lineRule="exact"/>
      </w:pPr>
    </w:p>
    <w:p>
      <w:pPr>
        <w:keepNext w:val="0"/>
        <w:spacing w:before="200" w:after="0" w:line="300" w:lineRule="atLeast"/>
        <w:ind w:left="360" w:right="0" w:firstLine="0"/>
        <w:jc w:val="both"/>
      </w:pPr>
      <w:r>
        <w:rPr>
          <w:rFonts w:ascii="arial" w:eastAsia="arial" w:hAnsi="arial" w:cs="arial"/>
          <w:b w:val="0"/>
          <w:i w:val="0"/>
          <w:strike w:val="0"/>
          <w:noProof w:val="0"/>
          <w:color w:val="000000"/>
          <w:position w:val="0"/>
          <w:sz w:val="24"/>
          <w:u w:val="none"/>
          <w:vertAlign w:val="baseline"/>
        </w:rPr>
        <w:t xml:space="preserve"> </w:t>
        <w:tab/>
      </w:r>
    </w:p>
    <w:p>
      <w:pPr>
        <w:keepNext w:val="0"/>
        <w:numPr>
          <w:numId w:val="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Although the DI was not conducted according to the correct procedure, it did not mean that the company’s case would automatically fail. It was the responsibility of the court to evaluate and reconsider all the evidence presented to make a sound decision about the validity of the termination of the claimant (see paragraphs 28–29).</w:t>
      </w:r>
    </w:p>
    <w:p>
      <w:pPr>
        <w:keepNext w:val="0"/>
        <w:numPr>
          <w:numId w:val="9"/>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According to the first charge, the claimant's fault was issuing the memo, not whether the memo was inaccurate or untrue. After perusing the reasons of the panel members and the statements of the company's witnesses, there was no evidence to conclude that the claimant's actions were a mistake. In fact, the company's own witness stated that the issuance of the memo was not an offence. Therefore, the company had failed to prove the existence of an offense on the first charge as it was difficult to prove that the claimant had issued the memo intentionally to disobey the instructions of the Board of Trustees ('LPA') nor to violate the oral instructions of the DGC (see paragraphs 32–33 &amp; 40).</w:t>
      </w:r>
      <w:r>
        <w:rPr>
          <w:rFonts w:ascii="arial" w:eastAsia="arial" w:hAnsi="arial" w:cs="arial"/>
          <w:b w:val="0"/>
          <w:i w:val="0"/>
          <w:strike w:val="0"/>
          <w:noProof w:val="0"/>
          <w:color w:val="000000"/>
          <w:position w:val="0"/>
          <w:sz w:val="24"/>
          <w:u w:val="none"/>
          <w:vertAlign w:val="baseline"/>
        </w:rPr>
        <w:t xml:space="preserve"> </w:t>
        <w:tab/>
      </w:r>
    </w:p>
    <w:p>
      <w:pPr>
        <w:keepNext w:val="0"/>
        <w:numPr>
          <w:numId w:val="10"/>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The second charge was a serious offense if it could be proven. However, the company did not include the alleged email for the court to consider whether there was an offense against the claimant. References to emails only existed in the form of show cause notices and responses to the show cause notices, no other evidence was presented. In the circumstances, the benefit of the doubt was given to the claimant. Therefore, the company had failed to prove the second charge against the claimant due to the lack of evidence to support the company's case (see paragraphs 41 &amp; 43–44).</w:t>
      </w:r>
      <w:r>
        <w:rPr>
          <w:rFonts w:ascii="arial" w:eastAsia="arial" w:hAnsi="arial" w:cs="arial"/>
          <w:b w:val="0"/>
          <w:i w:val="0"/>
          <w:strike w:val="0"/>
          <w:noProof w:val="0"/>
          <w:color w:val="000000"/>
          <w:position w:val="0"/>
          <w:sz w:val="24"/>
          <w:u w:val="none"/>
          <w:vertAlign w:val="baseline"/>
        </w:rPr>
        <w:t xml:space="preserve"> </w:t>
        <w:tab/>
      </w:r>
    </w:p>
    <w:p>
      <w:pPr>
        <w:keepNext w:val="0"/>
        <w:numPr>
          <w:numId w:val="1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third and fourth charges were general or generic charges. However, of all the other charges, the claimant was likely to be found guilty of these charges. This was because both of these charges were related to the responsibility of an employee of the company to give advice or there was an existence a presumption that every employee was responsible to do so as well as the employee's general duty towards the company. However, even though the claimant was guilty of the third and fourth charges, the punishment imposed on the claimant was disproportionate and excessive based on the doctrine of proportionality (see paragraphs 45 &amp; 48).</w:t>
      </w:r>
    </w:p>
    <w:p>
      <w:pPr>
        <w:keepNext w:val="0"/>
        <w:numPr>
          <w:numId w:val="1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actions of abdicating all responsibilities to the legal department was not something that could not taken as an example. The claimant was an experienced officer or a senior staff.  The claimant should be more responsible to ensure that there was more effort taken to show that everything that could be done had been done. However, the company had failed to prove that the claimant was terminated without just cause or excuse. Also, the claimant had contributed to this situation and based on the doctrine of proportionality, the claimant should be held responsible for part of this error (see paragraphs 49–50 &amp; 52).</w:t>
      </w:r>
    </w:p>
    <w:p>
      <w:pPr>
        <w:keepNext w:val="0"/>
        <w:numPr>
          <w:numId w:val="13"/>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misconduct did not justify his dismissal. A demotion should be sufficient. Reinstatement to the claimant’s original position was inappropriate given the existence of a disharmonious situation between the claimant and the company. In addition, the claimant had already found another employment. Genarally, the court would award compensation in lieu of reinstatement (see paragraphs 53–54 &amp; 56).</w:t>
      </w:r>
      <w:r>
        <w:rPr>
          <w:rFonts w:ascii="arial" w:eastAsia="arial" w:hAnsi="arial" w:cs="arial"/>
          <w:b w:val="0"/>
          <w:i w:val="0"/>
          <w:strike w:val="0"/>
          <w:noProof w:val="0"/>
          <w:color w:val="000000"/>
          <w:position w:val="0"/>
          <w:sz w:val="24"/>
          <w:u w:val="none"/>
          <w:vertAlign w:val="baseline"/>
        </w:rPr>
        <w:t xml:space="preserve"> </w:t>
        <w:tab/>
      </w:r>
    </w:p>
    <w:p>
      <w:pPr>
        <w:keepNext w:val="0"/>
        <w:numPr>
          <w:numId w:val="1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At the time of termination, the claimant’s total salary was RM12,584. This amount would be used to calculate the amount of the award. Since the claimant was terminated without just cause or excuse, the claimant should be entitled to back wages. However, the claimant admitted that he had obtained another employment a month after being terminated. Therefore, the court was hesitant to make any additional award. Hence, only compensation in lieu of reinstatement was awarded (see paragraphs 55, 59 &amp; 61).</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tab/>
      </w:r>
    </w:p>
    <w:p>
      <w:pPr>
        <w:keepNext w:val="0"/>
        <w:spacing w:before="0" w:after="0" w:line="300" w:lineRule="atLeast"/>
        <w:ind w:left="360" w:right="0" w:firstLine="0"/>
        <w:jc w:val="left"/>
      </w:pPr>
      <w:r>
        <w:br/>
      </w:r>
      <w:r>
        <w:rPr>
          <w:rFonts w:ascii="arial" w:eastAsia="arial" w:hAnsi="arial" w:cs="arial"/>
          <w:b/>
          <w:i w:val="0"/>
          <w:strike w:val="0"/>
          <w:noProof w:val="0"/>
          <w:color w:val="000000"/>
          <w:position w:val="0"/>
          <w:sz w:val="24"/>
          <w:u w:val="none"/>
          <w:vertAlign w:val="baseline"/>
        </w:rPr>
        <w:t>Kes-kes yang dirujuk</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Badariah Abdullah lwn Malaysia Airports (Sepang) Sdn Bhd  </w:t>
      </w:r>
      <w:r>
        <w:rPr>
          <w:rFonts w:ascii="arial" w:eastAsia="arial" w:hAnsi="arial" w:cs="arial"/>
          <w:b w:val="0"/>
          <w:i w:val="0"/>
          <w:strike w:val="0"/>
          <w:noProof w:val="0"/>
          <w:color w:val="000000"/>
          <w:position w:val="0"/>
          <w:sz w:val="24"/>
          <w:u w:val="none"/>
          <w:vertAlign w:val="baseline"/>
        </w:rPr>
        <w:t>[2023] 2 LNS 1546, MPh (dirujuk)</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Bumiputra Commerce Bank Berhad v Mahkamah Perusahaan &amp; Anor  </w:t>
      </w:r>
      <w:r>
        <w:rPr>
          <w:rFonts w:ascii="arial" w:eastAsia="arial" w:hAnsi="arial" w:cs="arial"/>
          <w:b w:val="0"/>
          <w:i w:val="0"/>
          <w:strike w:val="0"/>
          <w:noProof w:val="0"/>
          <w:color w:val="000000"/>
          <w:position w:val="0"/>
          <w:sz w:val="24"/>
          <w:u w:val="none"/>
          <w:vertAlign w:val="baseline"/>
        </w:rPr>
        <w:t>[2004] 7 MLJ 441; [2004] 7 CLJ 77, MT (dirujuk)</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Chong Jee Fatt v Tee E &amp; C (Malaysia) Sdn Bhd  </w:t>
      </w:r>
      <w:r>
        <w:rPr>
          <w:rFonts w:ascii="arial" w:eastAsia="arial" w:hAnsi="arial" w:cs="arial"/>
          <w:b w:val="0"/>
          <w:i w:val="0"/>
          <w:strike w:val="0"/>
          <w:noProof w:val="0"/>
          <w:color w:val="000000"/>
          <w:position w:val="0"/>
          <w:sz w:val="24"/>
          <w:u w:val="none"/>
          <w:vertAlign w:val="baseline"/>
        </w:rPr>
        <w:t>[2023] 3 ILR 204, MPh (dirujuk)</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Goon Kwee Phoy v J &amp; P Coats (M) Bhd </w:t>
      </w:r>
      <w:r>
        <w:rPr>
          <w:rFonts w:ascii="arial" w:eastAsia="arial" w:hAnsi="arial" w:cs="arial"/>
          <w:b w:val="0"/>
          <w:i w:val="0"/>
          <w:strike w:val="0"/>
          <w:noProof w:val="0"/>
          <w:color w:val="000000"/>
          <w:position w:val="0"/>
          <w:sz w:val="24"/>
          <w:u w:val="none"/>
          <w:vertAlign w:val="baseline"/>
        </w:rPr>
        <w:t xml:space="preserve"> [1981] 2 MLJ 129; [1981] 1 LNS 30, MP (dirujuk)</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International Times &amp; Ors v Leong Ho Yuen  </w:t>
      </w:r>
      <w:r>
        <w:rPr>
          <w:rFonts w:ascii="arial" w:eastAsia="arial" w:hAnsi="arial" w:cs="arial"/>
          <w:b w:val="0"/>
          <w:i w:val="0"/>
          <w:strike w:val="0"/>
          <w:noProof w:val="0"/>
          <w:color w:val="000000"/>
          <w:position w:val="0"/>
          <w:sz w:val="24"/>
          <w:u w:val="none"/>
          <w:vertAlign w:val="baseline"/>
        </w:rPr>
        <w:t>[1980] 2 MLJ 86, MP (dirujuk)</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Malayan Banking Bhd v Association of Bank Officers, Peninsular Malaysia &amp; Anor </w:t>
      </w:r>
      <w:r>
        <w:rPr>
          <w:rFonts w:ascii="arial" w:eastAsia="arial" w:hAnsi="arial" w:cs="arial"/>
          <w:b w:val="0"/>
          <w:i w:val="0"/>
          <w:strike w:val="0"/>
          <w:noProof w:val="0"/>
          <w:color w:val="000000"/>
          <w:position w:val="0"/>
          <w:sz w:val="24"/>
          <w:u w:val="none"/>
          <w:vertAlign w:val="baseline"/>
        </w:rPr>
        <w:t>[1988] 3 MLJ 204; [1988] 1 CLJ Rep 183, MA (dirujuk)</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Matrix Global Education Sdn Bhd v Felix Lee Eng Boon </w:t>
      </w:r>
      <w:r>
        <w:rPr>
          <w:rFonts w:ascii="arial" w:eastAsia="arial" w:hAnsi="arial" w:cs="arial"/>
          <w:b w:val="0"/>
          <w:i w:val="0"/>
          <w:strike w:val="0"/>
          <w:noProof w:val="0"/>
          <w:color w:val="000000"/>
          <w:position w:val="0"/>
          <w:sz w:val="24"/>
          <w:u w:val="none"/>
          <w:vertAlign w:val="baseline"/>
        </w:rPr>
        <w:t xml:space="preserve"> [2023] 1 MLJ 880 ; [2023] 1 ILR 400, MR (dirujuk)</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Metroplex Administration Sdn Bhd v Mohamed Elias  </w:t>
      </w:r>
      <w:r>
        <w:rPr>
          <w:rFonts w:ascii="arial" w:eastAsia="arial" w:hAnsi="arial" w:cs="arial"/>
          <w:b w:val="0"/>
          <w:i w:val="0"/>
          <w:strike w:val="0"/>
          <w:noProof w:val="0"/>
          <w:color w:val="000000"/>
          <w:position w:val="0"/>
          <w:sz w:val="24"/>
          <w:u w:val="none"/>
          <w:vertAlign w:val="baseline"/>
        </w:rPr>
        <w:t>[1998] 5 CLJ 467, MT (dirujuk)</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Milan Auto Sdn Bhd v Wong Seh Yen </w:t>
      </w:r>
      <w:r>
        <w:rPr>
          <w:rFonts w:ascii="arial" w:eastAsia="arial" w:hAnsi="arial" w:cs="arial"/>
          <w:b w:val="0"/>
          <w:i w:val="0"/>
          <w:strike w:val="0"/>
          <w:noProof w:val="0"/>
          <w:color w:val="000000"/>
          <w:position w:val="0"/>
          <w:sz w:val="24"/>
          <w:u w:val="none"/>
          <w:vertAlign w:val="baseline"/>
        </w:rPr>
        <w:t xml:space="preserve"> [1995] 3 MLJ 537; [1995] 4 CLJ 449, MP (dirujuk)</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Mohamad Suffian Ismail v Seacera Group Berhad </w:t>
      </w:r>
      <w:r>
        <w:rPr>
          <w:rFonts w:ascii="arial" w:eastAsia="arial" w:hAnsi="arial" w:cs="arial"/>
          <w:b w:val="0"/>
          <w:i w:val="0"/>
          <w:strike w:val="0"/>
          <w:noProof w:val="0"/>
          <w:color w:val="000000"/>
          <w:position w:val="0"/>
          <w:sz w:val="24"/>
          <w:u w:val="none"/>
          <w:vertAlign w:val="baseline"/>
        </w:rPr>
        <w:t>[2023] MELRU 2317, MPh (dirujuk)</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Nor Azlina Abd Rahim lwn Jurukur Perunding Services Sdn Bhd  </w:t>
      </w:r>
      <w:r>
        <w:rPr>
          <w:rFonts w:ascii="arial" w:eastAsia="arial" w:hAnsi="arial" w:cs="arial"/>
          <w:b w:val="0"/>
          <w:i w:val="0"/>
          <w:strike w:val="0"/>
          <w:noProof w:val="0"/>
          <w:color w:val="000000"/>
          <w:position w:val="0"/>
          <w:sz w:val="24"/>
          <w:u w:val="none"/>
          <w:vertAlign w:val="baseline"/>
        </w:rPr>
        <w:t>[2023] MELRU 1728, MPh (dirujuk)</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Norizan bin Baker v Panzana Enterprise Sdn Bhd  </w:t>
      </w:r>
      <w:r>
        <w:rPr>
          <w:rFonts w:ascii="arial" w:eastAsia="arial" w:hAnsi="arial" w:cs="arial"/>
          <w:b w:val="0"/>
          <w:i w:val="0"/>
          <w:strike w:val="0"/>
          <w:noProof w:val="0"/>
          <w:color w:val="000000"/>
          <w:position w:val="0"/>
          <w:sz w:val="24"/>
          <w:u w:val="none"/>
          <w:vertAlign w:val="baseline"/>
        </w:rPr>
        <w:t>[2013] 6 MLJ 605, MP (dirujuk)</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Ranjit Kaur a/p S Gopal Singh v Hotel Excelsior (M) Sdn Bhd </w:t>
      </w:r>
      <w:r>
        <w:rPr>
          <w:rFonts w:ascii="arial" w:eastAsia="arial" w:hAnsi="arial" w:cs="arial"/>
          <w:b w:val="0"/>
          <w:i w:val="0"/>
          <w:strike w:val="0"/>
          <w:noProof w:val="0"/>
          <w:color w:val="000000"/>
          <w:position w:val="0"/>
          <w:sz w:val="24"/>
          <w:u w:val="none"/>
          <w:vertAlign w:val="baseline"/>
        </w:rPr>
        <w:t xml:space="preserve"> [2010] 6 MLJ 1, MP (dirujuk)</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Wong Chee Hong v Cathay Organization (M) Sdn Bhd </w:t>
      </w:r>
      <w:r>
        <w:rPr>
          <w:rFonts w:ascii="arial" w:eastAsia="arial" w:hAnsi="arial" w:cs="arial"/>
          <w:b w:val="0"/>
          <w:i w:val="0"/>
          <w:strike w:val="0"/>
          <w:noProof w:val="0"/>
          <w:color w:val="000000"/>
          <w:position w:val="0"/>
          <w:sz w:val="24"/>
          <w:u w:val="none"/>
          <w:vertAlign w:val="baseline"/>
        </w:rPr>
        <w:t>[1988] 1 MLJ 92; [1988] 1 CLJ 45, MA (dirujuk)</w:t>
      </w:r>
      <w:r>
        <w:t>
</w:t>
      </w:r>
    </w:p>
    <w:p>
      <w:pPr>
        <w:keepNext w:val="0"/>
        <w:spacing w:after="0" w:line="300" w:lineRule="atLeast"/>
        <w:ind w:left="360" w:right="0" w:firstLine="0"/>
        <w:jc w:val="left"/>
      </w:pPr>
      <w:r>
        <w:rPr>
          <w:rFonts w:ascii="arial" w:eastAsia="arial" w:hAnsi="arial" w:cs="arial"/>
          <w:b/>
          <w:i w:val="0"/>
          <w:strike w:val="0"/>
          <w:noProof w:val="0"/>
          <w:color w:val="000000"/>
          <w:position w:val="0"/>
          <w:sz w:val="24"/>
          <w:u w:val="none"/>
          <w:vertAlign w:val="baseline"/>
        </w:rPr>
        <w:t>Undang-undang yang dirujuk</w:t>
      </w:r>
      <w:r>
        <w:rPr>
          <w:rFonts w:ascii="arial" w:eastAsia="arial" w:hAnsi="arial" w:cs="arial"/>
          <w:b w:val="0"/>
          <w:i w:val="0"/>
          <w:strike w:val="0"/>
          <w:noProof w:val="0"/>
          <w:color w:val="000000"/>
          <w:position w:val="0"/>
          <w:sz w:val="24"/>
          <w:u w:val="none"/>
          <w:vertAlign w:val="baseline"/>
        </w:rPr>
        <w:t xml:space="preserve"> </w:t>
        <w:tab/>
      </w:r>
    </w:p>
    <w:p>
      <w:pPr>
        <w:keepNext w:val="0"/>
        <w:spacing w:before="0" w:after="0" w:line="300" w:lineRule="atLeast"/>
        <w:ind w:left="360" w:right="0" w:firstLine="0"/>
        <w:jc w:val="both"/>
      </w:pPr>
      <w:r>
        <w:br/>
      </w:r>
      <w:r>
        <w:rPr>
          <w:rFonts w:ascii="arial" w:eastAsia="arial" w:hAnsi="arial" w:cs="arial"/>
          <w:b w:val="0"/>
          <w:i w:val="0"/>
          <w:strike w:val="0"/>
          <w:noProof w:val="0"/>
          <w:color w:val="000000"/>
          <w:position w:val="0"/>
          <w:sz w:val="24"/>
          <w:u w:val="none"/>
          <w:vertAlign w:val="baseline"/>
        </w:rPr>
        <w:t xml:space="preserve"> Akta Perhubungan Perusahaan 1967 ss 20, 20(1), (3), 27(1), 30(5), (6A)</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bookmarkStart w:id="4" w:name="Representation"/>
      <w:bookmarkEnd w:id="4"/>
    </w:p>
    <w:p>
      <w:pPr>
        <w:keepNext w:val="0"/>
        <w:spacing w:before="240" w:after="0" w:line="300" w:lineRule="atLeast"/>
        <w:ind w:left="360" w:right="0" w:firstLine="0"/>
        <w:jc w:val="left"/>
      </w:pPr>
      <w:r>
        <w:rPr>
          <w:rFonts w:ascii="arial" w:eastAsia="arial" w:hAnsi="arial" w:cs="arial"/>
          <w:b w:val="0"/>
          <w:i/>
          <w:strike w:val="0"/>
          <w:noProof w:val="0"/>
          <w:color w:val="000000"/>
          <w:position w:val="0"/>
          <w:sz w:val="24"/>
          <w:u w:val="none"/>
          <w:vertAlign w:val="baseline"/>
        </w:rPr>
        <w:t>Mohammad Muzammil Mohammad Hairiri dan Mohd Azrul Hisham bin Mukhtar (The Chambers of Hisham Mukhtar) peguamcara pihak yang menuntut.</w:t>
      </w:r>
    </w:p>
    <w:p>
      <w:pPr>
        <w:keepNext w:val="0"/>
        <w:spacing w:after="0" w:line="300" w:lineRule="atLeast"/>
        <w:ind w:left="360" w:right="0" w:firstLine="0"/>
        <w:jc w:val="left"/>
      </w:pPr>
      <w:r>
        <w:rPr>
          <w:rFonts w:ascii="arial" w:eastAsia="arial" w:hAnsi="arial" w:cs="arial"/>
          <w:b w:val="0"/>
          <w:i/>
          <w:strike w:val="0"/>
          <w:noProof w:val="0"/>
          <w:color w:val="000000"/>
          <w:position w:val="0"/>
          <w:sz w:val="24"/>
          <w:u w:val="none"/>
          <w:vertAlign w:val="baseline"/>
        </w:rPr>
        <w:t>Mohamed Harmy bin Tan Sri Dato’ Yusoff dan Sofiyyah binti Nizar (Harmy Yusoff &amp; Azli) peguamcara pihak syarikat.</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tbl>
      <w:tblPr>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654"/>
      </w:tblGrid>
      <w:tr>
        <w:tblPrEx>
          <w:tblW w:w="0" w:type="auto"/>
          <w:tblInd w:w="120" w:type="dxa"/>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after="0" w:line="360" w:lineRule="atLeast"/>
              <w:ind w:left="0"/>
              <w:jc w:val="left"/>
            </w:pPr>
            <w:bookmarkStart w:id="5" w:name="Salahudin bin Dato’ Hidayat Shariff P"/>
            <w:bookmarkEnd w:id="5"/>
            <w:r>
              <w:rPr>
                <w:rFonts w:ascii="arial" w:eastAsia="arial" w:hAnsi="arial" w:cs="arial"/>
                <w:b/>
                <w:i w:val="0"/>
                <w:strike w:val="0"/>
                <w:noProof w:val="0"/>
                <w:color w:val="000000"/>
                <w:position w:val="0"/>
                <w:sz w:val="30"/>
                <w:u w:val="none"/>
                <w:vertAlign w:val="baseline"/>
              </w:rPr>
              <w:t>Salahudin bin Dato’ Hidayat Shariff P:</w:t>
            </w:r>
          </w:p>
        </w:tc>
      </w:tr>
    </w:tbl>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RUJUKAN:</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 xml:space="preserve">Ini adalah suatu rujukan bertarikh 23 Jun 2022 yang dibuat di bawah subseksyen 20(3)  Akta Perhubungan Perusahaan 1967 [Akta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oleh Ketua Pengarah Perhubungan Perusahaan Manusia mengenai dakwaan pembuangan kerja </w:t>
      </w:r>
      <w:r>
        <w:rPr>
          <w:rFonts w:ascii="arial" w:eastAsia="arial" w:hAnsi="arial" w:cs="arial"/>
          <w:b/>
          <w:i w:val="0"/>
          <w:strike w:val="0"/>
          <w:noProof w:val="0"/>
          <w:color w:val="000000"/>
          <w:position w:val="0"/>
          <w:sz w:val="24"/>
          <w:u w:val="none"/>
          <w:vertAlign w:val="baseline"/>
        </w:rPr>
        <w:t>Nor Hafizza Binti Abdul Manan</w:t>
      </w:r>
      <w:r>
        <w:rPr>
          <w:rFonts w:ascii="arial" w:eastAsia="arial" w:hAnsi="arial" w:cs="arial"/>
          <w:b w:val="0"/>
          <w:i w:val="0"/>
          <w:strike w:val="0"/>
          <w:noProof w:val="0"/>
          <w:color w:val="000000"/>
          <w:position w:val="0"/>
          <w:sz w:val="24"/>
          <w:u w:val="none"/>
          <w:vertAlign w:val="baseline"/>
        </w:rPr>
        <w:t xml:space="preserve"> (selepas ini disebut “Pihak Yang Menuntut”) oleh </w:t>
      </w:r>
      <w:r>
        <w:rPr>
          <w:rFonts w:ascii="arial" w:eastAsia="arial" w:hAnsi="arial" w:cs="arial"/>
          <w:b/>
          <w:i w:val="0"/>
          <w:strike w:val="0"/>
          <w:noProof w:val="0"/>
          <w:color w:val="000000"/>
          <w:position w:val="0"/>
          <w:sz w:val="24"/>
          <w:u w:val="none"/>
          <w:vertAlign w:val="baseline"/>
        </w:rPr>
        <w:t>Yayasan Pembangunan Ekonomi Islam Malaysia (YAPEIM)</w:t>
      </w:r>
      <w:r>
        <w:rPr>
          <w:rFonts w:ascii="arial" w:eastAsia="arial" w:hAnsi="arial" w:cs="arial"/>
          <w:b w:val="0"/>
          <w:i w:val="0"/>
          <w:strike w:val="0"/>
          <w:noProof w:val="0"/>
          <w:color w:val="000000"/>
          <w:position w:val="0"/>
          <w:sz w:val="24"/>
          <w:u w:val="none"/>
          <w:vertAlign w:val="baseline"/>
        </w:rPr>
        <w:t xml:space="preserve"> (selepas ini disebut sebagai “Syarikat”) pada 15 Oktober 2021.</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Award</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Ringkasan Kes</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w:t>
      </w:r>
      <w:r>
        <w:rPr>
          <w:rFonts w:ascii="arial" w:eastAsia="arial" w:hAnsi="arial" w:cs="arial"/>
          <w:b w:val="0"/>
          <w:i w:val="0"/>
          <w:strike w:val="0"/>
          <w:noProof w:val="0"/>
          <w:color w:val="000000"/>
          <w:position w:val="0"/>
          <w:sz w:val="24"/>
          <w:u w:val="none"/>
          <w:vertAlign w:val="baseline"/>
        </w:rPr>
        <w:t>  Ini adalah suatu tuntutan penamatan kerja yang dikatakan tidak adil dan sah pada 15 Oktober 2021 yang difailkan oleh Pihak Yang Menuntut.</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w:t>
      </w:r>
      <w:r>
        <w:rPr>
          <w:rFonts w:ascii="arial" w:eastAsia="arial" w:hAnsi="arial" w:cs="arial"/>
          <w:b w:val="0"/>
          <w:i w:val="0"/>
          <w:strike w:val="0"/>
          <w:noProof w:val="0"/>
          <w:color w:val="000000"/>
          <w:position w:val="0"/>
          <w:sz w:val="24"/>
          <w:u w:val="none"/>
          <w:vertAlign w:val="baseline"/>
        </w:rPr>
        <w:t>  Pihak Yang Menuntut telah mula bekerja dengan Syarikat sejak 1 Oktober 2012 sebagai Pengurus Kanan di Bahagian Pembangunan Multimedia dan Sistem. Pihak Yang Menuntut telah dilantik ke jawatan terakhir di dalam Syarikat pada 16 Oktober 2017, iaitu Ketua Bahagian, Bahagian Projek Khas YaPEIM. Beliau telah berkhidmat dengan Syarikat selama sembilan tahun.</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w:t>
      </w:r>
      <w:r>
        <w:rPr>
          <w:rFonts w:ascii="arial" w:eastAsia="arial" w:hAnsi="arial" w:cs="arial"/>
          <w:b w:val="0"/>
          <w:i w:val="0"/>
          <w:strike w:val="0"/>
          <w:noProof w:val="0"/>
          <w:color w:val="000000"/>
          <w:position w:val="0"/>
          <w:sz w:val="24"/>
          <w:u w:val="none"/>
          <w:vertAlign w:val="baseline"/>
        </w:rPr>
        <w:t xml:space="preserve">  Pada 15 Oktober 2021 Pihak Yang Menuntut telah ditamatkan serta merta kerana didapati bersalah ke atas kesemua empat pertuduhan selepas sidang Siasatan Dalaman (“DI”). DI tersebut telah berlangsung secara maya pada 5 Ogos 2021. Pihak Yang Menuntut telah mencabar kesahan DI tersebut dan menyatakan ia telah melanggar </w:t>
      </w:r>
      <w:r>
        <w:rPr>
          <w:rFonts w:ascii="arial" w:eastAsia="arial" w:hAnsi="arial" w:cs="arial"/>
          <w:b w:val="0"/>
          <w:i/>
          <w:strike w:val="0"/>
          <w:noProof w:val="0"/>
          <w:color w:val="000000"/>
          <w:position w:val="0"/>
          <w:sz w:val="24"/>
          <w:u w:val="none"/>
          <w:vertAlign w:val="baseline"/>
        </w:rPr>
        <w:t>natural justice</w:t>
      </w:r>
      <w:r>
        <w:rPr>
          <w:rFonts w:ascii="arial" w:eastAsia="arial" w:hAnsi="arial" w:cs="arial"/>
          <w:b w:val="0"/>
          <w:i w:val="0"/>
          <w:strike w:val="0"/>
          <w:noProof w:val="0"/>
          <w:color w:val="000000"/>
          <w:position w:val="0"/>
          <w:sz w:val="24"/>
          <w:u w:val="none"/>
          <w:vertAlign w:val="baseline"/>
        </w:rPr>
        <w:t xml:space="preserve"> atau keadilan asasi/semulajadi.</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w:t>
      </w:r>
      <w:r>
        <w:rPr>
          <w:rFonts w:ascii="arial" w:eastAsia="arial" w:hAnsi="arial" w:cs="arial"/>
          <w:b w:val="0"/>
          <w:i w:val="0"/>
          <w:strike w:val="0"/>
          <w:noProof w:val="0"/>
          <w:color w:val="000000"/>
          <w:position w:val="0"/>
          <w:sz w:val="24"/>
          <w:u w:val="none"/>
          <w:vertAlign w:val="baseline"/>
        </w:rPr>
        <w:t>  Pihak Syarikat pula merupakan satu yayasan yang ditubuhkan bukan untuk mendapat keuntungan, malah ia tidak dapat menjalankan perniagaan. Syarikat ditugaskan untuk menganjurkan program-program untuk membantu ekonomi orang Islam di Malaysia secara am.</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w:t>
      </w:r>
      <w:r>
        <w:rPr>
          <w:rFonts w:ascii="arial" w:eastAsia="arial" w:hAnsi="arial" w:cs="arial"/>
          <w:b w:val="0"/>
          <w:i w:val="0"/>
          <w:strike w:val="0"/>
          <w:noProof w:val="0"/>
          <w:color w:val="000000"/>
          <w:position w:val="0"/>
          <w:sz w:val="24"/>
          <w:u w:val="none"/>
          <w:vertAlign w:val="baseline"/>
        </w:rPr>
        <w:t>  Pihak Syarikat telah bercadang untuk memasukki satu urus niaga dengan satu entiti lain, iaitu Aneka Group, untuk membeli satu rangkaian kedai runcit di Malaysia dan mencadangkan memasukki perjanjian untuk membeli saham-saham rangkaian kedai tersebut. Ketua Pengarah Syarikat (“KP”) telah mengarahkan urusniaga yang dimaksudkan dilaksanakan oleh Bahagian yang diketuai oleh Pihak Yang Menuntut. Walau bagaimanapun, terdapat beberapa perkara berbangkit yang menjadi penghalang untuk urusniaga ini sehingga Syarikat telah kerugian sehingga RM1 juta.</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w:t>
      </w:r>
      <w:r>
        <w:rPr>
          <w:rFonts w:ascii="arial" w:eastAsia="arial" w:hAnsi="arial" w:cs="arial"/>
          <w:b w:val="0"/>
          <w:i w:val="0"/>
          <w:strike w:val="0"/>
          <w:noProof w:val="0"/>
          <w:color w:val="000000"/>
          <w:position w:val="0"/>
          <w:sz w:val="24"/>
          <w:u w:val="none"/>
          <w:vertAlign w:val="baseline"/>
        </w:rPr>
        <w:t>  Selepas satu penyiasatan dalaman Syarikat, tiga pegawai yang telah dipersalahkan termasuk Pihak Yang Menuntut untuk beberapa kesalahan lain termasuk kerugian yang dinyatakan. Pihak Yang Menuntut telah didapati bersalah semasa DI untuk empat pertuduhan dan ditamatkan dari pekerjaan.</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[7]</w:t>
      </w:r>
      <w:r>
        <w:rPr>
          <w:rFonts w:ascii="arial" w:eastAsia="arial" w:hAnsi="arial" w:cs="arial"/>
          <w:b w:val="0"/>
          <w:i w:val="0"/>
          <w:strike w:val="0"/>
          <w:noProof w:val="0"/>
          <w:color w:val="000000"/>
          <w:position w:val="0"/>
          <w:sz w:val="24"/>
          <w:u w:val="none"/>
          <w:vertAlign w:val="baseline"/>
        </w:rPr>
        <w:t>  Mahkamah ini telah meneliti semua keterangan, hujahan dan ikatan yang dikemukakan oleh kedua-dua pihak seperti yang berikut:</w:t>
      </w:r>
    </w:p>
    <w:p>
      <w:pPr>
        <w:keepNext w:val="0"/>
        <w:spacing w:before="200" w:after="0" w:line="300" w:lineRule="atLeast"/>
        <w:ind w:left="360" w:right="0" w:firstLine="0"/>
        <w:jc w:val="both"/>
      </w:pPr>
      <w:r>
        <w:rPr>
          <w:rFonts w:ascii="arial" w:eastAsia="arial" w:hAnsi="arial" w:cs="arial"/>
          <w:b w:val="0"/>
          <w:i w:val="0"/>
          <w:strike w:val="0"/>
          <w:noProof w:val="0"/>
          <w:color w:val="000000"/>
          <w:position w:val="0"/>
          <w:sz w:val="24"/>
          <w:u w:val="none"/>
          <w:vertAlign w:val="baseline"/>
        </w:rPr>
        <w:t xml:space="preserve"> </w:t>
      </w:r>
    </w:p>
    <w:p>
      <w:pPr>
        <w:keepNext w:val="0"/>
        <w:numPr>
          <w:numId w:val="15"/>
        </w:numPr>
        <w:spacing w:before="200" w:after="0" w:line="300" w:lineRule="atLeast"/>
        <w:ind w:right="0"/>
        <w:jc w:val="both"/>
      </w:pPr>
      <w:r>
        <w:rPr>
          <w:rFonts w:ascii="arial" w:eastAsia="arial" w:hAnsi="arial" w:cs="arial"/>
          <w:b w:val="0"/>
          <w:i/>
          <w:strike w:val="0"/>
          <w:noProof w:val="0"/>
          <w:color w:val="000000"/>
          <w:position w:val="0"/>
          <w:sz w:val="24"/>
          <w:u w:val="none"/>
          <w:vertAlign w:val="baseline"/>
        </w:rPr>
        <w:t>Statement of Case</w:t>
      </w:r>
      <w:r>
        <w:rPr>
          <w:rFonts w:ascii="arial" w:eastAsia="arial" w:hAnsi="arial" w:cs="arial"/>
          <w:b w:val="0"/>
          <w:i w:val="0"/>
          <w:strike w:val="0"/>
          <w:noProof w:val="0"/>
          <w:color w:val="000000"/>
          <w:position w:val="0"/>
          <w:sz w:val="24"/>
          <w:u w:val="none"/>
          <w:vertAlign w:val="baseline"/>
        </w:rPr>
        <w:t xml:space="preserve"> bertarikh 22 Ogos 2022;</w:t>
      </w:r>
      <w:r>
        <w:rPr>
          <w:rFonts w:ascii="arial" w:eastAsia="arial" w:hAnsi="arial" w:cs="arial"/>
          <w:b w:val="0"/>
          <w:i w:val="0"/>
          <w:strike w:val="0"/>
          <w:noProof w:val="0"/>
          <w:color w:val="000000"/>
          <w:position w:val="0"/>
          <w:sz w:val="24"/>
          <w:u w:val="none"/>
          <w:vertAlign w:val="baseline"/>
        </w:rPr>
        <w:t xml:space="preserve"> </w:t>
      </w:r>
    </w:p>
    <w:p>
      <w:pPr>
        <w:keepNext w:val="0"/>
        <w:numPr>
          <w:numId w:val="16"/>
        </w:numPr>
        <w:spacing w:before="200" w:after="0" w:line="300" w:lineRule="atLeast"/>
        <w:ind w:right="0"/>
        <w:jc w:val="both"/>
      </w:pPr>
      <w:r>
        <w:rPr>
          <w:rFonts w:ascii="arial" w:eastAsia="arial" w:hAnsi="arial" w:cs="arial"/>
          <w:b w:val="0"/>
          <w:i/>
          <w:strike w:val="0"/>
          <w:noProof w:val="0"/>
          <w:color w:val="000000"/>
          <w:position w:val="0"/>
          <w:sz w:val="24"/>
          <w:u w:val="none"/>
          <w:vertAlign w:val="baseline"/>
        </w:rPr>
        <w:t>Statement in Reply</w:t>
      </w:r>
      <w:r>
        <w:rPr>
          <w:rFonts w:ascii="arial" w:eastAsia="arial" w:hAnsi="arial" w:cs="arial"/>
          <w:b w:val="0"/>
          <w:i w:val="0"/>
          <w:strike w:val="0"/>
          <w:noProof w:val="0"/>
          <w:color w:val="000000"/>
          <w:position w:val="0"/>
          <w:sz w:val="24"/>
          <w:u w:val="none"/>
          <w:vertAlign w:val="baseline"/>
        </w:rPr>
        <w:t xml:space="preserve"> bertarikh 26 September 2022;</w:t>
      </w:r>
      <w:r>
        <w:rPr>
          <w:rFonts w:ascii="arial" w:eastAsia="arial" w:hAnsi="arial" w:cs="arial"/>
          <w:b w:val="0"/>
          <w:i w:val="0"/>
          <w:strike w:val="0"/>
          <w:noProof w:val="0"/>
          <w:color w:val="000000"/>
          <w:position w:val="0"/>
          <w:sz w:val="24"/>
          <w:u w:val="none"/>
          <w:vertAlign w:val="baseline"/>
        </w:rPr>
        <w:t xml:space="preserve"> </w:t>
      </w:r>
    </w:p>
    <w:p>
      <w:pPr>
        <w:keepNext w:val="0"/>
        <w:numPr>
          <w:numId w:val="17"/>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Ikatan Dokumen Pihak Yang Menuntut yang difailkan pada 14 Jun 2023 dan ditanda sebagai ekshibit </w:t>
      </w:r>
      <w:r>
        <w:rPr>
          <w:rFonts w:ascii="arial" w:eastAsia="arial" w:hAnsi="arial" w:cs="arial"/>
          <w:b w:val="0"/>
          <w:i/>
          <w:strike w:val="0"/>
          <w:noProof w:val="0"/>
          <w:color w:val="000000"/>
          <w:position w:val="0"/>
          <w:sz w:val="24"/>
          <w:u w:val="none"/>
          <w:vertAlign w:val="baseline"/>
        </w:rPr>
        <w:t>CLB-1</w:t>
      </w: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 xml:space="preserve"> </w:t>
      </w:r>
    </w:p>
    <w:p>
      <w:pPr>
        <w:keepNext w:val="0"/>
        <w:numPr>
          <w:numId w:val="18"/>
        </w:numPr>
        <w:spacing w:before="200" w:after="0" w:line="300" w:lineRule="atLeast"/>
        <w:ind w:right="0"/>
        <w:jc w:val="both"/>
      </w:pPr>
      <w:r>
        <w:rPr>
          <w:rFonts w:ascii="arial" w:eastAsia="arial" w:hAnsi="arial" w:cs="arial"/>
          <w:b w:val="0"/>
          <w:i/>
          <w:strike w:val="0"/>
          <w:noProof w:val="0"/>
          <w:color w:val="000000"/>
          <w:position w:val="0"/>
          <w:sz w:val="24"/>
          <w:u w:val="none"/>
          <w:vertAlign w:val="baseline"/>
        </w:rPr>
        <w:t>Company’s Bundle of Documents</w:t>
      </w:r>
      <w:r>
        <w:rPr>
          <w:rFonts w:ascii="arial" w:eastAsia="arial" w:hAnsi="arial" w:cs="arial"/>
          <w:b w:val="0"/>
          <w:i w:val="0"/>
          <w:strike w:val="0"/>
          <w:noProof w:val="0"/>
          <w:color w:val="000000"/>
          <w:position w:val="0"/>
          <w:sz w:val="24"/>
          <w:u w:val="none"/>
          <w:vertAlign w:val="baseline"/>
        </w:rPr>
        <w:t xml:space="preserve"> yang difailkan pada 21 Mac 2023 dan ditanda sebagai ekshibit </w:t>
      </w:r>
      <w:r>
        <w:rPr>
          <w:rFonts w:ascii="arial" w:eastAsia="arial" w:hAnsi="arial" w:cs="arial"/>
          <w:b w:val="0"/>
          <w:i/>
          <w:strike w:val="0"/>
          <w:noProof w:val="0"/>
          <w:color w:val="000000"/>
          <w:position w:val="0"/>
          <w:sz w:val="24"/>
          <w:u w:val="none"/>
          <w:vertAlign w:val="baseline"/>
        </w:rPr>
        <w:t>COB-1</w:t>
      </w: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 xml:space="preserve"> </w:t>
      </w:r>
    </w:p>
    <w:p>
      <w:pPr>
        <w:keepNext w:val="0"/>
        <w:numPr>
          <w:numId w:val="19"/>
        </w:numPr>
        <w:spacing w:before="200" w:after="0" w:line="300" w:lineRule="atLeast"/>
        <w:ind w:right="0"/>
        <w:jc w:val="both"/>
      </w:pPr>
      <w:r>
        <w:rPr>
          <w:rFonts w:ascii="arial" w:eastAsia="arial" w:hAnsi="arial" w:cs="arial"/>
          <w:b w:val="0"/>
          <w:i/>
          <w:strike w:val="0"/>
          <w:noProof w:val="0"/>
          <w:color w:val="000000"/>
          <w:position w:val="0"/>
          <w:sz w:val="24"/>
          <w:u w:val="none"/>
          <w:vertAlign w:val="baseline"/>
        </w:rPr>
        <w:t>Company’s Supplementary Bundle of Documents</w:t>
      </w:r>
      <w:r>
        <w:rPr>
          <w:rFonts w:ascii="arial" w:eastAsia="arial" w:hAnsi="arial" w:cs="arial"/>
          <w:b w:val="0"/>
          <w:i w:val="0"/>
          <w:strike w:val="0"/>
          <w:noProof w:val="0"/>
          <w:color w:val="000000"/>
          <w:position w:val="0"/>
          <w:sz w:val="24"/>
          <w:u w:val="none"/>
          <w:vertAlign w:val="baseline"/>
        </w:rPr>
        <w:t xml:space="preserve"> yang difailkan pada 24 Mei 2022 dan ditanda sebagai ekshibit </w:t>
      </w:r>
      <w:r>
        <w:rPr>
          <w:rFonts w:ascii="arial" w:eastAsia="arial" w:hAnsi="arial" w:cs="arial"/>
          <w:b w:val="0"/>
          <w:i/>
          <w:strike w:val="0"/>
          <w:noProof w:val="0"/>
          <w:color w:val="000000"/>
          <w:position w:val="0"/>
          <w:sz w:val="24"/>
          <w:u w:val="none"/>
          <w:vertAlign w:val="baseline"/>
        </w:rPr>
        <w:t>COB-2</w:t>
      </w: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 xml:space="preserve"> </w:t>
      </w:r>
    </w:p>
    <w:p>
      <w:pPr>
        <w:keepNext w:val="0"/>
        <w:numPr>
          <w:numId w:val="20"/>
        </w:numPr>
        <w:spacing w:before="200" w:after="0" w:line="300" w:lineRule="atLeast"/>
        <w:ind w:right="0"/>
        <w:jc w:val="both"/>
      </w:pPr>
      <w:r>
        <w:rPr>
          <w:rFonts w:ascii="arial" w:eastAsia="arial" w:hAnsi="arial" w:cs="arial"/>
          <w:b w:val="0"/>
          <w:i/>
          <w:strike w:val="0"/>
          <w:noProof w:val="0"/>
          <w:color w:val="000000"/>
          <w:position w:val="0"/>
          <w:sz w:val="24"/>
          <w:u w:val="none"/>
          <w:vertAlign w:val="baseline"/>
        </w:rPr>
        <w:t>Company’s Supplementary Bundle of Documents (3)</w:t>
      </w:r>
      <w:r>
        <w:rPr>
          <w:rFonts w:ascii="arial" w:eastAsia="arial" w:hAnsi="arial" w:cs="arial"/>
          <w:b w:val="0"/>
          <w:i w:val="0"/>
          <w:strike w:val="0"/>
          <w:noProof w:val="0"/>
          <w:color w:val="000000"/>
          <w:position w:val="0"/>
          <w:sz w:val="24"/>
          <w:u w:val="none"/>
          <w:vertAlign w:val="baseline"/>
        </w:rPr>
        <w:t xml:space="preserve"> yang difailkan pada 5 Julai 2023 dan ditanda sebagai ekshibit </w:t>
      </w:r>
      <w:r>
        <w:rPr>
          <w:rFonts w:ascii="arial" w:eastAsia="arial" w:hAnsi="arial" w:cs="arial"/>
          <w:b w:val="0"/>
          <w:i/>
          <w:strike w:val="0"/>
          <w:noProof w:val="0"/>
          <w:color w:val="000000"/>
          <w:position w:val="0"/>
          <w:sz w:val="24"/>
          <w:u w:val="none"/>
          <w:vertAlign w:val="baseline"/>
        </w:rPr>
        <w:t>COB-3</w:t>
      </w: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 xml:space="preserve"> </w:t>
      </w:r>
    </w:p>
    <w:p>
      <w:pPr>
        <w:keepNext w:val="0"/>
        <w:numPr>
          <w:numId w:val="21"/>
        </w:numPr>
        <w:spacing w:before="200" w:after="0" w:line="300" w:lineRule="atLeast"/>
        <w:ind w:right="0"/>
        <w:jc w:val="both"/>
      </w:pPr>
      <w:r>
        <w:rPr>
          <w:rFonts w:ascii="arial" w:eastAsia="arial" w:hAnsi="arial" w:cs="arial"/>
          <w:b w:val="0"/>
          <w:i/>
          <w:strike w:val="0"/>
          <w:noProof w:val="0"/>
          <w:color w:val="000000"/>
          <w:position w:val="0"/>
          <w:sz w:val="24"/>
          <w:u w:val="none"/>
          <w:vertAlign w:val="baseline"/>
        </w:rPr>
        <w:t>Company’s Supplementary Bundle of Documents (2)</w:t>
      </w:r>
      <w:r>
        <w:rPr>
          <w:rFonts w:ascii="arial" w:eastAsia="arial" w:hAnsi="arial" w:cs="arial"/>
          <w:b w:val="0"/>
          <w:i w:val="0"/>
          <w:strike w:val="0"/>
          <w:noProof w:val="0"/>
          <w:color w:val="000000"/>
          <w:position w:val="0"/>
          <w:sz w:val="24"/>
          <w:u w:val="none"/>
          <w:vertAlign w:val="baseline"/>
        </w:rPr>
        <w:t xml:space="preserve"> yang difailkan pada 26 Julai 2023 dan ditanda sebagai ekshibit </w:t>
      </w:r>
      <w:r>
        <w:rPr>
          <w:rFonts w:ascii="arial" w:eastAsia="arial" w:hAnsi="arial" w:cs="arial"/>
          <w:b w:val="0"/>
          <w:i/>
          <w:strike w:val="0"/>
          <w:noProof w:val="0"/>
          <w:color w:val="000000"/>
          <w:position w:val="0"/>
          <w:sz w:val="24"/>
          <w:u w:val="none"/>
          <w:vertAlign w:val="baseline"/>
        </w:rPr>
        <w:t>COB-4</w:t>
      </w: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 xml:space="preserve"> </w:t>
      </w:r>
    </w:p>
    <w:p>
      <w:pPr>
        <w:keepNext w:val="0"/>
        <w:numPr>
          <w:numId w:val="22"/>
        </w:numPr>
        <w:spacing w:before="200" w:after="0" w:line="300" w:lineRule="atLeast"/>
        <w:ind w:right="0"/>
        <w:jc w:val="both"/>
      </w:pPr>
      <w:r>
        <w:rPr>
          <w:rFonts w:ascii="arial" w:eastAsia="arial" w:hAnsi="arial" w:cs="arial"/>
          <w:b w:val="0"/>
          <w:i/>
          <w:strike w:val="0"/>
          <w:noProof w:val="0"/>
          <w:color w:val="000000"/>
          <w:position w:val="0"/>
          <w:sz w:val="24"/>
          <w:u w:val="none"/>
          <w:vertAlign w:val="baseline"/>
        </w:rPr>
        <w:t>Witness Statement</w:t>
      </w:r>
      <w:r>
        <w:rPr>
          <w:rFonts w:ascii="arial" w:eastAsia="arial" w:hAnsi="arial" w:cs="arial"/>
          <w:b w:val="0"/>
          <w:i w:val="0"/>
          <w:strike w:val="0"/>
          <w:noProof w:val="0"/>
          <w:color w:val="000000"/>
          <w:position w:val="0"/>
          <w:sz w:val="24"/>
          <w:u w:val="none"/>
          <w:vertAlign w:val="baseline"/>
        </w:rPr>
        <w:t xml:space="preserve"> Adawiah Binti Abdul Samad yang ditandatangani pada 26 Julai 2023 dan ditanda sebagai ekshibit </w:t>
      </w:r>
      <w:r>
        <w:rPr>
          <w:rFonts w:ascii="arial" w:eastAsia="arial" w:hAnsi="arial" w:cs="arial"/>
          <w:b w:val="0"/>
          <w:i/>
          <w:strike w:val="0"/>
          <w:noProof w:val="0"/>
          <w:color w:val="000000"/>
          <w:position w:val="0"/>
          <w:sz w:val="24"/>
          <w:u w:val="none"/>
          <w:vertAlign w:val="baseline"/>
        </w:rPr>
        <w:t>COWS-1</w:t>
      </w: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 xml:space="preserve"> </w:t>
      </w:r>
    </w:p>
    <w:p>
      <w:pPr>
        <w:keepNext w:val="0"/>
        <w:numPr>
          <w:numId w:val="23"/>
        </w:numPr>
        <w:spacing w:before="200" w:after="0" w:line="300" w:lineRule="atLeast"/>
        <w:ind w:right="0"/>
        <w:jc w:val="both"/>
      </w:pPr>
      <w:r>
        <w:rPr>
          <w:rFonts w:ascii="arial" w:eastAsia="arial" w:hAnsi="arial" w:cs="arial"/>
          <w:b w:val="0"/>
          <w:i/>
          <w:strike w:val="0"/>
          <w:noProof w:val="0"/>
          <w:color w:val="000000"/>
          <w:position w:val="0"/>
          <w:sz w:val="24"/>
          <w:u w:val="none"/>
          <w:vertAlign w:val="baseline"/>
        </w:rPr>
        <w:t>Witness Statement</w:t>
      </w:r>
      <w:r>
        <w:rPr>
          <w:rFonts w:ascii="arial" w:eastAsia="arial" w:hAnsi="arial" w:cs="arial"/>
          <w:b w:val="0"/>
          <w:i w:val="0"/>
          <w:strike w:val="0"/>
          <w:noProof w:val="0"/>
          <w:color w:val="000000"/>
          <w:position w:val="0"/>
          <w:sz w:val="24"/>
          <w:u w:val="none"/>
          <w:vertAlign w:val="baseline"/>
        </w:rPr>
        <w:t xml:space="preserve"> Siti Salwa Binti Mawardee yang ditandatangani pada 26 Julai 2023 dan ditanda sebagai ekshibit </w:t>
      </w:r>
      <w:r>
        <w:rPr>
          <w:rFonts w:ascii="arial" w:eastAsia="arial" w:hAnsi="arial" w:cs="arial"/>
          <w:b w:val="0"/>
          <w:i/>
          <w:strike w:val="0"/>
          <w:noProof w:val="0"/>
          <w:color w:val="000000"/>
          <w:position w:val="0"/>
          <w:sz w:val="24"/>
          <w:u w:val="none"/>
          <w:vertAlign w:val="baseline"/>
        </w:rPr>
        <w:t>COWS-2</w:t>
      </w: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 xml:space="preserve"> </w:t>
      </w:r>
    </w:p>
    <w:p>
      <w:pPr>
        <w:keepNext w:val="0"/>
        <w:numPr>
          <w:numId w:val="24"/>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Penyata Saksi Pihak Penuntut yang ditandatangani pada 27 Julai 2023 dan ditanda sebagai ekshibit </w:t>
      </w:r>
      <w:r>
        <w:rPr>
          <w:rFonts w:ascii="arial" w:eastAsia="arial" w:hAnsi="arial" w:cs="arial"/>
          <w:b w:val="0"/>
          <w:i/>
          <w:strike w:val="0"/>
          <w:noProof w:val="0"/>
          <w:color w:val="000000"/>
          <w:position w:val="0"/>
          <w:sz w:val="24"/>
          <w:u w:val="none"/>
          <w:vertAlign w:val="baseline"/>
        </w:rPr>
        <w:t>CLWS</w:t>
      </w: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 xml:space="preserve"> </w:t>
      </w:r>
    </w:p>
    <w:p>
      <w:pPr>
        <w:keepNext w:val="0"/>
        <w:numPr>
          <w:numId w:val="25"/>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Hujahan Bertulis Pihak Syarikat bertarikh 2 Oktober 2023;</w:t>
      </w:r>
      <w:r>
        <w:rPr>
          <w:rFonts w:ascii="arial" w:eastAsia="arial" w:hAnsi="arial" w:cs="arial"/>
          <w:b w:val="0"/>
          <w:i w:val="0"/>
          <w:strike w:val="0"/>
          <w:noProof w:val="0"/>
          <w:color w:val="000000"/>
          <w:position w:val="0"/>
          <w:sz w:val="24"/>
          <w:u w:val="none"/>
          <w:vertAlign w:val="baseline"/>
        </w:rPr>
        <w:t xml:space="preserve"> </w:t>
      </w:r>
    </w:p>
    <w:p>
      <w:pPr>
        <w:keepNext w:val="0"/>
        <w:numPr>
          <w:numId w:val="26"/>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Ikatan Autoriti Pihak Syarikat yang difailkan pada 3 Oktober 2023;</w:t>
      </w:r>
      <w:r>
        <w:rPr>
          <w:rFonts w:ascii="arial" w:eastAsia="arial" w:hAnsi="arial" w:cs="arial"/>
          <w:b w:val="0"/>
          <w:i w:val="0"/>
          <w:strike w:val="0"/>
          <w:noProof w:val="0"/>
          <w:color w:val="000000"/>
          <w:position w:val="0"/>
          <w:sz w:val="24"/>
          <w:u w:val="none"/>
          <w:vertAlign w:val="baseline"/>
        </w:rPr>
        <w:t xml:space="preserve"> </w:t>
      </w:r>
    </w:p>
    <w:p>
      <w:pPr>
        <w:keepNext w:val="0"/>
        <w:numPr>
          <w:numId w:val="27"/>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Hujahan Bertulis Pihak Penuntut bertarikh 2 Oktober 2023;</w:t>
      </w:r>
      <w:r>
        <w:rPr>
          <w:rFonts w:ascii="arial" w:eastAsia="arial" w:hAnsi="arial" w:cs="arial"/>
          <w:b w:val="0"/>
          <w:i w:val="0"/>
          <w:strike w:val="0"/>
          <w:noProof w:val="0"/>
          <w:color w:val="000000"/>
          <w:position w:val="0"/>
          <w:sz w:val="24"/>
          <w:u w:val="none"/>
          <w:vertAlign w:val="baseline"/>
        </w:rPr>
        <w:t xml:space="preserve"> </w:t>
      </w:r>
    </w:p>
    <w:p>
      <w:pPr>
        <w:keepNext w:val="0"/>
        <w:numPr>
          <w:numId w:val="28"/>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Ikatan Otoriti Pihak Penuntut yang difailkan pada 5 Oktober 2023;</w:t>
      </w:r>
      <w:r>
        <w:rPr>
          <w:rFonts w:ascii="arial" w:eastAsia="arial" w:hAnsi="arial" w:cs="arial"/>
          <w:b w:val="0"/>
          <w:i w:val="0"/>
          <w:strike w:val="0"/>
          <w:noProof w:val="0"/>
          <w:color w:val="000000"/>
          <w:position w:val="0"/>
          <w:sz w:val="24"/>
          <w:u w:val="none"/>
          <w:vertAlign w:val="baseline"/>
        </w:rPr>
        <w:t xml:space="preserve"> </w:t>
      </w:r>
    </w:p>
    <w:p>
      <w:pPr>
        <w:keepNext w:val="0"/>
        <w:numPr>
          <w:numId w:val="29"/>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Hujahan Bertulis Pihak Syarikat bertarikh 13 Oktober 2023; dan</w:t>
      </w:r>
      <w:r>
        <w:rPr>
          <w:rFonts w:ascii="arial" w:eastAsia="arial" w:hAnsi="arial" w:cs="arial"/>
          <w:b w:val="0"/>
          <w:i w:val="0"/>
          <w:strike w:val="0"/>
          <w:noProof w:val="0"/>
          <w:color w:val="000000"/>
          <w:position w:val="0"/>
          <w:sz w:val="24"/>
          <w:u w:val="none"/>
          <w:vertAlign w:val="baseline"/>
        </w:rPr>
        <w:t xml:space="preserve"> </w:t>
      </w:r>
    </w:p>
    <w:p>
      <w:pPr>
        <w:keepNext w:val="0"/>
        <w:numPr>
          <w:numId w:val="3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Hujahan Balas Pihak Penuntut bertarikh 13 Oktober 2023.</w:t>
      </w:r>
      <w:r>
        <w:rPr>
          <w:rFonts w:ascii="arial" w:eastAsia="arial" w:hAnsi="arial" w:cs="arial"/>
          <w:b w:val="0"/>
          <w:i w:val="0"/>
          <w:strike w:val="0"/>
          <w:noProof w:val="0"/>
          <w:color w:val="000000"/>
          <w:position w:val="0"/>
          <w:sz w:val="24"/>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Peranan Mahkamah</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[8]</w:t>
      </w:r>
      <w:r>
        <w:rPr>
          <w:rFonts w:ascii="arial" w:eastAsia="arial" w:hAnsi="arial" w:cs="arial"/>
          <w:b w:val="0"/>
          <w:i w:val="0"/>
          <w:strike w:val="0"/>
          <w:noProof w:val="0"/>
          <w:color w:val="000000"/>
          <w:position w:val="0"/>
          <w:sz w:val="24"/>
          <w:u w:val="none"/>
          <w:vertAlign w:val="baseline"/>
        </w:rPr>
        <w:t xml:space="preserve">  Peranan Mahkamah ini dalam menimbang sesuatu kes di bawah subseksyen 20(3)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telah diperjelaskan di dalam kes-kes </w:t>
      </w:r>
      <w:r>
        <w:rPr>
          <w:rFonts w:ascii="arial" w:eastAsia="arial" w:hAnsi="arial" w:cs="arial"/>
          <w:b w:val="0"/>
          <w:i/>
          <w:strike w:val="0"/>
          <w:noProof w:val="0"/>
          <w:color w:val="000000"/>
          <w:position w:val="0"/>
          <w:sz w:val="24"/>
          <w:u w:val="none"/>
          <w:vertAlign w:val="baseline"/>
        </w:rPr>
        <w:t xml:space="preserve">Badariah Abdullah lwn Malaysia Airports (Sepang) Sdn Bhd  </w:t>
      </w:r>
      <w:r>
        <w:rPr>
          <w:rFonts w:ascii="arial" w:eastAsia="arial" w:hAnsi="arial" w:cs="arial"/>
          <w:b w:val="0"/>
          <w:i w:val="0"/>
          <w:strike w:val="0"/>
          <w:noProof w:val="0"/>
          <w:color w:val="000000"/>
          <w:position w:val="0"/>
          <w:sz w:val="24"/>
          <w:u w:val="none"/>
          <w:vertAlign w:val="baseline"/>
        </w:rPr>
        <w:t xml:space="preserve">[2023] 2 LNS 1546, </w:t>
      </w:r>
      <w:r>
        <w:rPr>
          <w:rFonts w:ascii="arial" w:eastAsia="arial" w:hAnsi="arial" w:cs="arial"/>
          <w:b w:val="0"/>
          <w:i/>
          <w:strike w:val="0"/>
          <w:noProof w:val="0"/>
          <w:color w:val="000000"/>
          <w:position w:val="0"/>
          <w:sz w:val="24"/>
          <w:u w:val="none"/>
          <w:vertAlign w:val="baseline"/>
        </w:rPr>
        <w:t xml:space="preserve">Nor Azlina Abd Rahim lwn Jurukur Perunding Services Sdn Bhd  </w:t>
      </w:r>
      <w:r>
        <w:rPr>
          <w:rFonts w:ascii="arial" w:eastAsia="arial" w:hAnsi="arial" w:cs="arial"/>
          <w:b w:val="0"/>
          <w:i w:val="0"/>
          <w:strike w:val="0"/>
          <w:noProof w:val="0"/>
          <w:color w:val="000000"/>
          <w:position w:val="0"/>
          <w:sz w:val="24"/>
          <w:u w:val="none"/>
          <w:vertAlign w:val="baseline"/>
        </w:rPr>
        <w:t xml:space="preserve">[2023] MELRU 1728 dan </w:t>
      </w:r>
      <w:r>
        <w:rPr>
          <w:rFonts w:ascii="arial" w:eastAsia="arial" w:hAnsi="arial" w:cs="arial"/>
          <w:b w:val="0"/>
          <w:i/>
          <w:strike w:val="0"/>
          <w:noProof w:val="0"/>
          <w:color w:val="000000"/>
          <w:position w:val="0"/>
          <w:sz w:val="24"/>
          <w:u w:val="none"/>
          <w:vertAlign w:val="baseline"/>
        </w:rPr>
        <w:t xml:space="preserve">Chong Jee Fatt v Tee E &amp; C (Malaysia) Sdn Bhd  </w:t>
      </w:r>
      <w:r>
        <w:rPr>
          <w:rFonts w:ascii="arial" w:eastAsia="arial" w:hAnsi="arial" w:cs="arial"/>
          <w:b w:val="0"/>
          <w:i w:val="0"/>
          <w:strike w:val="0"/>
          <w:noProof w:val="0"/>
          <w:color w:val="000000"/>
          <w:position w:val="0"/>
          <w:sz w:val="24"/>
          <w:u w:val="none"/>
          <w:vertAlign w:val="baseline"/>
        </w:rPr>
        <w:t>[2023] 3 ILR 204</w:t>
      </w:r>
      <w:r>
        <w:rPr>
          <w:rFonts w:ascii="arial" w:eastAsia="arial" w:hAnsi="arial" w:cs="arial"/>
          <w:b w:val="0"/>
          <w:i/>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 xml:space="preserve"> Mahkamah ini telah merujuk kepada kes Mahkamah Agung iaitu dalam kes </w:t>
      </w:r>
      <w:r>
        <w:rPr>
          <w:rFonts w:ascii="arial" w:eastAsia="arial" w:hAnsi="arial" w:cs="arial"/>
          <w:b w:val="0"/>
          <w:i/>
          <w:strike w:val="0"/>
          <w:noProof w:val="0"/>
          <w:color w:val="000000"/>
          <w:position w:val="0"/>
          <w:sz w:val="24"/>
          <w:u w:val="none"/>
          <w:vertAlign w:val="baseline"/>
        </w:rPr>
        <w:t xml:space="preserve">Wong Chee Hong v Cathay Organization (M) Sdn Bhd </w:t>
      </w:r>
      <w:r>
        <w:rPr>
          <w:rFonts w:ascii="arial" w:eastAsia="arial" w:hAnsi="arial" w:cs="arial"/>
          <w:b w:val="0"/>
          <w:i w:val="0"/>
          <w:strike w:val="0"/>
          <w:noProof w:val="0"/>
          <w:color w:val="000000"/>
          <w:position w:val="0"/>
          <w:sz w:val="24"/>
          <w:u w:val="none"/>
          <w:vertAlign w:val="baseline"/>
        </w:rPr>
        <w:t xml:space="preserve">[1988] 1 MLJ 92; [1988] 1 CLJ 45 dan kes Mahkamah Persekutuan iaitu </w:t>
      </w:r>
      <w:r>
        <w:rPr>
          <w:rFonts w:ascii="arial" w:eastAsia="arial" w:hAnsi="arial" w:cs="arial"/>
          <w:b w:val="0"/>
          <w:i/>
          <w:strike w:val="0"/>
          <w:noProof w:val="0"/>
          <w:color w:val="000000"/>
          <w:position w:val="0"/>
          <w:sz w:val="24"/>
          <w:u w:val="none"/>
          <w:vertAlign w:val="baseline"/>
        </w:rPr>
        <w:t xml:space="preserve">Goon Kwee Phoy v J &amp; P Coats (M) Bhd </w:t>
      </w:r>
      <w:r>
        <w:rPr>
          <w:rFonts w:ascii="arial" w:eastAsia="arial" w:hAnsi="arial" w:cs="arial"/>
          <w:b w:val="0"/>
          <w:i w:val="0"/>
          <w:strike w:val="0"/>
          <w:noProof w:val="0"/>
          <w:color w:val="000000"/>
          <w:position w:val="0"/>
          <w:sz w:val="24"/>
          <w:u w:val="none"/>
          <w:vertAlign w:val="baseline"/>
        </w:rPr>
        <w:t xml:space="preserve"> [1981] 2 MLJ 129; [1981] 1 LNS 30. Prinsip-prinsip perundangan yang diketengahkan di dalam kes-kes tersebut adalah jelas dan tidak memerlukan huraian lanjut.</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[9]</w:t>
      </w:r>
      <w:r>
        <w:rPr>
          <w:rFonts w:ascii="arial" w:eastAsia="arial" w:hAnsi="arial" w:cs="arial"/>
          <w:b w:val="0"/>
          <w:i w:val="0"/>
          <w:strike w:val="0"/>
          <w:noProof w:val="0"/>
          <w:color w:val="000000"/>
          <w:position w:val="0"/>
          <w:sz w:val="24"/>
          <w:u w:val="none"/>
          <w:vertAlign w:val="baseline"/>
        </w:rPr>
        <w:t xml:space="preserve">  Jelas peranan Mahkamah di bawah subseksyen 20(3)  Akta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adalah untuk menentukan sama ada penamatan telah berlaku dan dibuat tanpa sebab atau alasan yang munasabah secara imbangan kebarangkalian (sila lihat kes </w:t>
      </w:r>
      <w:r>
        <w:rPr>
          <w:rFonts w:ascii="arial" w:eastAsia="arial" w:hAnsi="arial" w:cs="arial"/>
          <w:b w:val="0"/>
          <w:i/>
          <w:strike w:val="0"/>
          <w:noProof w:val="0"/>
          <w:color w:val="000000"/>
          <w:position w:val="0"/>
          <w:sz w:val="24"/>
          <w:u w:val="none"/>
          <w:vertAlign w:val="baseline"/>
        </w:rPr>
        <w:t xml:space="preserve">Malayan Banking Bhd v Association of Bank Officers, Peninsular Malaysia &amp; Anor </w:t>
      </w:r>
      <w:r>
        <w:rPr>
          <w:rFonts w:ascii="arial" w:eastAsia="arial" w:hAnsi="arial" w:cs="arial"/>
          <w:b w:val="0"/>
          <w:i w:val="0"/>
          <w:strike w:val="0"/>
          <w:noProof w:val="0"/>
          <w:color w:val="000000"/>
          <w:position w:val="0"/>
          <w:sz w:val="24"/>
          <w:u w:val="none"/>
          <w:vertAlign w:val="baseline"/>
        </w:rPr>
        <w:t>[1988] 3 MLJ 204; [1988] 1 CLJ Rep 183. Di dalam kes ini Pihak Yang Menuntut telah ditamatkan perkhidmatan pada 15 Oktober 2021 dan tidak dipertikaikan oleh kedua-dua pihak. Oleh itu, tiada isu berbangkit tentang sama ada berlakunya satu penamatan dalam kes ini serta tarikh penamatan turut tidak menjadi pertikaian.</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Ciri-Ciri Tersendiri Mahkamah Perushaan</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[10]</w:t>
      </w:r>
      <w:r>
        <w:rPr>
          <w:rFonts w:ascii="arial" w:eastAsia="arial" w:hAnsi="arial" w:cs="arial"/>
          <w:b w:val="0"/>
          <w:i w:val="0"/>
          <w:strike w:val="0"/>
          <w:noProof w:val="0"/>
          <w:color w:val="000000"/>
          <w:position w:val="0"/>
          <w:sz w:val="24"/>
          <w:u w:val="none"/>
          <w:vertAlign w:val="baseline"/>
        </w:rPr>
        <w:t xml:space="preserve">  Lazimnya, pertikaian adalah sama ada penamatan Pihak Yang Menuntut telah dilaksanakan tanpa sebab atau alasan munasabah. Namun, dalam kes ini Mahkamah ingin menarik perhatian kepada beberapa ciri tersendiri Mahkamah Perusahaan. Mahkamah Perusahaan merupakan satu mahkamah timbang tara yang turut menggunakan prinsip ekuiti. Malah sekiranya dilihat subseksyen 30(5)  Akta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Mahkamah ini telah diberi kuasa yang agak longgar berkenaan tatacara. Peruntukan ini ada dinyatakan di dalam kes-kes yang Mahkamah telah ulangi di bawah.</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[11]</w:t>
      </w:r>
      <w:r>
        <w:rPr>
          <w:rFonts w:ascii="arial" w:eastAsia="arial" w:hAnsi="arial" w:cs="arial"/>
          <w:b w:val="0"/>
          <w:i w:val="0"/>
          <w:strike w:val="0"/>
          <w:noProof w:val="0"/>
          <w:color w:val="000000"/>
          <w:position w:val="0"/>
          <w:sz w:val="24"/>
          <w:u w:val="none"/>
          <w:vertAlign w:val="baseline"/>
        </w:rPr>
        <w:t xml:space="preserve">  Mahkamah ini tidak seharusnya terlalu terikat dengan kaedah-kaedah yang lazimnya diamalkan di dalam Mahkamah sivil yang biasa. Namun, Mahkamah ini bersetuju dengan pendirian peguamcara Syarikat yang menyatakan Mahkamah ini terikat dengan kes yang terdahulu iaitu kes </w:t>
      </w:r>
      <w:r>
        <w:rPr>
          <w:rFonts w:ascii="arial" w:eastAsia="arial" w:hAnsi="arial" w:cs="arial"/>
          <w:b w:val="0"/>
          <w:i/>
          <w:strike w:val="0"/>
          <w:noProof w:val="0"/>
          <w:color w:val="000000"/>
          <w:position w:val="0"/>
          <w:sz w:val="24"/>
          <w:u w:val="none"/>
          <w:vertAlign w:val="baseline"/>
        </w:rPr>
        <w:t xml:space="preserve">Ranjit Kaur a/p S Gopal Singh v Hotel Excelsior (M) Sdn Bhd </w:t>
      </w:r>
      <w:r>
        <w:rPr>
          <w:rFonts w:ascii="arial" w:eastAsia="arial" w:hAnsi="arial" w:cs="arial"/>
          <w:b w:val="0"/>
          <w:i w:val="0"/>
          <w:strike w:val="0"/>
          <w:noProof w:val="0"/>
          <w:color w:val="000000"/>
          <w:position w:val="0"/>
          <w:sz w:val="24"/>
          <w:u w:val="none"/>
          <w:vertAlign w:val="baseline"/>
        </w:rPr>
        <w:t xml:space="preserve"> [2010] 6 MLJ 1. Di dalam kes itu, Mahkamah Persekutuan telah menyatakan seperti yang berikut:</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i/>
          <w:strike w:val="0"/>
          <w:noProof w:val="0"/>
          <w:color w:val="000000"/>
          <w:position w:val="0"/>
          <w:sz w:val="18"/>
          <w:u w:val="none"/>
          <w:vertAlign w:val="baseline"/>
        </w:rPr>
        <w:t>[26]</w:t>
      </w:r>
      <w:r>
        <w:rPr>
          <w:rFonts w:ascii="arial" w:eastAsia="arial" w:hAnsi="arial" w:cs="arial"/>
          <w:b w:val="0"/>
          <w:i/>
          <w:strike w:val="0"/>
          <w:noProof w:val="0"/>
          <w:color w:val="000000"/>
          <w:position w:val="0"/>
          <w:sz w:val="18"/>
          <w:u w:val="none"/>
          <w:vertAlign w:val="baseline"/>
        </w:rPr>
        <w:t xml:space="preserve"> Learned counsel for the appellant submitted that on the face of</w:t>
      </w:r>
      <w:r>
        <w:rPr>
          <w:rFonts w:ascii="arial" w:eastAsia="arial" w:hAnsi="arial" w:cs="arial"/>
          <w:b w:val="0"/>
          <w:i w:val="0"/>
          <w:strike w:val="0"/>
          <w:noProof w:val="0"/>
          <w:color w:val="000000"/>
          <w:position w:val="0"/>
          <w:sz w:val="18"/>
          <w:u w:val="none"/>
          <w:vertAlign w:val="baseline"/>
        </w:rPr>
        <w:t xml:space="preserve"> s. 30(5) of the  Industrial Relations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xml:space="preserve"> 1967 (the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the practice and procedure governing the Industrial Court rules relating to procedure should be less stringent than that applicable in the civil courts.</w:t>
      </w:r>
      <w:r>
        <w:rPr>
          <w:rFonts w:ascii="arial" w:eastAsia="arial" w:hAnsi="arial" w:cs="arial"/>
          <w:b w:val="0"/>
          <w:i w:val="0"/>
          <w:strike w:val="0"/>
          <w:noProof w:val="0"/>
          <w:color w:val="000000"/>
          <w:position w:val="0"/>
          <w:sz w:val="18"/>
          <w:u w:val="none"/>
          <w:vertAlign w:val="baseline"/>
        </w:rPr>
        <w:t xml:space="preserve"> Section 30(5) </w:t>
      </w:r>
      <w:r>
        <w:rPr>
          <w:rFonts w:ascii="arial" w:eastAsia="arial" w:hAnsi="arial" w:cs="arial"/>
          <w:b w:val="0"/>
          <w:i/>
          <w:strike w:val="0"/>
          <w:noProof w:val="0"/>
          <w:color w:val="000000"/>
          <w:position w:val="0"/>
          <w:sz w:val="18"/>
          <w:u w:val="none"/>
          <w:vertAlign w:val="baseline"/>
        </w:rPr>
        <w:t>reads as follows:</w:t>
      </w:r>
    </w:p>
    <w:p>
      <w:pPr>
        <w:keepNext w:val="0"/>
        <w:spacing w:after="0" w:line="240" w:lineRule="atLeast"/>
        <w:ind w:left="8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800" w:right="0" w:firstLine="0"/>
        <w:jc w:val="both"/>
      </w:pPr>
      <w:r>
        <w:br/>
      </w:r>
      <w:r>
        <w:rPr>
          <w:rFonts w:ascii="arial" w:eastAsia="arial" w:hAnsi="arial" w:cs="arial"/>
          <w:b w:val="0"/>
          <w:i/>
          <w:strike w:val="0"/>
          <w:noProof w:val="0"/>
          <w:color w:val="000000"/>
          <w:position w:val="0"/>
          <w:sz w:val="18"/>
          <w:u w:val="none"/>
          <w:vertAlign w:val="baseline"/>
        </w:rPr>
        <w:t xml:space="preserve">The Court shall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 xml:space="preserve"> according to equity, good conscience and the substantial merits of the case without regard to technicalities and legal form.</w:t>
      </w:r>
      <w:r>
        <w:t>
</w:t>
      </w:r>
    </w:p>
    <w:p>
      <w:pPr>
        <w:keepNext w:val="0"/>
        <w:spacing w:after="0" w:line="240" w:lineRule="atLeast"/>
        <w:ind w:left="8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800" w:right="0" w:firstLine="0"/>
        <w:jc w:val="both"/>
      </w:pPr>
      <w:r>
        <w:br/>
      </w:r>
      <w:r>
        <w:rPr>
          <w:rFonts w:ascii="arial" w:eastAsia="arial" w:hAnsi="arial" w:cs="arial"/>
          <w:b w:val="0"/>
          <w:i/>
          <w:strike w:val="0"/>
          <w:noProof w:val="0"/>
          <w:color w:val="000000"/>
          <w:position w:val="0"/>
          <w:sz w:val="18"/>
          <w:u w:val="none"/>
          <w:vertAlign w:val="baseline"/>
        </w:rPr>
        <w:t>Thus, it was submitted that even though victimisation was not pleaded this should not be invoked to defeat the claim made by the appellant. It was further submitted that the Industrial Court must be allowed to conduct its proceedings with the necessary flexibility to arrive at a decision, so long as it has given special regard to the substantial merits of the case and decides according to equity and good conscience.</w:t>
      </w:r>
      <w:r>
        <w:t>
</w:t>
      </w:r>
    </w:p>
    <w:p>
      <w:pPr>
        <w:keepNext w:val="0"/>
        <w:spacing w:after="0" w:line="240" w:lineRule="atLeast"/>
        <w:ind w:left="800" w:right="0" w:firstLine="0"/>
        <w:jc w:val="both"/>
      </w:pPr>
      <w:r>
        <w:rPr>
          <w:rFonts w:ascii="arial" w:eastAsia="arial" w:hAnsi="arial" w:cs="arial"/>
          <w:b w:val="0"/>
          <w:i w:val="0"/>
          <w:strike w:val="0"/>
          <w:noProof w:val="0"/>
          <w:color w:val="000000"/>
          <w:position w:val="0"/>
          <w:sz w:val="18"/>
          <w:u w:val="none"/>
          <w:vertAlign w:val="baseline"/>
        </w:rPr>
        <w:t xml:space="preserve"> </w:t>
      </w:r>
    </w:p>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i/>
          <w:strike w:val="0"/>
          <w:noProof w:val="0"/>
          <w:color w:val="000000"/>
          <w:position w:val="0"/>
          <w:sz w:val="18"/>
          <w:u w:val="none"/>
          <w:vertAlign w:val="baseline"/>
        </w:rPr>
        <w:t>[27]</w:t>
      </w:r>
      <w:r>
        <w:rPr>
          <w:rFonts w:ascii="arial" w:eastAsia="arial" w:hAnsi="arial" w:cs="arial"/>
          <w:b w:val="0"/>
          <w:i/>
          <w:strike w:val="0"/>
          <w:noProof w:val="0"/>
          <w:color w:val="000000"/>
          <w:position w:val="0"/>
          <w:sz w:val="18"/>
          <w:u w:val="none"/>
          <w:vertAlign w:val="baseline"/>
        </w:rPr>
        <w:t xml:space="preserve"> Learned counsel for the respondent responded by stating that</w:t>
      </w:r>
      <w:r>
        <w:rPr>
          <w:rFonts w:ascii="arial" w:eastAsia="arial" w:hAnsi="arial" w:cs="arial"/>
          <w:b w:val="0"/>
          <w:i w:val="0"/>
          <w:strike w:val="0"/>
          <w:noProof w:val="0"/>
          <w:color w:val="000000"/>
          <w:position w:val="0"/>
          <w:sz w:val="18"/>
          <w:u w:val="none"/>
          <w:vertAlign w:val="baseline"/>
        </w:rPr>
        <w:t xml:space="preserve"> s. 30(5) of the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could not be used to override or circumvent the basic rules of pleading. He submitted that the Industrial Court must confine itself to the four corners of the pleadings place before it. The Federal Court case in Rama Chandran was cited in support.</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i/>
          <w:strike w:val="0"/>
          <w:noProof w:val="0"/>
          <w:color w:val="000000"/>
          <w:position w:val="0"/>
          <w:sz w:val="18"/>
          <w:u w:val="none"/>
          <w:vertAlign w:val="baseline"/>
        </w:rPr>
        <w:t>[28]</w:t>
      </w:r>
      <w:r>
        <w:rPr>
          <w:rFonts w:ascii="arial" w:eastAsia="arial" w:hAnsi="arial" w:cs="arial"/>
          <w:b w:val="0"/>
          <w:i/>
          <w:strike w:val="0"/>
          <w:noProof w:val="0"/>
          <w:color w:val="000000"/>
          <w:position w:val="0"/>
          <w:sz w:val="18"/>
          <w:u w:val="none"/>
          <w:vertAlign w:val="baseline"/>
        </w:rPr>
        <w:t xml:space="preserve"> There is no doubt that the underlying objectives and purposes of the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 xml:space="preserve"> is to ensure social justice to both employers and employees and to advance the progress of industry by bringing harmony and cordial relationship between the parties and to eradicate unfair labour practices, to protect workmen against victimisation by employers and to ensure termination of industrial disputes in a peaceful manner (see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Tanjung Jara Beach Hotel Sdn Bhd v National Union of Hotel &amp; Bar Restaurant Workers Peninsular Malaysia  </w:t>
      </w:r>
      <w:r>
        <w:rPr>
          <w:rFonts w:ascii="arial" w:eastAsia="arial" w:hAnsi="arial" w:cs="arial"/>
          <w:b w:val="0"/>
          <w:i w:val="0"/>
          <w:strike w:val="0"/>
          <w:noProof w:val="0"/>
          <w:color w:val="000000"/>
          <w:position w:val="0"/>
          <w:sz w:val="18"/>
          <w:u w:val="none"/>
          <w:vertAlign w:val="baseline"/>
        </w:rPr>
        <w:t>[2004] 4 CLJ 657</w:t>
      </w:r>
      <w:r>
        <w:rPr>
          <w:rFonts w:ascii="arial" w:eastAsia="arial" w:hAnsi="arial" w:cs="arial"/>
          <w:b w:val="0"/>
          <w:i/>
          <w:strike w:val="0"/>
          <w:noProof w:val="0"/>
          <w:color w:val="000000"/>
          <w:position w:val="0"/>
          <w:sz w:val="18"/>
          <w:u w:val="none"/>
          <w:vertAlign w:val="baseline"/>
        </w:rPr>
        <w:t>). However, as rightly pointed out by learned counsel for the respondent</w:t>
      </w:r>
      <w:r>
        <w:rPr>
          <w:rFonts w:ascii="arial" w:eastAsia="arial" w:hAnsi="arial" w:cs="arial"/>
          <w:b w:val="0"/>
          <w:i w:val="0"/>
          <w:strike w:val="0"/>
          <w:noProof w:val="0"/>
          <w:color w:val="000000"/>
          <w:position w:val="0"/>
          <w:sz w:val="18"/>
          <w:u w:val="none"/>
          <w:vertAlign w:val="baseline"/>
        </w:rPr>
        <w:t xml:space="preserve"> s. 30(5) of the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cannot be used to override or circumvent the basic rules of pleading. The Industrial Court, like the civil courts must confine itself to the four corners of the pleading. This had been held to be so by this court in Rama Chandran which are as follows:</w:t>
      </w:r>
    </w:p>
    <w:p>
      <w:pPr>
        <w:keepNext w:val="0"/>
        <w:spacing w:after="0" w:line="240" w:lineRule="atLeast"/>
        <w:ind w:left="8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800" w:right="0" w:firstLine="0"/>
        <w:jc w:val="both"/>
      </w:pPr>
      <w:r>
        <w:br/>
      </w:r>
      <w:r>
        <w:rPr>
          <w:rFonts w:ascii="arial" w:eastAsia="arial" w:hAnsi="arial" w:cs="arial"/>
          <w:b w:val="0"/>
          <w:i/>
          <w:strike w:val="0"/>
          <w:noProof w:val="0"/>
          <w:color w:val="000000"/>
          <w:position w:val="0"/>
          <w:sz w:val="18"/>
          <w:u w:val="none"/>
          <w:vertAlign w:val="baseline"/>
        </w:rPr>
        <w:t>It is trite law that a party is bound by its pleadings. The Industrial Court must scrutinise the pleadings and identify the issues, take evidence, hear the parties’ arguments and finally pronounce its judgment having strict regards to the issues.</w:t>
      </w:r>
      <w:r>
        <w:t>
</w:t>
      </w:r>
    </w:p>
    <w:p>
      <w:pPr>
        <w:keepNext w:val="0"/>
        <w:spacing w:after="0" w:line="240" w:lineRule="atLeast"/>
        <w:ind w:left="800" w:right="0" w:firstLine="0"/>
        <w:jc w:val="both"/>
      </w:pPr>
      <w:r>
        <w:rPr>
          <w:rFonts w:ascii="arial" w:eastAsia="arial" w:hAnsi="arial" w:cs="arial"/>
          <w:b w:val="0"/>
          <w:i w:val="0"/>
          <w:strike w:val="0"/>
          <w:noProof w:val="0"/>
          <w:color w:val="000000"/>
          <w:position w:val="0"/>
          <w:sz w:val="18"/>
          <w:u w:val="none"/>
          <w:vertAlign w:val="baseline"/>
        </w:rPr>
        <w:t xml:space="preserve"> </w:t>
      </w:r>
    </w:p>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i/>
          <w:strike w:val="0"/>
          <w:noProof w:val="0"/>
          <w:color w:val="000000"/>
          <w:position w:val="0"/>
          <w:sz w:val="18"/>
          <w:u w:val="none"/>
          <w:vertAlign w:val="baseline"/>
        </w:rPr>
        <w:t>[29]</w:t>
      </w:r>
      <w:r>
        <w:rPr>
          <w:rFonts w:ascii="arial" w:eastAsia="arial" w:hAnsi="arial" w:cs="arial"/>
          <w:b w:val="0"/>
          <w:i/>
          <w:strike w:val="0"/>
          <w:noProof w:val="0"/>
          <w:color w:val="000000"/>
          <w:position w:val="0"/>
          <w:sz w:val="18"/>
          <w:u w:val="none"/>
          <w:vertAlign w:val="baseline"/>
        </w:rPr>
        <w:t xml:space="preserve"> There is no reason to depart from the above view. Pleadings in the Industrial Court are as important as in the civil courts. The appellant must plead its case and the Industrial Court must decide on the appellant’s pleaded case. This is important in order to prevent element of surprise and provide room for the other party to adduce evidence once the fact or an issue is pleaded. Thus, the Industrial Court’s duty, to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 xml:space="preserve"> according to equity, good conscience and substantial merits of the case without regard to technicalities and legal form under</w:t>
      </w:r>
      <w:r>
        <w:rPr>
          <w:rFonts w:ascii="arial" w:eastAsia="arial" w:hAnsi="arial" w:cs="arial"/>
          <w:b w:val="0"/>
          <w:i w:val="0"/>
          <w:strike w:val="0"/>
          <w:noProof w:val="0"/>
          <w:color w:val="000000"/>
          <w:position w:val="0"/>
          <w:sz w:val="18"/>
          <w:u w:val="none"/>
          <w:vertAlign w:val="baseline"/>
        </w:rPr>
        <w:t xml:space="preserve"> s. 30(5)</w:t>
      </w:r>
      <w:r>
        <w:rPr>
          <w:rFonts w:ascii="arial" w:eastAsia="arial" w:hAnsi="arial" w:cs="arial"/>
          <w:b w:val="0"/>
          <w:i/>
          <w:strike w:val="0"/>
          <w:noProof w:val="0"/>
          <w:color w:val="000000"/>
          <w:position w:val="0"/>
          <w:sz w:val="18"/>
          <w:u w:val="none"/>
          <w:vertAlign w:val="baseline"/>
        </w:rPr>
        <w:t>, does not give the Industrial Court the right to ignore the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single"/>
          <w:vertAlign w:val="baseline"/>
        </w:rPr>
        <w:t>Industrial Court Rules 1967</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made under the principle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[12]</w:t>
      </w:r>
      <w:r>
        <w:rPr>
          <w:rFonts w:ascii="arial" w:eastAsia="arial" w:hAnsi="arial" w:cs="arial"/>
          <w:b w:val="0"/>
          <w:i w:val="0"/>
          <w:strike w:val="0"/>
          <w:noProof w:val="0"/>
          <w:color w:val="000000"/>
          <w:position w:val="0"/>
          <w:sz w:val="24"/>
          <w:u w:val="none"/>
          <w:vertAlign w:val="baseline"/>
        </w:rPr>
        <w:t xml:space="preserve">  Berdasarkan kes di atas, Mahkamah Perusahaan terikat dengan </w:t>
      </w:r>
      <w:r>
        <w:rPr>
          <w:rFonts w:ascii="arial" w:eastAsia="arial" w:hAnsi="arial" w:cs="arial"/>
          <w:b w:val="0"/>
          <w:i/>
          <w:strike w:val="0"/>
          <w:noProof w:val="0"/>
          <w:color w:val="000000"/>
          <w:position w:val="0"/>
          <w:sz w:val="24"/>
          <w:u w:val="none"/>
          <w:vertAlign w:val="baseline"/>
        </w:rPr>
        <w:t>ratio</w:t>
      </w:r>
      <w:r>
        <w:rPr>
          <w:rFonts w:ascii="arial" w:eastAsia="arial" w:hAnsi="arial" w:cs="arial"/>
          <w:b w:val="0"/>
          <w:i w:val="0"/>
          <w:strike w:val="0"/>
          <w:noProof w:val="0"/>
          <w:color w:val="000000"/>
          <w:position w:val="0"/>
          <w:sz w:val="24"/>
          <w:u w:val="none"/>
          <w:vertAlign w:val="baseline"/>
        </w:rPr>
        <w:t xml:space="preserve"> di atas. Namun, perlu diingatkan bahawa di dalam Mahkamah Perusahaan kehadiran peguamcara bukanlah semudah perwakilan atau pun secara kendiri. Kemasukan peguamcara ke dalam prosiding, walaupun amat dialu-alukan oleh Mahkamah kerana membantu Mahkamah untuk menyelesaikan kes itu, perlu mendapat kebenaran Mahkamah.</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[13]</w:t>
      </w:r>
      <w:r>
        <w:rPr>
          <w:rFonts w:ascii="arial" w:eastAsia="arial" w:hAnsi="arial" w:cs="arial"/>
          <w:b w:val="0"/>
          <w:i w:val="0"/>
          <w:strike w:val="0"/>
          <w:noProof w:val="0"/>
          <w:color w:val="000000"/>
          <w:position w:val="0"/>
          <w:sz w:val="24"/>
          <w:u w:val="none"/>
          <w:vertAlign w:val="baseline"/>
        </w:rPr>
        <w:t xml:space="preserve">  Ini sememangnya satu keperluan di dalam Akta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di mana ia dinyatakan di dalam perenggan 27(1)(d) yang menyatakan seperti yang berikut:</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Appearance and representation at proceedings before the Court</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27.</w:t>
      </w:r>
      <w:r>
        <w:rPr>
          <w:rFonts w:ascii="arial" w:eastAsia="arial" w:hAnsi="arial" w:cs="arial"/>
          <w:b w:val="0"/>
          <w:i w:val="0"/>
          <w:strike w:val="0"/>
          <w:noProof w:val="0"/>
          <w:color w:val="000000"/>
          <w:position w:val="0"/>
          <w:sz w:val="18"/>
          <w:u w:val="none"/>
          <w:vertAlign w:val="baseline"/>
        </w:rPr>
        <w:t xml:space="preserve"> (1) In any proceedings before the Court, a party may—</w:t>
      </w:r>
    </w:p>
    <w:p>
      <w:pPr>
        <w:keepNext w:val="0"/>
        <w:spacing w:after="0" w:line="240" w:lineRule="atLeast"/>
        <w:ind w:left="8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800" w:right="0" w:firstLine="0"/>
        <w:jc w:val="both"/>
      </w:pPr>
      <w:r>
        <w:br/>
      </w:r>
      <w:r>
        <w:rPr>
          <w:rFonts w:ascii="arial" w:eastAsia="arial" w:hAnsi="arial" w:cs="arial"/>
          <w:b w:val="0"/>
          <w:i/>
          <w:strike w:val="0"/>
          <w:noProof w:val="0"/>
          <w:color w:val="000000"/>
          <w:position w:val="0"/>
          <w:sz w:val="18"/>
          <w:u w:val="none"/>
          <w:vertAlign w:val="baseline"/>
        </w:rPr>
        <w:t>(d)</w:t>
      </w:r>
      <w:r>
        <w:rPr>
          <w:rFonts w:ascii="arial" w:eastAsia="arial" w:hAnsi="arial" w:cs="arial"/>
          <w:b w:val="0"/>
          <w:i w:val="0"/>
          <w:strike w:val="0"/>
          <w:noProof w:val="0"/>
          <w:color w:val="000000"/>
          <w:position w:val="0"/>
          <w:sz w:val="18"/>
          <w:u w:val="none"/>
          <w:vertAlign w:val="baseline"/>
        </w:rPr>
        <w:t xml:space="preserve"> where the party is a trade union, or an employer, or a workman, be represented with the permission of the President or the Chairman, by an advocate, or, notwithstanding anything to the contrary contained in any written law relating to the registration of trade unions, by any official of an organization (not being a trade union) of employers or of workmen, as the case may be, registered in Malaysia.</w:t>
      </w:r>
      <w:r>
        <w:t>
</w:t>
      </w:r>
    </w:p>
    <w:p>
      <w:pPr>
        <w:keepNext w:val="0"/>
        <w:spacing w:after="0" w:line="240" w:lineRule="atLeast"/>
        <w:ind w:left="800" w:right="0" w:firstLine="0"/>
        <w:jc w:val="both"/>
      </w:pPr>
      <w:r>
        <w:rPr>
          <w:rFonts w:ascii="arial" w:eastAsia="arial" w:hAnsi="arial" w:cs="arial"/>
          <w:b w:val="0"/>
          <w:i w:val="0"/>
          <w:strike w:val="0"/>
          <w:noProof w:val="0"/>
          <w:color w:val="000000"/>
          <w:position w:val="0"/>
          <w:sz w:val="18"/>
          <w:u w:val="none"/>
          <w:vertAlign w:val="baseline"/>
        </w:rPr>
        <w:t xml:space="preserve"> </w:t>
      </w:r>
    </w:p>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[14]</w:t>
      </w:r>
      <w:r>
        <w:rPr>
          <w:rFonts w:ascii="arial" w:eastAsia="arial" w:hAnsi="arial" w:cs="arial"/>
          <w:b w:val="0"/>
          <w:i w:val="0"/>
          <w:strike w:val="0"/>
          <w:noProof w:val="0"/>
          <w:color w:val="000000"/>
          <w:position w:val="0"/>
          <w:sz w:val="24"/>
          <w:u w:val="none"/>
          <w:vertAlign w:val="baseline"/>
        </w:rPr>
        <w:t xml:space="preserve">  Mahkamah hanya ingin menarik perhatian pihak-pihak berkenaan perkara ini, dan bukannya untuk menolak pendirian kes </w:t>
      </w:r>
      <w:r>
        <w:rPr>
          <w:rFonts w:ascii="arial" w:eastAsia="arial" w:hAnsi="arial" w:cs="arial"/>
          <w:b/>
          <w:i/>
          <w:strike w:val="0"/>
          <w:noProof w:val="0"/>
          <w:color w:val="000000"/>
          <w:position w:val="0"/>
          <w:sz w:val="24"/>
          <w:u w:val="none"/>
          <w:vertAlign w:val="baseline"/>
        </w:rPr>
        <w:t>Ranjit Kaur</w:t>
      </w:r>
      <w:r>
        <w:rPr>
          <w:rFonts w:ascii="arial" w:eastAsia="arial" w:hAnsi="arial" w:cs="arial"/>
          <w:b w:val="0"/>
          <w:i w:val="0"/>
          <w:strike w:val="0"/>
          <w:noProof w:val="0"/>
          <w:color w:val="000000"/>
          <w:position w:val="0"/>
          <w:sz w:val="24"/>
          <w:u w:val="none"/>
          <w:vertAlign w:val="baseline"/>
        </w:rPr>
        <w:t xml:space="preserve">, iaitu wujudnya satu kategori khas yang dibezakan daripada kategori-kategori lain di bawah subseksyen 27(1)  Akta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Terdapat kategori yang dibenarkan menghadiri dan mewakili pihak yang terlibat tanpa intervensi Mahkamah. Oleh itu, Mahkamah bersetuju bahawa terikatnya satu pihak kepada plidings berkait dengan fakta bahawa ia melibatkan kategori khusus iaitu bila melibatkan peguamcara.</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[15]</w:t>
      </w:r>
      <w:r>
        <w:rPr>
          <w:rFonts w:ascii="arial" w:eastAsia="arial" w:hAnsi="arial" w:cs="arial"/>
          <w:b w:val="0"/>
          <w:i w:val="0"/>
          <w:strike w:val="0"/>
          <w:noProof w:val="0"/>
          <w:color w:val="000000"/>
          <w:position w:val="0"/>
          <w:sz w:val="24"/>
          <w:u w:val="none"/>
          <w:vertAlign w:val="baseline"/>
        </w:rPr>
        <w:t xml:space="preserve">  Dalam kes ini, kedua-dua pihak diwakili oleh peguamcara dan ini memudahkan penerimaan kes </w:t>
      </w:r>
      <w:r>
        <w:rPr>
          <w:rFonts w:ascii="arial" w:eastAsia="arial" w:hAnsi="arial" w:cs="arial"/>
          <w:b/>
          <w:i/>
          <w:strike w:val="0"/>
          <w:noProof w:val="0"/>
          <w:color w:val="000000"/>
          <w:position w:val="0"/>
          <w:sz w:val="24"/>
          <w:u w:val="none"/>
          <w:vertAlign w:val="baseline"/>
        </w:rPr>
        <w:t>Ranjit Kaur</w:t>
      </w:r>
      <w:r>
        <w:rPr>
          <w:rFonts w:ascii="arial" w:eastAsia="arial" w:hAnsi="arial" w:cs="arial"/>
          <w:b w:val="0"/>
          <w:i w:val="0"/>
          <w:strike w:val="0"/>
          <w:noProof w:val="0"/>
          <w:color w:val="000000"/>
          <w:position w:val="0"/>
          <w:sz w:val="24"/>
          <w:u w:val="none"/>
          <w:vertAlign w:val="baseline"/>
        </w:rPr>
        <w:t xml:space="preserve"> di atas. Walaupun sedemikian, Mahkamah ini turut merujuk kepada kes Mahkamah Rayuan iaitu kes </w:t>
      </w:r>
      <w:r>
        <w:rPr>
          <w:rFonts w:ascii="arial" w:eastAsia="arial" w:hAnsi="arial" w:cs="arial"/>
          <w:b w:val="0"/>
          <w:i/>
          <w:strike w:val="0"/>
          <w:noProof w:val="0"/>
          <w:color w:val="000000"/>
          <w:position w:val="0"/>
          <w:sz w:val="24"/>
          <w:u w:val="none"/>
          <w:vertAlign w:val="baseline"/>
        </w:rPr>
        <w:t xml:space="preserve">Matrix Global Education Sdn Bhd v Felix Lee Eng Boon </w:t>
      </w:r>
      <w:r>
        <w:rPr>
          <w:rFonts w:ascii="arial" w:eastAsia="arial" w:hAnsi="arial" w:cs="arial"/>
          <w:b w:val="0"/>
          <w:i w:val="0"/>
          <w:strike w:val="0"/>
          <w:noProof w:val="0"/>
          <w:color w:val="000000"/>
          <w:position w:val="0"/>
          <w:sz w:val="24"/>
          <w:u w:val="none"/>
          <w:vertAlign w:val="baseline"/>
        </w:rPr>
        <w:t xml:space="preserve"> [2023] 1 MLJ 880 ; [2023] 1 ILR 400 yang telah menyatakan seperti yang berikut:</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i w:val="0"/>
          <w:strike w:val="0"/>
          <w:noProof w:val="0"/>
          <w:color w:val="000000"/>
          <w:position w:val="0"/>
          <w:sz w:val="18"/>
          <w:u w:val="none"/>
          <w:vertAlign w:val="baseline"/>
        </w:rPr>
        <w:t>[63]</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We do not think an Industrial Court’s proceedings and pleadings should be subject to greater strictures that those of a superior court, being an employment tribunal that is enjoined by</w:t>
      </w:r>
      <w:r>
        <w:rPr>
          <w:rFonts w:ascii="arial" w:eastAsia="arial" w:hAnsi="arial" w:cs="arial"/>
          <w:b w:val="0"/>
          <w:i w:val="0"/>
          <w:strike w:val="0"/>
          <w:noProof w:val="0"/>
          <w:color w:val="000000"/>
          <w:position w:val="0"/>
          <w:sz w:val="18"/>
          <w:u w:val="none"/>
          <w:vertAlign w:val="baseline"/>
        </w:rPr>
        <w:t xml:space="preserve"> s. 30(5) </w:t>
      </w:r>
      <w:r>
        <w:rPr>
          <w:rFonts w:ascii="arial" w:eastAsia="arial" w:hAnsi="arial" w:cs="arial"/>
          <w:b w:val="0"/>
          <w:i/>
          <w:strike w:val="0"/>
          <w:noProof w:val="0"/>
          <w:color w:val="000000"/>
          <w:position w:val="0"/>
          <w:sz w:val="18"/>
          <w:u w:val="none"/>
          <w:vertAlign w:val="baseline"/>
        </w:rPr>
        <w:t>as follows</w:t>
      </w:r>
      <w:r>
        <w:rPr>
          <w:rFonts w:ascii="arial" w:eastAsia="arial" w:hAnsi="arial" w:cs="arial"/>
          <w:b w:val="0"/>
          <w:i w:val="0"/>
          <w:strike w:val="0"/>
          <w:noProof w:val="0"/>
          <w:color w:val="000000"/>
          <w:position w:val="0"/>
          <w:sz w:val="18"/>
          <w:u w:val="none"/>
          <w:vertAlign w:val="baseline"/>
        </w:rPr>
        <w:t>:</w:t>
      </w:r>
    </w:p>
    <w:p>
      <w:pPr>
        <w:keepNext w:val="0"/>
        <w:spacing w:after="0" w:line="240" w:lineRule="atLeast"/>
        <w:ind w:left="8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800" w:right="0" w:firstLine="0"/>
        <w:jc w:val="both"/>
      </w:pPr>
      <w:r>
        <w:br/>
      </w:r>
      <w:r>
        <w:rPr>
          <w:rFonts w:ascii="arial" w:eastAsia="arial" w:hAnsi="arial" w:cs="arial"/>
          <w:b w:val="0"/>
          <w:i w:val="0"/>
          <w:strike w:val="0"/>
          <w:noProof w:val="0"/>
          <w:color w:val="000000"/>
          <w:position w:val="0"/>
          <w:sz w:val="18"/>
          <w:u w:val="none"/>
          <w:vertAlign w:val="baseline"/>
        </w:rPr>
        <w:t xml:space="preserve">(5) The Court shall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xml:space="preserve"> according to </w:t>
      </w:r>
      <w:r>
        <w:rPr>
          <w:rFonts w:ascii="arial" w:eastAsia="arial" w:hAnsi="arial" w:cs="arial"/>
          <w:b/>
          <w:i w:val="0"/>
          <w:strike w:val="0"/>
          <w:noProof w:val="0"/>
          <w:color w:val="000000"/>
          <w:position w:val="0"/>
          <w:sz w:val="18"/>
          <w:u w:val="none"/>
          <w:vertAlign w:val="baseline"/>
        </w:rPr>
        <w:t>equity, good conscience and the substantial merits of the case</w:t>
      </w:r>
      <w:r>
        <w:rPr>
          <w:rFonts w:ascii="arial" w:eastAsia="arial" w:hAnsi="arial" w:cs="arial"/>
          <w:b w:val="0"/>
          <w:i w:val="0"/>
          <w:strike w:val="0"/>
          <w:noProof w:val="0"/>
          <w:color w:val="000000"/>
          <w:position w:val="0"/>
          <w:sz w:val="18"/>
          <w:u w:val="none"/>
          <w:vertAlign w:val="baseline"/>
        </w:rPr>
        <w:t xml:space="preserve"> without regard to technicalities and legal form.</w:t>
      </w:r>
      <w:r>
        <w:t>
</w:t>
      </w:r>
    </w:p>
    <w:p>
      <w:pPr>
        <w:keepNext w:val="0"/>
        <w:spacing w:after="0" w:line="240" w:lineRule="atLeast"/>
        <w:ind w:left="8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800" w:right="0" w:firstLine="0"/>
        <w:jc w:val="both"/>
      </w:pPr>
      <w:r>
        <w:br/>
      </w:r>
      <w:r>
        <w:rPr>
          <w:rFonts w:ascii="arial" w:eastAsia="arial" w:hAnsi="arial" w:cs="arial"/>
          <w:b w:val="0"/>
          <w:i w:val="0"/>
          <w:strike w:val="0"/>
          <w:noProof w:val="0"/>
          <w:color w:val="000000"/>
          <w:position w:val="0"/>
          <w:sz w:val="18"/>
          <w:u w:val="none"/>
          <w:vertAlign w:val="baseline"/>
        </w:rPr>
        <w:t>[emphasis added]</w:t>
      </w:r>
      <w:r>
        <w:t>
</w:t>
      </w:r>
    </w:p>
    <w:p>
      <w:pPr>
        <w:keepNext w:val="0"/>
        <w:spacing w:after="0" w:line="240" w:lineRule="atLeast"/>
        <w:ind w:left="800" w:right="0" w:firstLine="0"/>
        <w:jc w:val="both"/>
      </w:pPr>
      <w:r>
        <w:rPr>
          <w:rFonts w:ascii="arial" w:eastAsia="arial" w:hAnsi="arial" w:cs="arial"/>
          <w:b w:val="0"/>
          <w:i w:val="0"/>
          <w:strike w:val="0"/>
          <w:noProof w:val="0"/>
          <w:color w:val="000000"/>
          <w:position w:val="0"/>
          <w:sz w:val="18"/>
          <w:u w:val="none"/>
          <w:vertAlign w:val="baseline"/>
        </w:rPr>
        <w:t xml:space="preserve"> </w:t>
      </w:r>
    </w:p>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It is clear that undue technicality is eschewed with a bias towards substance rather than form and with that a staying and steering clear from the sophisti-cation of a trial court.</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i/>
          <w:strike w:val="0"/>
          <w:noProof w:val="0"/>
          <w:color w:val="000000"/>
          <w:position w:val="0"/>
          <w:sz w:val="18"/>
          <w:u w:val="none"/>
          <w:vertAlign w:val="baseline"/>
        </w:rPr>
        <w:t>[64]</w:t>
      </w:r>
      <w:r>
        <w:rPr>
          <w:rFonts w:ascii="arial" w:eastAsia="arial" w:hAnsi="arial" w:cs="arial"/>
          <w:b w:val="0"/>
          <w:i/>
          <w:strike w:val="0"/>
          <w:noProof w:val="0"/>
          <w:color w:val="000000"/>
          <w:position w:val="0"/>
          <w:sz w:val="18"/>
          <w:u w:val="none"/>
          <w:vertAlign w:val="baseline"/>
        </w:rPr>
        <w:t xml:space="preserve"> We would therefore hearken to the clarion call of the Federal Court in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Boustead Trading (1985) Sdn Bhd v Arab-Malaysian Merchant Bank Bhd  </w:t>
      </w:r>
      <w:r>
        <w:rPr>
          <w:rFonts w:ascii="arial" w:eastAsia="arial" w:hAnsi="arial" w:cs="arial"/>
          <w:b w:val="0"/>
          <w:i w:val="0"/>
          <w:strike w:val="0"/>
          <w:noProof w:val="0"/>
          <w:color w:val="000000"/>
          <w:position w:val="0"/>
          <w:sz w:val="18"/>
          <w:u w:val="none"/>
          <w:vertAlign w:val="baseline"/>
        </w:rPr>
        <w:t>[1995] 4 CLJ 283; ; [1995] 3 MLJ 331</w:t>
      </w:r>
      <w:r>
        <w:rPr>
          <w:rFonts w:ascii="arial" w:eastAsia="arial" w:hAnsi="arial" w:cs="arial"/>
          <w:b w:val="0"/>
          <w:i/>
          <w:strike w:val="0"/>
          <w:noProof w:val="0"/>
          <w:color w:val="000000"/>
          <w:position w:val="0"/>
          <w:sz w:val="18"/>
          <w:u w:val="none"/>
          <w:vertAlign w:val="baseline"/>
        </w:rPr>
        <w:t xml:space="preserve"> to go back to first principle and to re-mind ourselves of the following:</w:t>
      </w:r>
    </w:p>
    <w:p>
      <w:pPr>
        <w:keepNext w:val="0"/>
        <w:spacing w:after="0" w:line="240" w:lineRule="atLeast"/>
        <w:ind w:left="8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800" w:right="0" w:firstLine="0"/>
        <w:jc w:val="both"/>
      </w:pPr>
      <w:r>
        <w:br/>
      </w:r>
      <w:r>
        <w:rPr>
          <w:rFonts w:ascii="arial" w:eastAsia="arial" w:hAnsi="arial" w:cs="arial"/>
          <w:b w:val="0"/>
          <w:i/>
          <w:strike w:val="0"/>
          <w:noProof w:val="0"/>
          <w:color w:val="000000"/>
          <w:position w:val="0"/>
          <w:sz w:val="18"/>
          <w:u w:val="none"/>
          <w:vertAlign w:val="baseline"/>
        </w:rPr>
        <w:t>In our judgment, the requirement of these rules is sufficiently met if the material facts giving rise to the estoppel are sufficiently pleaded without actually using the term ‘estopped’. (See,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Lal Somnath Singh &amp; Ors v Ambika Prasad AIR  </w:t>
      </w:r>
      <w:r>
        <w:rPr>
          <w:rFonts w:ascii="arial" w:eastAsia="arial" w:hAnsi="arial" w:cs="arial"/>
          <w:b w:val="0"/>
          <w:i w:val="0"/>
          <w:strike w:val="0"/>
          <w:noProof w:val="0"/>
          <w:color w:val="000000"/>
          <w:position w:val="0"/>
          <w:sz w:val="18"/>
          <w:u w:val="none"/>
          <w:vertAlign w:val="baseline"/>
        </w:rPr>
        <w:t>1950 All 121</w:t>
      </w:r>
      <w:r>
        <w:rPr>
          <w:rFonts w:ascii="arial" w:eastAsia="arial" w:hAnsi="arial" w:cs="arial"/>
          <w:b w:val="0"/>
          <w:i/>
          <w:strike w:val="0"/>
          <w:noProof w:val="0"/>
          <w:color w:val="000000"/>
          <w:position w:val="0"/>
          <w:sz w:val="18"/>
          <w:u w:val="none"/>
          <w:vertAlign w:val="baseline"/>
        </w:rPr>
        <w:t xml:space="preserve"> at p. 131). It may be desirable for a pleader to use that term; but it is not fatal if he does not. </w:t>
      </w:r>
      <w:r>
        <w:rPr>
          <w:rFonts w:ascii="arial" w:eastAsia="arial" w:hAnsi="arial" w:cs="arial"/>
          <w:b/>
          <w:i/>
          <w:strike w:val="0"/>
          <w:noProof w:val="0"/>
          <w:color w:val="000000"/>
          <w:position w:val="0"/>
          <w:sz w:val="18"/>
          <w:u w:val="none"/>
          <w:vertAlign w:val="baseline"/>
        </w:rPr>
        <w:t>One must not lose sight of the object of modern pleadings which is to prevent surprise and to enable disputes to be litigated in an orderly fashion</w:t>
      </w:r>
      <w:r>
        <w:rPr>
          <w:rFonts w:ascii="arial" w:eastAsia="arial" w:hAnsi="arial" w:cs="arial"/>
          <w:b w:val="0"/>
          <w:i/>
          <w:strike w:val="0"/>
          <w:noProof w:val="0"/>
          <w:color w:val="000000"/>
          <w:position w:val="0"/>
          <w:sz w:val="18"/>
          <w:u w:val="none"/>
          <w:vertAlign w:val="baseline"/>
        </w:rPr>
        <w:t>:</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Raja Abdul Malek Muzaffar Shah bin Raja Shahruzzaman v Setiausaha Suruhanjaya Pasukan Polis &amp; Ors  </w:t>
      </w:r>
      <w:r>
        <w:rPr>
          <w:rFonts w:ascii="arial" w:eastAsia="arial" w:hAnsi="arial" w:cs="arial"/>
          <w:b w:val="0"/>
          <w:i w:val="0"/>
          <w:strike w:val="0"/>
          <w:noProof w:val="0"/>
          <w:color w:val="000000"/>
          <w:position w:val="0"/>
          <w:sz w:val="18"/>
          <w:u w:val="none"/>
          <w:vertAlign w:val="baseline"/>
        </w:rPr>
        <w:t xml:space="preserve">[1995] 1 CLJ 619; ; [1995] 1 MLJ 308 </w:t>
      </w:r>
      <w:r>
        <w:rPr>
          <w:rFonts w:ascii="arial" w:eastAsia="arial" w:hAnsi="arial" w:cs="arial"/>
          <w:b w:val="0"/>
          <w:i/>
          <w:strike w:val="0"/>
          <w:noProof w:val="0"/>
          <w:color w:val="000000"/>
          <w:position w:val="0"/>
          <w:sz w:val="18"/>
          <w:u w:val="none"/>
          <w:vertAlign w:val="baseline"/>
        </w:rPr>
        <w:t>at p. 320.</w:t>
      </w:r>
      <w:r>
        <w:t>
</w:t>
      </w:r>
    </w:p>
    <w:p>
      <w:pPr>
        <w:keepNext w:val="0"/>
        <w:spacing w:after="0" w:line="240" w:lineRule="atLeast"/>
        <w:ind w:left="8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800" w:right="0" w:firstLine="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emphasis added</w:t>
      </w:r>
      <w:r>
        <w:rPr>
          <w:rFonts w:ascii="arial" w:eastAsia="arial" w:hAnsi="arial" w:cs="arial"/>
          <w:b w:val="0"/>
          <w:i w:val="0"/>
          <w:strike w:val="0"/>
          <w:noProof w:val="0"/>
          <w:color w:val="000000"/>
          <w:position w:val="0"/>
          <w:sz w:val="18"/>
          <w:u w:val="none"/>
          <w:vertAlign w:val="baseline"/>
        </w:rPr>
        <w:t>)</w:t>
      </w:r>
      <w:r>
        <w:t>
</w:t>
      </w:r>
    </w:p>
    <w:p>
      <w:pPr>
        <w:keepNext w:val="0"/>
        <w:spacing w:after="0" w:line="240" w:lineRule="atLeast"/>
        <w:ind w:left="800" w:right="0" w:firstLine="0"/>
        <w:jc w:val="both"/>
      </w:pPr>
      <w:r>
        <w:rPr>
          <w:rFonts w:ascii="arial" w:eastAsia="arial" w:hAnsi="arial" w:cs="arial"/>
          <w:b w:val="0"/>
          <w:i w:val="0"/>
          <w:strike w:val="0"/>
          <w:noProof w:val="0"/>
          <w:color w:val="000000"/>
          <w:position w:val="0"/>
          <w:sz w:val="18"/>
          <w:u w:val="none"/>
          <w:vertAlign w:val="baseline"/>
        </w:rPr>
        <w:t xml:space="preserve"> </w:t>
      </w:r>
    </w:p>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i/>
          <w:strike w:val="0"/>
          <w:noProof w:val="0"/>
          <w:color w:val="000000"/>
          <w:position w:val="0"/>
          <w:sz w:val="18"/>
          <w:u w:val="none"/>
          <w:vertAlign w:val="baseline"/>
        </w:rPr>
        <w:t>[65]</w:t>
      </w:r>
      <w:r>
        <w:rPr>
          <w:rFonts w:ascii="arial" w:eastAsia="arial" w:hAnsi="arial" w:cs="arial"/>
          <w:b w:val="0"/>
          <w:i/>
          <w:strike w:val="0"/>
          <w:noProof w:val="0"/>
          <w:color w:val="000000"/>
          <w:position w:val="0"/>
          <w:sz w:val="18"/>
          <w:u w:val="none"/>
          <w:vertAlign w:val="baseline"/>
        </w:rPr>
        <w:t xml:space="preserve"> In like vein we are reminded of the observation of the Court of Appeal in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Quah Swee Khoon v Sime Darby Bhd  </w:t>
      </w:r>
      <w:r>
        <w:rPr>
          <w:rFonts w:ascii="arial" w:eastAsia="arial" w:hAnsi="arial" w:cs="arial"/>
          <w:b w:val="0"/>
          <w:i w:val="0"/>
          <w:strike w:val="0"/>
          <w:noProof w:val="0"/>
          <w:color w:val="000000"/>
          <w:position w:val="0"/>
          <w:sz w:val="18"/>
          <w:u w:val="none"/>
          <w:vertAlign w:val="baseline"/>
        </w:rPr>
        <w:t xml:space="preserve">[2001] 1 CLJ 9 </w:t>
      </w:r>
      <w:r>
        <w:rPr>
          <w:rFonts w:ascii="arial" w:eastAsia="arial" w:hAnsi="arial" w:cs="arial"/>
          <w:b w:val="0"/>
          <w:i/>
          <w:strike w:val="0"/>
          <w:noProof w:val="0"/>
          <w:color w:val="000000"/>
          <w:position w:val="0"/>
          <w:sz w:val="18"/>
          <w:u w:val="none"/>
          <w:vertAlign w:val="baseline"/>
        </w:rPr>
        <w:t>where a failure to use the terms “constructive dismissal” in the claimant’s pleading was held not to be fatal so long as the narration of events and effect were pleaded.</w:t>
      </w:r>
      <w:r>
        <w:rPr>
          <w:rFonts w:ascii="arial" w:eastAsia="arial" w:hAnsi="arial" w:cs="arial"/>
          <w:b w:val="0"/>
          <w:i w:val="0"/>
          <w:strike w:val="0"/>
          <w:noProof w:val="0"/>
          <w:color w:val="000000"/>
          <w:position w:val="0"/>
          <w:sz w:val="18"/>
          <w:u w:val="none"/>
          <w:vertAlign w:val="baseline"/>
        </w:rPr>
        <w:t>”</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[16]</w:t>
      </w:r>
      <w:r>
        <w:rPr>
          <w:rFonts w:ascii="arial" w:eastAsia="arial" w:hAnsi="arial" w:cs="arial"/>
          <w:b w:val="0"/>
          <w:i w:val="0"/>
          <w:strike w:val="0"/>
          <w:noProof w:val="0"/>
          <w:color w:val="000000"/>
          <w:position w:val="0"/>
          <w:sz w:val="24"/>
          <w:u w:val="none"/>
          <w:vertAlign w:val="baseline"/>
        </w:rPr>
        <w:t xml:space="preserve">  Apa yang dapat ditafsirkan daripada kes di atas adalah, perkara yang terikat di dalam plidings tidak semestinya perlu dinyatakan atau </w:t>
      </w:r>
      <w:r>
        <w:rPr>
          <w:rFonts w:ascii="arial" w:eastAsia="arial" w:hAnsi="arial" w:cs="arial"/>
          <w:b w:val="0"/>
          <w:i/>
          <w:strike w:val="0"/>
          <w:noProof w:val="0"/>
          <w:color w:val="000000"/>
          <w:position w:val="0"/>
          <w:sz w:val="24"/>
          <w:u w:val="none"/>
          <w:vertAlign w:val="baseline"/>
        </w:rPr>
        <w:t>expressly stated</w:t>
      </w:r>
      <w:r>
        <w:rPr>
          <w:rFonts w:ascii="arial" w:eastAsia="arial" w:hAnsi="arial" w:cs="arial"/>
          <w:b w:val="0"/>
          <w:i w:val="0"/>
          <w:strike w:val="0"/>
          <w:noProof w:val="0"/>
          <w:color w:val="000000"/>
          <w:position w:val="0"/>
          <w:sz w:val="24"/>
          <w:u w:val="none"/>
          <w:vertAlign w:val="baseline"/>
        </w:rPr>
        <w:t xml:space="preserve">. Sekiranya perkara yang dibangkitkan perlu merujuk kepada satu perkara yang tidak dinyatakan dengan jelas ataupun, merupakan satu perkara yang menjadi rentetan daripada satu perkara yang telah dinyatakan dan </w:t>
      </w:r>
      <w:r>
        <w:rPr>
          <w:rFonts w:ascii="arial" w:eastAsia="arial" w:hAnsi="arial" w:cs="arial"/>
          <w:b w:val="0"/>
          <w:i/>
          <w:strike w:val="0"/>
          <w:noProof w:val="0"/>
          <w:color w:val="000000"/>
          <w:position w:val="0"/>
          <w:sz w:val="24"/>
          <w:u w:val="none"/>
          <w:vertAlign w:val="baseline"/>
        </w:rPr>
        <w:t>vice versa</w:t>
      </w:r>
      <w:r>
        <w:rPr>
          <w:rFonts w:ascii="arial" w:eastAsia="arial" w:hAnsi="arial" w:cs="arial"/>
          <w:b w:val="0"/>
          <w:i w:val="0"/>
          <w:strike w:val="0"/>
          <w:noProof w:val="0"/>
          <w:color w:val="000000"/>
          <w:position w:val="0"/>
          <w:sz w:val="24"/>
          <w:u w:val="none"/>
          <w:vertAlign w:val="baseline"/>
        </w:rPr>
        <w:t>, maka ia turut dianggap sebagai telah diplidkan.</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[17]</w:t>
      </w:r>
      <w:r>
        <w:rPr>
          <w:rFonts w:ascii="arial" w:eastAsia="arial" w:hAnsi="arial" w:cs="arial"/>
          <w:b w:val="0"/>
          <w:i w:val="0"/>
          <w:strike w:val="0"/>
          <w:noProof w:val="0"/>
          <w:color w:val="000000"/>
          <w:position w:val="0"/>
          <w:sz w:val="24"/>
          <w:u w:val="none"/>
          <w:vertAlign w:val="baseline"/>
        </w:rPr>
        <w:t>  Peguamcara Syarikat telah membantah sekeras-kerasnya berkenaan rujukan kepada beberapa perjanjian yang telah ditandatangani sebelum perjanjian yang dikatakan mengakibatkan Syarikat mengalami kerugian. Menurut saksi-saksi Syarikat sendiri, perjanjian-perjanjian tersebut memang berkait. Ini sudah memadai untuk menunjukkan bahawa walaupun perjanjian-perjanjian tersebut tidak diplidkan secara nyata, namun dari sudut kes ini ia telah dinyatakan secara tidak langsung apabila membangkitkan isu perjanjian yang menjadi perkara pokok kes itu.</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[18]</w:t>
      </w:r>
      <w:r>
        <w:rPr>
          <w:rFonts w:ascii="arial" w:eastAsia="arial" w:hAnsi="arial" w:cs="arial"/>
          <w:b w:val="0"/>
          <w:i w:val="0"/>
          <w:strike w:val="0"/>
          <w:noProof w:val="0"/>
          <w:color w:val="000000"/>
          <w:position w:val="0"/>
          <w:sz w:val="24"/>
          <w:u w:val="none"/>
          <w:vertAlign w:val="baseline"/>
        </w:rPr>
        <w:t>  Secara pemikiran orang yang munsabah, perjanjian yang dipertikaian itu hanya berlaku rentetan perjanjian-perjanjian yang lain. Dari sudut pandangan lain pula perjanjian yang dipertikaikan tidak akan digubal tanpa wujudnya atau rujukan terhadap perjanjian yang tidak diplidkan tersebut. Oleh itu, Mahkamah ini berpendirian bahawa sekiranya perlu, Mahkamah ini boleh merujuk kepada perjanjian-perjanjian yang tidak diplidkan secara nyata.</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Penamatan dibuat Tanpa Sebab atau Alasan yang Munasabah</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[19]</w:t>
      </w:r>
      <w:r>
        <w:rPr>
          <w:rFonts w:ascii="arial" w:eastAsia="arial" w:hAnsi="arial" w:cs="arial"/>
          <w:b w:val="0"/>
          <w:i w:val="0"/>
          <w:strike w:val="0"/>
          <w:noProof w:val="0"/>
          <w:color w:val="000000"/>
          <w:position w:val="0"/>
          <w:sz w:val="24"/>
          <w:u w:val="none"/>
          <w:vertAlign w:val="baseline"/>
        </w:rPr>
        <w:t xml:space="preserve">  Dalam kes-kes rujukan di bawah subseksyen 20(3)  Akta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Mahkamah telah merujuk satu lagi kes utama iaitu kes </w:t>
      </w:r>
      <w:r>
        <w:rPr>
          <w:rFonts w:ascii="arial" w:eastAsia="arial" w:hAnsi="arial" w:cs="arial"/>
          <w:b w:val="0"/>
          <w:i/>
          <w:strike w:val="0"/>
          <w:noProof w:val="0"/>
          <w:color w:val="000000"/>
          <w:position w:val="0"/>
          <w:sz w:val="24"/>
          <w:u w:val="none"/>
          <w:vertAlign w:val="baseline"/>
        </w:rPr>
        <w:t xml:space="preserve">Milan Auto Sdn Bhd v Wong Seh Yen </w:t>
      </w:r>
      <w:r>
        <w:rPr>
          <w:rFonts w:ascii="arial" w:eastAsia="arial" w:hAnsi="arial" w:cs="arial"/>
          <w:b w:val="0"/>
          <w:i w:val="0"/>
          <w:strike w:val="0"/>
          <w:noProof w:val="0"/>
          <w:color w:val="000000"/>
          <w:position w:val="0"/>
          <w:sz w:val="24"/>
          <w:u w:val="none"/>
          <w:vertAlign w:val="baseline"/>
        </w:rPr>
        <w:t xml:space="preserve"> [1995] 3 MLJ 537; [1995] 4 CLJ 449. Dalam kes itu, Mahkamah Persekutuan telah memutuskan seperti yang berikut:</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“Diputuskan:</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Oleh Mohd Azmi bin Kamarudddin HMP (menyampaikan penghakiman Mahkamah):</w:t>
      </w:r>
    </w:p>
    <w:p>
      <w:pPr>
        <w:keepNext w:val="0"/>
        <w:spacing w:after="0" w:line="240" w:lineRule="atLeast"/>
        <w:ind w:left="8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800" w:right="0" w:firstLine="0"/>
        <w:jc w:val="both"/>
      </w:pPr>
      <w:r>
        <w:br/>
      </w:r>
      <w:r>
        <w:rPr>
          <w:rFonts w:ascii="arial" w:eastAsia="arial" w:hAnsi="arial" w:cs="arial"/>
          <w:b/>
          <w:i w:val="0"/>
          <w:strike w:val="0"/>
          <w:noProof w:val="0"/>
          <w:color w:val="000000"/>
          <w:position w:val="0"/>
          <w:sz w:val="18"/>
          <w:u w:val="none"/>
          <w:vertAlign w:val="baseline"/>
        </w:rPr>
        <w:t>[1]</w:t>
      </w:r>
      <w:r>
        <w:rPr>
          <w:rFonts w:ascii="arial" w:eastAsia="arial" w:hAnsi="arial" w:cs="arial"/>
          <w:b w:val="0"/>
          <w:i w:val="0"/>
          <w:strike w:val="0"/>
          <w:noProof w:val="0"/>
          <w:color w:val="000000"/>
          <w:position w:val="0"/>
          <w:sz w:val="18"/>
          <w:u w:val="none"/>
          <w:vertAlign w:val="baseline"/>
        </w:rPr>
        <w:t xml:space="preserve"> Peranan Mahkamah Perindustrian, dalam kes pemberhentian atas rujukan di bawah s. 20 adalah dua hala. Ianya </w:t>
      </w:r>
      <w:r>
        <w:rPr>
          <w:rFonts w:ascii="arial" w:eastAsia="arial" w:hAnsi="arial" w:cs="arial"/>
          <w:b/>
          <w:i w:val="0"/>
          <w:strike w:val="0"/>
          <w:noProof w:val="0"/>
          <w:color w:val="000000"/>
          <w:position w:val="0"/>
          <w:sz w:val="18"/>
          <w:u w:val="none"/>
          <w:vertAlign w:val="baseline"/>
        </w:rPr>
        <w:t>haruslah menentukan samada sa-lah-laku yang dilakukan oleh pekerja tersebut telah dibuktikan dan kedua, samada salahlaku yang terbukti itu boleh menjadi alasan-alasan atau sebab-sebab yang adil untuk pemberhentian tersebut</w:t>
      </w:r>
      <w:r>
        <w:rPr>
          <w:rFonts w:ascii="arial" w:eastAsia="arial" w:hAnsi="arial" w:cs="arial"/>
          <w:b w:val="0"/>
          <w:i w:val="0"/>
          <w:strike w:val="0"/>
          <w:noProof w:val="0"/>
          <w:color w:val="000000"/>
          <w:position w:val="0"/>
          <w:sz w:val="18"/>
          <w:u w:val="none"/>
          <w:vertAlign w:val="baseline"/>
        </w:rPr>
        <w:t xml:space="preserve">. Kegagalan unk menentukan isu-isu ini atas merit adalah merupakan kesilapan bi-dangkuasa membolehkan campurtangan Mahkamah Tinggi melalui </w:t>
      </w:r>
      <w:r>
        <w:rPr>
          <w:rFonts w:ascii="arial" w:eastAsia="arial" w:hAnsi="arial" w:cs="arial"/>
          <w:b w:val="0"/>
          <w:i/>
          <w:strike w:val="0"/>
          <w:noProof w:val="0"/>
          <w:color w:val="000000"/>
          <w:position w:val="0"/>
          <w:sz w:val="18"/>
          <w:u w:val="none"/>
          <w:vertAlign w:val="baseline"/>
        </w:rPr>
        <w:t>certiorari</w:t>
      </w:r>
      <w:r>
        <w:rPr>
          <w:rFonts w:ascii="arial" w:eastAsia="arial" w:hAnsi="arial" w:cs="arial"/>
          <w:b w:val="0"/>
          <w:i w:val="0"/>
          <w:strike w:val="0"/>
          <w:noProof w:val="0"/>
          <w:color w:val="000000"/>
          <w:position w:val="0"/>
          <w:sz w:val="18"/>
          <w:u w:val="none"/>
          <w:vertAlign w:val="baseline"/>
        </w:rPr>
        <w:t>. Selanjutnya, Mahkamah Perindustrian akan bertindak di luar bidangkuasa jika ia menukar bidang rujukan dengan menggantikan alasannya yang tersendiri, iaitu alasan yang tidak diberikan oleh majikan sebagai alasan pemberhentian tersebut.”</w:t>
      </w:r>
      <w:r>
        <w:t>
</w:t>
      </w:r>
    </w:p>
    <w:p>
      <w:pPr>
        <w:keepNext w:val="0"/>
        <w:spacing w:after="0" w:line="240" w:lineRule="atLeast"/>
        <w:ind w:left="800" w:right="0" w:firstLine="0"/>
        <w:jc w:val="both"/>
      </w:pPr>
      <w:r>
        <w:rPr>
          <w:rFonts w:ascii="arial" w:eastAsia="arial" w:hAnsi="arial" w:cs="arial"/>
          <w:b w:val="0"/>
          <w:i w:val="0"/>
          <w:strike w:val="0"/>
          <w:noProof w:val="0"/>
          <w:color w:val="000000"/>
          <w:position w:val="0"/>
          <w:sz w:val="18"/>
          <w:u w:val="none"/>
          <w:vertAlign w:val="baseline"/>
        </w:rPr>
        <w:t xml:space="preserve"> </w:t>
      </w:r>
    </w:p>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[20]</w:t>
      </w:r>
      <w:r>
        <w:rPr>
          <w:rFonts w:ascii="arial" w:eastAsia="arial" w:hAnsi="arial" w:cs="arial"/>
          <w:b w:val="0"/>
          <w:i w:val="0"/>
          <w:strike w:val="0"/>
          <w:noProof w:val="0"/>
          <w:color w:val="000000"/>
          <w:position w:val="0"/>
          <w:sz w:val="24"/>
          <w:u w:val="none"/>
          <w:vertAlign w:val="baseline"/>
        </w:rPr>
        <w:t xml:space="preserve">  Jelas dari kes diatas Mahkamah ini mempunyai peranan dua hala atau </w:t>
      </w:r>
      <w:r>
        <w:rPr>
          <w:rFonts w:ascii="arial" w:eastAsia="arial" w:hAnsi="arial" w:cs="arial"/>
          <w:b w:val="0"/>
          <w:i/>
          <w:strike w:val="0"/>
          <w:noProof w:val="0"/>
          <w:color w:val="000000"/>
          <w:position w:val="0"/>
          <w:sz w:val="24"/>
          <w:u w:val="none"/>
          <w:vertAlign w:val="baseline"/>
        </w:rPr>
        <w:t>two fold test</w:t>
      </w:r>
      <w:r>
        <w:rPr>
          <w:rFonts w:ascii="arial" w:eastAsia="arial" w:hAnsi="arial" w:cs="arial"/>
          <w:b w:val="0"/>
          <w:i w:val="0"/>
          <w:strike w:val="0"/>
          <w:noProof w:val="0"/>
          <w:color w:val="000000"/>
          <w:position w:val="0"/>
          <w:sz w:val="24"/>
          <w:u w:val="none"/>
          <w:vertAlign w:val="baseline"/>
        </w:rPr>
        <w:t>. Sepertimana yang dinyatakan di atas Mahkamah ini tidak perlu menentukan wujudnya penamatan tetapi sama ada penamatan itu dibuat tanpa sebab atau alasan yang munasabah.</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Siasatan Dalaman (DI)</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[21]</w:t>
      </w:r>
      <w:r>
        <w:rPr>
          <w:rFonts w:ascii="arial" w:eastAsia="arial" w:hAnsi="arial" w:cs="arial"/>
          <w:b w:val="0"/>
          <w:i w:val="0"/>
          <w:strike w:val="0"/>
          <w:noProof w:val="0"/>
          <w:color w:val="000000"/>
          <w:position w:val="0"/>
          <w:sz w:val="24"/>
          <w:u w:val="none"/>
          <w:vertAlign w:val="baseline"/>
        </w:rPr>
        <w:t xml:space="preserve">  Mahkamah ini pernah menghuraikan tatacara satu DI secara ringkas di dalam kes </w:t>
      </w:r>
      <w:r>
        <w:rPr>
          <w:rFonts w:ascii="arial" w:eastAsia="arial" w:hAnsi="arial" w:cs="arial"/>
          <w:b w:val="0"/>
          <w:i/>
          <w:strike w:val="0"/>
          <w:noProof w:val="0"/>
          <w:color w:val="000000"/>
          <w:position w:val="0"/>
          <w:sz w:val="24"/>
          <w:u w:val="none"/>
          <w:vertAlign w:val="baseline"/>
        </w:rPr>
        <w:t xml:space="preserve">Mohamad Suffian bin Ismail v Seacera Group Berhad  </w:t>
      </w:r>
      <w:r>
        <w:rPr>
          <w:rFonts w:ascii="arial" w:eastAsia="arial" w:hAnsi="arial" w:cs="arial"/>
          <w:b w:val="0"/>
          <w:i w:val="0"/>
          <w:strike w:val="0"/>
          <w:noProof w:val="0"/>
          <w:color w:val="000000"/>
          <w:position w:val="0"/>
          <w:sz w:val="24"/>
          <w:u w:val="none"/>
          <w:vertAlign w:val="baseline"/>
        </w:rPr>
        <w:t>[2023] MELRU 2317 dan di dalam kes Award No 139 Tahun 2024. Mahkamah tidak akan mengulanginya dan pihak-pihak boleh merujuk kedua-dua kes tersebut sekiranya perlu.</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[22]</w:t>
      </w:r>
      <w:r>
        <w:rPr>
          <w:rFonts w:ascii="arial" w:eastAsia="arial" w:hAnsi="arial" w:cs="arial"/>
          <w:b w:val="0"/>
          <w:i w:val="0"/>
          <w:strike w:val="0"/>
          <w:noProof w:val="0"/>
          <w:color w:val="000000"/>
          <w:position w:val="0"/>
          <w:sz w:val="24"/>
          <w:u w:val="none"/>
          <w:vertAlign w:val="baseline"/>
        </w:rPr>
        <w:t>  Ini penting memandangkan dalam kes ini, terdapat pertikaian berkenaan kesahan DI yang telah dijalankan oleh Syarikat. Mahkamah telah meneliti keseluruhan DI berkenaan Pihak Yang Menuntut dan telah memerhatikan beberapa perkara. Mahkamah berpuas hati bahawa satu DI telah dijalankan dan banyak perkiraan yang dibuat oleh Syarikat patut diberi pujian. Melantik pihak ketiga sebagai Pengerusi panel DI dan memanggil saksi untuk beri keterangan serta membacakan pertuduhan terhadap Pihak Yang Menuntut yang merupakan pekerja yang dituduh merupakan tindakan yang patut dicontohi oleh syarikat-syarikat lain.</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[23]</w:t>
      </w:r>
      <w:r>
        <w:rPr>
          <w:rFonts w:ascii="arial" w:eastAsia="arial" w:hAnsi="arial" w:cs="arial"/>
          <w:b w:val="0"/>
          <w:i w:val="0"/>
          <w:strike w:val="0"/>
          <w:noProof w:val="0"/>
          <w:color w:val="000000"/>
          <w:position w:val="0"/>
          <w:sz w:val="24"/>
          <w:u w:val="none"/>
          <w:vertAlign w:val="baseline"/>
        </w:rPr>
        <w:t>  Namun, Mahkamah ini mendapati bahawa berkemungkinan Pihak Yang Menuntut tidak mendapat nasihat yang mencukupi sebelum DI. Tidak dicatatkan sama ada Pihak Yang Menuntut dimaklumkan atau diberi peluang untuk mendapatkan wakil untuk bercakap bagi pihak beliau. Sememangnya ini satu perkara yang kecil tapi boleh memudaratkan kes Syarikat.</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[24]</w:t>
      </w:r>
      <w:r>
        <w:rPr>
          <w:rFonts w:ascii="arial" w:eastAsia="arial" w:hAnsi="arial" w:cs="arial"/>
          <w:b w:val="0"/>
          <w:i w:val="0"/>
          <w:strike w:val="0"/>
          <w:noProof w:val="0"/>
          <w:color w:val="000000"/>
          <w:position w:val="0"/>
          <w:sz w:val="24"/>
          <w:u w:val="none"/>
          <w:vertAlign w:val="baseline"/>
        </w:rPr>
        <w:t xml:space="preserve">  Walau bagaimanapun, perkiraan selanjutnya merupakan antara kesilapan yang paling berat iaitu, tidak menawarkan atau bertanya Pihak Yang Menuntut sama ada beliau ingin menyoal balas saksi Syarikat. Pengerusi DI hanya menawarkan saksi Syarikat keempat untuk disoal balas oleh Pihak Yang Menuntut, berdasarkan Minit Sidang Siasatan Dalaman yang dikemukakan di muka surat 71 sehingga 143 ekshibit </w:t>
      </w:r>
      <w:r>
        <w:rPr>
          <w:rFonts w:ascii="arial" w:eastAsia="arial" w:hAnsi="arial" w:cs="arial"/>
          <w:b w:val="0"/>
          <w:i/>
          <w:strike w:val="0"/>
          <w:noProof w:val="0"/>
          <w:color w:val="000000"/>
          <w:position w:val="0"/>
          <w:sz w:val="24"/>
          <w:u w:val="none"/>
          <w:vertAlign w:val="baseline"/>
        </w:rPr>
        <w:t>COB-1</w:t>
      </w:r>
      <w:r>
        <w:rPr>
          <w:rFonts w:ascii="arial" w:eastAsia="arial" w:hAnsi="arial" w:cs="arial"/>
          <w:b w:val="0"/>
          <w:i w:val="0"/>
          <w:strike w:val="0"/>
          <w:noProof w:val="0"/>
          <w:color w:val="000000"/>
          <w:position w:val="0"/>
          <w:sz w:val="24"/>
          <w:u w:val="none"/>
          <w:vertAlign w:val="baseline"/>
        </w:rPr>
        <w:t>.</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[25]</w:t>
      </w:r>
      <w:r>
        <w:rPr>
          <w:rFonts w:ascii="arial" w:eastAsia="arial" w:hAnsi="arial" w:cs="arial"/>
          <w:b w:val="0"/>
          <w:i w:val="0"/>
          <w:strike w:val="0"/>
          <w:noProof w:val="0"/>
          <w:color w:val="000000"/>
          <w:position w:val="0"/>
          <w:sz w:val="24"/>
          <w:u w:val="none"/>
          <w:vertAlign w:val="baseline"/>
        </w:rPr>
        <w:t xml:space="preserve">  Sekiranya hanya salah satu tidak dibuat, perkara tersebut boleh dianggap remeh namun diambil kedua-duanya sekali, Mahkamah ini tidak dapat pastikan sama ada Pihak Yang Menuntut telah diberikan ruang pengadilan sebenar kerana tidak memenuhi prinsip </w:t>
      </w:r>
      <w:r>
        <w:rPr>
          <w:rFonts w:ascii="arial" w:eastAsia="arial" w:hAnsi="arial" w:cs="arial"/>
          <w:b w:val="0"/>
          <w:i/>
          <w:strike w:val="0"/>
          <w:noProof w:val="0"/>
          <w:color w:val="000000"/>
          <w:position w:val="0"/>
          <w:sz w:val="24"/>
          <w:u w:val="none"/>
          <w:vertAlign w:val="baseline"/>
        </w:rPr>
        <w:t>natural justice</w:t>
      </w:r>
      <w:r>
        <w:rPr>
          <w:rFonts w:ascii="arial" w:eastAsia="arial" w:hAnsi="arial" w:cs="arial"/>
          <w:b w:val="0"/>
          <w:i w:val="0"/>
          <w:strike w:val="0"/>
          <w:noProof w:val="0"/>
          <w:color w:val="000000"/>
          <w:position w:val="0"/>
          <w:sz w:val="24"/>
          <w:u w:val="none"/>
          <w:vertAlign w:val="baseline"/>
        </w:rPr>
        <w:t xml:space="preserve"> atau keadilan asasi/semulajadi.</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[26]</w:t>
      </w:r>
      <w:r>
        <w:rPr>
          <w:rFonts w:ascii="arial" w:eastAsia="arial" w:hAnsi="arial" w:cs="arial"/>
          <w:b w:val="0"/>
          <w:i w:val="0"/>
          <w:strike w:val="0"/>
          <w:noProof w:val="0"/>
          <w:color w:val="000000"/>
          <w:position w:val="0"/>
          <w:sz w:val="24"/>
          <w:u w:val="none"/>
          <w:vertAlign w:val="baseline"/>
        </w:rPr>
        <w:t xml:space="preserve">  Berdasarkan kes Award No. 139 Tahun 2024, Mahkamah ini telah merujuk kepada kes </w:t>
      </w:r>
      <w:r>
        <w:rPr>
          <w:rFonts w:ascii="arial" w:eastAsia="arial" w:hAnsi="arial" w:cs="arial"/>
          <w:b w:val="0"/>
          <w:i/>
          <w:strike w:val="0"/>
          <w:noProof w:val="0"/>
          <w:color w:val="000000"/>
          <w:position w:val="0"/>
          <w:sz w:val="24"/>
          <w:u w:val="none"/>
          <w:vertAlign w:val="baseline"/>
        </w:rPr>
        <w:t xml:space="preserve">Bumiputra Commerce Bank Berhad v Mahkamah Perusahaan &amp; Anor  </w:t>
      </w:r>
      <w:r>
        <w:rPr>
          <w:rFonts w:ascii="arial" w:eastAsia="arial" w:hAnsi="arial" w:cs="arial"/>
          <w:b w:val="0"/>
          <w:i w:val="0"/>
          <w:strike w:val="0"/>
          <w:noProof w:val="0"/>
          <w:color w:val="000000"/>
          <w:position w:val="0"/>
          <w:sz w:val="24"/>
          <w:u w:val="none"/>
          <w:vertAlign w:val="baseline"/>
        </w:rPr>
        <w:t>[2004] 7 MLJ 441; [2004] 7 CLJ 77, YA Raus Sharif J (pada masa itu) telah memutuskan seperti yang berikut:</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i/>
          <w:strike w:val="0"/>
          <w:noProof w:val="0"/>
          <w:color w:val="000000"/>
          <w:position w:val="0"/>
          <w:sz w:val="18"/>
          <w:u w:val="none"/>
          <w:vertAlign w:val="baseline"/>
        </w:rPr>
        <w:t>[1]</w:t>
      </w:r>
      <w:r>
        <w:rPr>
          <w:rFonts w:ascii="arial" w:eastAsia="arial" w:hAnsi="arial" w:cs="arial"/>
          <w:b w:val="0"/>
          <w:i/>
          <w:strike w:val="0"/>
          <w:noProof w:val="0"/>
          <w:color w:val="000000"/>
          <w:position w:val="0"/>
          <w:sz w:val="18"/>
          <w:u w:val="none"/>
          <w:vertAlign w:val="baseline"/>
        </w:rPr>
        <w:t xml:space="preserve"> The Industrial Court’s jurisdiction, in instances where a domestic inquiry has been held, was limited to considering whether there was a prima facie case against an employee. Thus, in the present case</w:t>
      </w:r>
      <w:r>
        <w:rPr>
          <w:rFonts w:ascii="arial" w:eastAsia="arial" w:hAnsi="arial" w:cs="arial"/>
          <w:b/>
          <w:i/>
          <w:strike w:val="0"/>
          <w:noProof w:val="0"/>
          <w:color w:val="000000"/>
          <w:position w:val="0"/>
          <w:sz w:val="18"/>
          <w:u w:val="none"/>
          <w:vertAlign w:val="baseline"/>
        </w:rPr>
        <w:t>, the Industrial Court should have first considered whether or not the domestic inquiry was valid</w:t>
      </w:r>
      <w:r>
        <w:rPr>
          <w:rFonts w:ascii="arial" w:eastAsia="arial" w:hAnsi="arial" w:cs="arial"/>
          <w:b w:val="0"/>
          <w:i/>
          <w:strike w:val="0"/>
          <w:noProof w:val="0"/>
          <w:color w:val="000000"/>
          <w:position w:val="0"/>
          <w:sz w:val="18"/>
          <w:u w:val="none"/>
          <w:vertAlign w:val="baseline"/>
        </w:rPr>
        <w:t xml:space="preserve"> and the inquiry notes accurate. In the absence of such considerations, the Industrial Court’s action in proceeding to decide the matter without any regard to the notes of inquiry could not be described as anything more than an error of law. Accordingly, the conclusion of the Industrial Court that all charges preferred against the second respondent were not proven could not be supported and was, in fact, contrary to the clear evidence of the case. Since it was apparent from the records that the Industrial Court had misconstrued and misapplied the principles of law pertaining to the relevance of a valid domestic inquiry, this court was compelled to exercise its powers of judicial review to issue an order of certiorari to quash the award. (pp 82 gh, 83 h &amp; 85 cd)</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[Penekanan ditambah]</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[27]</w:t>
      </w:r>
      <w:r>
        <w:rPr>
          <w:rFonts w:ascii="arial" w:eastAsia="arial" w:hAnsi="arial" w:cs="arial"/>
          <w:b w:val="0"/>
          <w:i w:val="0"/>
          <w:strike w:val="0"/>
          <w:noProof w:val="0"/>
          <w:color w:val="000000"/>
          <w:position w:val="0"/>
          <w:sz w:val="24"/>
          <w:u w:val="none"/>
          <w:vertAlign w:val="baseline"/>
        </w:rPr>
        <w:t xml:space="preserve">  Mahkamah ini telah juga memerhatikan bahawa penentuan sama ada DI yang dijalankan adalah sah merupakan satu intipati utama dalam DI yang sebenar. Hakim di atas telah tersebut turut merujuk kepada satu lagi kes Mahkamah Tinggi iaitu kes </w:t>
      </w:r>
      <w:r>
        <w:rPr>
          <w:rFonts w:ascii="arial" w:eastAsia="arial" w:hAnsi="arial" w:cs="arial"/>
          <w:b w:val="0"/>
          <w:i/>
          <w:strike w:val="0"/>
          <w:noProof w:val="0"/>
          <w:color w:val="000000"/>
          <w:position w:val="0"/>
          <w:sz w:val="24"/>
          <w:u w:val="none"/>
          <w:vertAlign w:val="baseline"/>
        </w:rPr>
        <w:t xml:space="preserve">Metroplex Administration Sdn Bhd v Mohamed Elias  </w:t>
      </w:r>
      <w:r>
        <w:rPr>
          <w:rFonts w:ascii="arial" w:eastAsia="arial" w:hAnsi="arial" w:cs="arial"/>
          <w:b w:val="0"/>
          <w:i w:val="0"/>
          <w:strike w:val="0"/>
          <w:noProof w:val="0"/>
          <w:color w:val="000000"/>
          <w:position w:val="0"/>
          <w:sz w:val="24"/>
          <w:u w:val="none"/>
          <w:vertAlign w:val="baseline"/>
        </w:rPr>
        <w:t>[1998] 5 CLJ 467. Di dalam kes itu YA Low Hop Bing J (pada masa itu) telah menyatakan seperti yang berikut:</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 xml:space="preserve">Where a domestic inquiry is held and the rules of natural justice have been applied, </w:t>
      </w:r>
      <w:r>
        <w:rPr>
          <w:rFonts w:ascii="arial" w:eastAsia="arial" w:hAnsi="arial" w:cs="arial"/>
          <w:b/>
          <w:i/>
          <w:strike w:val="0"/>
          <w:noProof w:val="0"/>
          <w:color w:val="000000"/>
          <w:position w:val="0"/>
          <w:sz w:val="18"/>
          <w:u w:val="none"/>
          <w:vertAlign w:val="baseline"/>
        </w:rPr>
        <w:t>the Industrial Court should first consider the adequacy or otherwise of the procedure adopted in the proceedings for the domestic inquiry in order to determine whether the domestic inquiry has applied the correct procedure</w:t>
      </w:r>
      <w:r>
        <w:rPr>
          <w:rFonts w:ascii="arial" w:eastAsia="arial" w:hAnsi="arial" w:cs="arial"/>
          <w:b w:val="0"/>
          <w:i/>
          <w:strike w:val="0"/>
          <w:noProof w:val="0"/>
          <w:color w:val="000000"/>
          <w:position w:val="0"/>
          <w:sz w:val="18"/>
          <w:u w:val="none"/>
          <w:vertAlign w:val="baseline"/>
        </w:rPr>
        <w:t xml:space="preserve"> and reached the correct conclusion having regard to all the evidence, documentary and oral, adduced at the domestic inquiry. If at the domestic inquiry, the rules of natural justice were properly applied, the employee being given the opportunity to be heard and to present his case, and should a finding be made against the employee based on the evidence which was presented to the domestic inquiry, the Industrial Court ought to consider the finding of the domestic inquiry in order to conclude whether the employee has been dismissed without just cause or excuse. The rule that a domestic inquiry should be held is after all a rule of the court’s own devising</w:t>
      </w:r>
      <w:r>
        <w:rPr>
          <w:rFonts w:ascii="arial" w:eastAsia="arial" w:hAnsi="arial" w:cs="arial"/>
          <w:b w:val="0"/>
          <w:i w:val="0"/>
          <w:strike w:val="0"/>
          <w:noProof w:val="0"/>
          <w:color w:val="000000"/>
          <w:position w:val="0"/>
          <w:sz w:val="18"/>
          <w:u w:val="none"/>
          <w:vertAlign w:val="baseline"/>
        </w:rPr>
        <w:t>.”.</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[Penekanan ditambah]</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[28]</w:t>
      </w:r>
      <w:r>
        <w:rPr>
          <w:rFonts w:ascii="arial" w:eastAsia="arial" w:hAnsi="arial" w:cs="arial"/>
          <w:b w:val="0"/>
          <w:i w:val="0"/>
          <w:strike w:val="0"/>
          <w:noProof w:val="0"/>
          <w:color w:val="000000"/>
          <w:position w:val="0"/>
          <w:sz w:val="24"/>
          <w:u w:val="none"/>
          <w:vertAlign w:val="baseline"/>
        </w:rPr>
        <w:t>  Mahkamah perlu mengambil kira kedua-dua kes di atas apabila menentukan kes ini. Setelah menimbangkan segala bukti yang dikemukakan, Mahkamah ini mendapati atas imbangan kebarangkalian DI yang dilaksanakan tidak dijalankan dengan tatacara yang kemas dan boleh memenuhi syarat-syarat yang telah ditetapkan oleh kedua-dua kes di atas.</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[29]</w:t>
      </w:r>
      <w:r>
        <w:rPr>
          <w:rFonts w:ascii="arial" w:eastAsia="arial" w:hAnsi="arial" w:cs="arial"/>
          <w:b w:val="0"/>
          <w:i w:val="0"/>
          <w:strike w:val="0"/>
          <w:noProof w:val="0"/>
          <w:color w:val="000000"/>
          <w:position w:val="0"/>
          <w:sz w:val="24"/>
          <w:u w:val="none"/>
          <w:vertAlign w:val="baseline"/>
        </w:rPr>
        <w:t>  Walaupun Mahkamah telah memutuskan seperti yang diatas, tidak semestinya kes Syarikat telah gagal secara automatik. Kini, menjadi tanggungjawab Mahkamah ini untuk menilai dan menimbang semula semua bukti yang dikemukakan untuk membuat keputusan tentang kesahan penamatan Pihak Yang Menuntut. Ini adalah kerana Mahkamah ini turut bertindak sebagai satu DI untuk menampung kepincangan yang telah berlaku semasa di Syarikat.</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[30]</w:t>
      </w:r>
      <w:r>
        <w:rPr>
          <w:rFonts w:ascii="arial" w:eastAsia="arial" w:hAnsi="arial" w:cs="arial"/>
          <w:b w:val="0"/>
          <w:i w:val="0"/>
          <w:strike w:val="0"/>
          <w:noProof w:val="0"/>
          <w:color w:val="000000"/>
          <w:position w:val="0"/>
          <w:sz w:val="24"/>
          <w:u w:val="none"/>
          <w:vertAlign w:val="baseline"/>
        </w:rPr>
        <w:t>  Perlu ditegaskan bahawa perkiraan Mahkamah ini bukannya bermaksud Mahkamah bertindak bagi pihak Syarikat. Tugas Mahkamah adalah menentukan sama ada penamatan Pihak Yang Menuntut adalah munasabah dan untuk mencapai keputusan ini Mahkamah perlu melihat sendiri bukti-bukti tersebut tanpa dipengaruhi oleh tafsiran pihak ketiga.</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[31]</w:t>
      </w:r>
      <w:r>
        <w:rPr>
          <w:rFonts w:ascii="arial" w:eastAsia="arial" w:hAnsi="arial" w:cs="arial"/>
          <w:b w:val="0"/>
          <w:i w:val="0"/>
          <w:strike w:val="0"/>
          <w:noProof w:val="0"/>
          <w:color w:val="000000"/>
          <w:position w:val="0"/>
          <w:sz w:val="24"/>
          <w:u w:val="none"/>
          <w:vertAlign w:val="baseline"/>
        </w:rPr>
        <w:t>  Pihak Yang Menuntut telah dikenakan empat pertuduhan yang dikemukakan di bawah ini:</w:t>
      </w:r>
    </w:p>
    <w:p>
      <w:pPr>
        <w:keepNext w:val="0"/>
        <w:spacing w:before="200" w:after="0" w:line="300" w:lineRule="atLeast"/>
        <w:ind w:left="360" w:right="0" w:firstLine="0"/>
        <w:jc w:val="both"/>
      </w:pPr>
      <w:r>
        <w:rPr>
          <w:rFonts w:ascii="arial" w:eastAsia="arial" w:hAnsi="arial" w:cs="arial"/>
          <w:b w:val="0"/>
          <w:i w:val="0"/>
          <w:strike w:val="0"/>
          <w:noProof w:val="0"/>
          <w:color w:val="000000"/>
          <w:position w:val="0"/>
          <w:sz w:val="24"/>
          <w:u w:val="none"/>
          <w:vertAlign w:val="baseline"/>
        </w:rPr>
        <w:t xml:space="preserve"> </w:t>
      </w:r>
    </w:p>
    <w:p>
      <w:pPr>
        <w:keepNext w:val="0"/>
        <w:numPr>
          <w:numId w:val="31"/>
        </w:numPr>
        <w:spacing w:before="200" w:after="0" w:line="300" w:lineRule="atLeast"/>
        <w:ind w:right="0"/>
        <w:jc w:val="both"/>
      </w:pPr>
      <w:r>
        <w:rPr>
          <w:rFonts w:ascii="arial" w:eastAsia="arial" w:hAnsi="arial" w:cs="arial"/>
          <w:b w:val="0"/>
          <w:i/>
          <w:strike w:val="0"/>
          <w:noProof w:val="0"/>
          <w:color w:val="000000"/>
          <w:position w:val="0"/>
          <w:sz w:val="24"/>
          <w:u w:val="none"/>
          <w:vertAlign w:val="baseline"/>
        </w:rPr>
        <w:t>Pada 26 Oktober 2017 telah mengeluarkan Memo Perhubungan kepada Ketua Jabatan Undang-Undang &amp; Pematuhan pada Ketika itu bagi urusan menandatangani Perjanjian Sale of Share antara Koperasi Khairat Warga YaPEIM Berhad dengan Aneka Group berserta urusan serahan Cek Pembayaran Deposit bernilai Ringgit Malaysia Safu Juta (RM1,000,000.00) afas nama JIN-NG &amp; CO. selaku Pequamcara Vendor (Syarikat Aneka Retail (M) Sdn Bhd) bagi urusan pembelian Aneka Retail Sdn Bhd Sedangkan depcsit pembayaran fersebut perlu disalurkan kepada Tetuan Zain Megat &amp; Murad selaku Peguamcara YaPEIM:</w:t>
      </w:r>
      <w:r>
        <w:rPr>
          <w:rFonts w:ascii="arial" w:eastAsia="arial" w:hAnsi="arial" w:cs="arial"/>
          <w:b w:val="0"/>
          <w:i w:val="0"/>
          <w:strike w:val="0"/>
          <w:noProof w:val="0"/>
          <w:color w:val="000000"/>
          <w:position w:val="0"/>
          <w:sz w:val="24"/>
          <w:u w:val="none"/>
          <w:vertAlign w:val="baseline"/>
        </w:rPr>
        <w:t xml:space="preserve"> </w:t>
      </w:r>
    </w:p>
    <w:p>
      <w:pPr>
        <w:keepNext w:val="0"/>
        <w:numPr>
          <w:numId w:val="32"/>
        </w:numPr>
        <w:spacing w:before="200" w:after="0" w:line="300" w:lineRule="atLeast"/>
        <w:ind w:right="0"/>
        <w:jc w:val="both"/>
      </w:pPr>
      <w:r>
        <w:rPr>
          <w:rFonts w:ascii="arial" w:eastAsia="arial" w:hAnsi="arial" w:cs="arial"/>
          <w:b w:val="0"/>
          <w:i/>
          <w:strike w:val="0"/>
          <w:noProof w:val="0"/>
          <w:color w:val="000000"/>
          <w:position w:val="0"/>
          <w:sz w:val="24"/>
          <w:u w:val="none"/>
          <w:vertAlign w:val="baseline"/>
        </w:rPr>
        <w:t>Pada 23 Februari 2018 telah mengeluarkan arahan kepada Tetuan Zain, Megat &amp; Murad melalui platform email untuk melepaskan pembayaran deposit bernilai Ringgit Malaysia Satu (1) Juta (RM1,000,000.00) oleh Peguamcara JIN-NGE &amp; Co kepada Pemegang Saham Aneka Retail Sdn Bhd walaupun perjanjian projek fersebut masih belum lengkap ditandatangani dan/atau dilaksanakan;</w:t>
      </w:r>
      <w:r>
        <w:rPr>
          <w:rFonts w:ascii="arial" w:eastAsia="arial" w:hAnsi="arial" w:cs="arial"/>
          <w:b w:val="0"/>
          <w:i w:val="0"/>
          <w:strike w:val="0"/>
          <w:noProof w:val="0"/>
          <w:color w:val="000000"/>
          <w:position w:val="0"/>
          <w:sz w:val="24"/>
          <w:u w:val="none"/>
          <w:vertAlign w:val="baseline"/>
        </w:rPr>
        <w:t xml:space="preserve"> </w:t>
      </w:r>
    </w:p>
    <w:p>
      <w:pPr>
        <w:keepNext w:val="0"/>
        <w:numPr>
          <w:numId w:val="33"/>
        </w:numPr>
        <w:spacing w:before="200" w:after="0" w:line="300" w:lineRule="atLeast"/>
        <w:ind w:right="0"/>
        <w:jc w:val="both"/>
      </w:pPr>
      <w:r>
        <w:rPr>
          <w:rFonts w:ascii="arial" w:eastAsia="arial" w:hAnsi="arial" w:cs="arial"/>
          <w:b w:val="0"/>
          <w:i/>
          <w:strike w:val="0"/>
          <w:noProof w:val="0"/>
          <w:color w:val="000000"/>
          <w:position w:val="0"/>
          <w:sz w:val="24"/>
          <w:u w:val="none"/>
          <w:vertAlign w:val="baseline"/>
        </w:rPr>
        <w:t>Sekitar tahun 2017 hingga 2018 gagal untuk memberikan pandangan kepada Dato’ Abibullah bin Hj. Samsudin selaku Ketua Pengarah YaPEIM pada Ketika itu bahawa keputusan yang dibuat oleh beliau tidak mengikut arahan dan keputusan Lembaga Pemegang Amanah (LPA) YaPEIM sehingga menyebabkan YaPEIM mengalami kerugian sehingga Ringgit Malaysia Satu (1) Juta (RM1,000,000.00) dalam urusan pengambilalihan rangkaian Pasaraya Aneka;</w:t>
      </w:r>
      <w:r>
        <w:rPr>
          <w:rFonts w:ascii="arial" w:eastAsia="arial" w:hAnsi="arial" w:cs="arial"/>
          <w:b w:val="0"/>
          <w:i w:val="0"/>
          <w:strike w:val="0"/>
          <w:noProof w:val="0"/>
          <w:color w:val="000000"/>
          <w:position w:val="0"/>
          <w:sz w:val="24"/>
          <w:u w:val="none"/>
          <w:vertAlign w:val="baseline"/>
        </w:rPr>
        <w:t xml:space="preserve"> </w:t>
      </w:r>
    </w:p>
    <w:p>
      <w:pPr>
        <w:keepNext w:val="0"/>
        <w:numPr>
          <w:numId w:val="34"/>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Dengan melakukan perkara seperti yang dinyatakan pada manamana perenggan (i) dan/atau (ii) dan/atau (iii) di atas, terlibat dalam perlakuan yang berlawanan dengan faedah dan kepentingan YaPEIM seferusnya gagal melaksanakan tanggungjawab kontraktual anda (breach of contractual obligations/duties) terhadap YaPEIM sebagai majikan anda.</w:t>
      </w:r>
      <w:r>
        <w:rPr>
          <w:rFonts w:ascii="arial" w:eastAsia="arial" w:hAnsi="arial" w:cs="arial"/>
          <w:b w:val="0"/>
          <w:i w:val="0"/>
          <w:strike w:val="0"/>
          <w:noProof w:val="0"/>
          <w:color w:val="000000"/>
          <w:position w:val="0"/>
          <w:sz w:val="24"/>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[32]</w:t>
      </w:r>
      <w:r>
        <w:rPr>
          <w:rFonts w:ascii="arial" w:eastAsia="arial" w:hAnsi="arial" w:cs="arial"/>
          <w:b w:val="0"/>
          <w:i w:val="0"/>
          <w:strike w:val="0"/>
          <w:noProof w:val="0"/>
          <w:color w:val="000000"/>
          <w:position w:val="0"/>
          <w:sz w:val="24"/>
          <w:u w:val="none"/>
          <w:vertAlign w:val="baseline"/>
        </w:rPr>
        <w:t xml:space="preserve">  Sekiranya dibaca pertuduhan pertama, kesalahan Pihak Yang Menuntut adalah mengeluarkan memo, bukannya sama ada memo tersebut tidak tepat atau tidak benar. Malah sekiranya dilihat dalam Minit DI, saksi Syarikat yang kedua semasa DI dan juga </w:t>
      </w:r>
      <w:r>
        <w:rPr>
          <w:rFonts w:ascii="arial" w:eastAsia="arial" w:hAnsi="arial" w:cs="arial"/>
          <w:b w:val="0"/>
          <w:i/>
          <w:strike w:val="0"/>
          <w:noProof w:val="0"/>
          <w:color w:val="000000"/>
          <w:position w:val="0"/>
          <w:sz w:val="24"/>
          <w:u w:val="none"/>
          <w:vertAlign w:val="baseline"/>
        </w:rPr>
        <w:t>COW-1</w:t>
      </w:r>
      <w:r>
        <w:rPr>
          <w:rFonts w:ascii="arial" w:eastAsia="arial" w:hAnsi="arial" w:cs="arial"/>
          <w:b w:val="0"/>
          <w:i w:val="0"/>
          <w:strike w:val="0"/>
          <w:noProof w:val="0"/>
          <w:color w:val="000000"/>
          <w:position w:val="0"/>
          <w:sz w:val="24"/>
          <w:u w:val="none"/>
          <w:vertAlign w:val="baseline"/>
        </w:rPr>
        <w:t>, telah menyatakan seperti yang berikut:</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“P : Puan Adawiyah, saya nak tanya, berbalik kepada dokumen ini, ini menarik juga sebab saya dahulu Timbalan Pengarah di SPRM dahulu menjalankan banyak kes-kes siasatan, jadi saya nak bertanya lebih banyak detail berkaitan dengan dokumen ini. Baik, tentang dokumen ini, tadi Puan Adawiyah ada mengatakan “Saya terima arahan daripada pihak atasan”. Siapakah pihak atasan tersebut?</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SM2 : Menurut memo ini, Puan Hafizza pun telah mendapat arahan daripada Dato’ Ketua Pengarah sebab Bahagian Projek Khas di bawah seliaan Dato’ KP secara direct.</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P : Jadi, maknanya dari pandangan Puan Adawiyah, arahan pengeluaran bayaran ini, adalah tidak menyalahi undang-undang, ataupun tidak menyalahi peraturan lah?</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SM2 : Ya, tidak. Ini untuk penyediaan cek sahaja.”.</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[33]</w:t>
      </w:r>
      <w:r>
        <w:rPr>
          <w:rFonts w:ascii="arial" w:eastAsia="arial" w:hAnsi="arial" w:cs="arial"/>
          <w:b w:val="0"/>
          <w:i w:val="0"/>
          <w:strike w:val="0"/>
          <w:noProof w:val="0"/>
          <w:color w:val="000000"/>
          <w:position w:val="0"/>
          <w:sz w:val="24"/>
          <w:u w:val="none"/>
          <w:vertAlign w:val="baseline"/>
        </w:rPr>
        <w:t xml:space="preserve">  Semua keputusan dan sebab-sebab keputusan ahli panel dikemukakan di dalam muka surat 144 sehingga 157 </w:t>
      </w:r>
      <w:r>
        <w:rPr>
          <w:rFonts w:ascii="arial" w:eastAsia="arial" w:hAnsi="arial" w:cs="arial"/>
          <w:b w:val="0"/>
          <w:i/>
          <w:strike w:val="0"/>
          <w:noProof w:val="0"/>
          <w:color w:val="000000"/>
          <w:position w:val="0"/>
          <w:sz w:val="24"/>
          <w:u w:val="none"/>
          <w:vertAlign w:val="baseline"/>
        </w:rPr>
        <w:t>COB-1</w:t>
      </w:r>
      <w:r>
        <w:rPr>
          <w:rFonts w:ascii="arial" w:eastAsia="arial" w:hAnsi="arial" w:cs="arial"/>
          <w:b w:val="0"/>
          <w:i w:val="0"/>
          <w:strike w:val="0"/>
          <w:noProof w:val="0"/>
          <w:color w:val="000000"/>
          <w:position w:val="0"/>
          <w:sz w:val="24"/>
          <w:u w:val="none"/>
          <w:vertAlign w:val="baseline"/>
        </w:rPr>
        <w:t>. Setelah merujuk kepada alasan ahli panel dan kenyataan saksi Syarikat, Mahkamah ini tidak nampak bukti yang mengatakan bahawa tindakan Pihak Yang Menuntut adalah satu kesalahan. Malah, saksi syarikat sendiri menyatakan bahawa pengeluaran memo bukanlah satu kesalahan.</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[34]</w:t>
      </w:r>
      <w:r>
        <w:rPr>
          <w:rFonts w:ascii="arial" w:eastAsia="arial" w:hAnsi="arial" w:cs="arial"/>
          <w:b w:val="0"/>
          <w:i w:val="0"/>
          <w:strike w:val="0"/>
          <w:noProof w:val="0"/>
          <w:color w:val="000000"/>
          <w:position w:val="0"/>
          <w:sz w:val="24"/>
          <w:u w:val="none"/>
          <w:vertAlign w:val="baseline"/>
        </w:rPr>
        <w:t xml:space="preserve">  Mahkamah berpegang kepada kes </w:t>
      </w:r>
      <w:r>
        <w:rPr>
          <w:rFonts w:ascii="arial" w:eastAsia="arial" w:hAnsi="arial" w:cs="arial"/>
          <w:b w:val="0"/>
          <w:i/>
          <w:strike w:val="0"/>
          <w:noProof w:val="0"/>
          <w:color w:val="000000"/>
          <w:position w:val="0"/>
          <w:sz w:val="24"/>
          <w:u w:val="none"/>
          <w:vertAlign w:val="baseline"/>
        </w:rPr>
        <w:t xml:space="preserve">International Times &amp; Ors v Leong Ho Yuen  </w:t>
      </w:r>
      <w:r>
        <w:rPr>
          <w:rFonts w:ascii="arial" w:eastAsia="arial" w:hAnsi="arial" w:cs="arial"/>
          <w:b w:val="0"/>
          <w:i w:val="0"/>
          <w:strike w:val="0"/>
          <w:noProof w:val="0"/>
          <w:color w:val="000000"/>
          <w:position w:val="0"/>
          <w:sz w:val="24"/>
          <w:u w:val="none"/>
          <w:vertAlign w:val="baseline"/>
        </w:rPr>
        <w:t>[1980] 2 MLJ 86</w:t>
      </w:r>
      <w:r>
        <w:rPr>
          <w:rFonts w:ascii="arial" w:eastAsia="arial" w:hAnsi="arial" w:cs="arial"/>
          <w:b/>
          <w:i/>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 xml:space="preserve"> YAA Tun Salleh Abas telah menyatakan seperti yang berikut:</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“Burden of proof is the burden of establishing a case and this rests through-out the trial on the party who asserts the affirmative.”</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[35]</w:t>
      </w:r>
      <w:r>
        <w:rPr>
          <w:rFonts w:ascii="arial" w:eastAsia="arial" w:hAnsi="arial" w:cs="arial"/>
          <w:b w:val="0"/>
          <w:i w:val="0"/>
          <w:strike w:val="0"/>
          <w:noProof w:val="0"/>
          <w:color w:val="000000"/>
          <w:position w:val="0"/>
          <w:sz w:val="24"/>
          <w:u w:val="none"/>
          <w:vertAlign w:val="baseline"/>
        </w:rPr>
        <w:t>  Lazimnya pengeluaran satu memo bukanlah satu kesalahan namun, kesalahannya mungkin adalah mengeluarkan memo yang berniat untuk menipu atau memalsukan arahan. Perkiraan ini juga telah disangkal oleh saksi Syarikat sendiri yang menyatakan bahawa terdapat arahan KP. Dalam DI, pegawai yang membentang kes telah menyatakan tiada bukti bertulis arahan dikeluarkan. Namun, Pihak Yang Menuntut turut telah menyatakan bahawa KP tidak akan beri arahan bertulis.</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[36]</w:t>
      </w:r>
      <w:r>
        <w:rPr>
          <w:rFonts w:ascii="arial" w:eastAsia="arial" w:hAnsi="arial" w:cs="arial"/>
          <w:b w:val="0"/>
          <w:i w:val="0"/>
          <w:strike w:val="0"/>
          <w:noProof w:val="0"/>
          <w:color w:val="000000"/>
          <w:position w:val="0"/>
          <w:sz w:val="24"/>
          <w:u w:val="none"/>
          <w:vertAlign w:val="baseline"/>
        </w:rPr>
        <w:t>  Tambahan pula, pihak Syarikat sememangnya mengetahui bahawa KP itu bukanlah seorang yang akan dengar bantahan daripada pegawai bawahannya. Ini jelas dinyatakan oleh seorang ahli Lembaga Pemegang Amanah (“LPA”) yang merupakan lembaga pengarah bagi YaPEIM yang juga seorang ahli panel DI. Beliau telah menyatakan seperti yang berikut:</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I think, we have to be careful here because Legal Department is not the accuser today. That has been dealt with. I think, the fact of the matter is, the highest authority of the organization, which is LPA, bypass all the committees and made decision without going to the governance process,. If you can see, six (6) and seven (7), they made the decision, andthen they ask the Investment and Risk Committee to endorse, which the other way around. So, the instruction came from the very top, and there’s a lot pressure to push everything down and get it done. So, that’s two side of story, to say that, En. Rashid, I have to correct you, to say Legal Department, persistently insist the money to be disburse is also not correct because, maybe Pn Rohaiza also can support me on this, because there’s have been numerous verbal discussion and WhatsApp exchanges between the Head of Legal and the KP’s. Ketua Pengarah, she was against the transaction, and I think, at the end of the day, eventually, after the money have been disburse, she was demoted due to insubordination and how she was demoted because she was against this transaction. I think, I have to put this on the right perspective instead of, you know, let be clear because the Legal Department is not the accuser today.</w:t>
      </w:r>
      <w:r>
        <w:rPr>
          <w:rFonts w:ascii="arial" w:eastAsia="arial" w:hAnsi="arial" w:cs="arial"/>
          <w:b w:val="0"/>
          <w:i w:val="0"/>
          <w:strike w:val="0"/>
          <w:noProof w:val="0"/>
          <w:color w:val="000000"/>
          <w:position w:val="0"/>
          <w:sz w:val="18"/>
          <w:u w:val="none"/>
          <w:vertAlign w:val="baseline"/>
        </w:rPr>
        <w:t>”</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[37]</w:t>
      </w:r>
      <w:r>
        <w:rPr>
          <w:rFonts w:ascii="arial" w:eastAsia="arial" w:hAnsi="arial" w:cs="arial"/>
          <w:b w:val="0"/>
          <w:i w:val="0"/>
          <w:strike w:val="0"/>
          <w:noProof w:val="0"/>
          <w:color w:val="000000"/>
          <w:position w:val="0"/>
          <w:sz w:val="24"/>
          <w:u w:val="none"/>
          <w:vertAlign w:val="baseline"/>
        </w:rPr>
        <w:t xml:space="preserve">  Terdapat beberapa kesilapan rakaman percakapan namun, apa yang penting yang ingin Mahkamah ini ketengahkan adalah bahawa pihak Syarikat telah mengakui arahan telah datang daripada pihak teratas Syarikat iaitu LPA. Tindakan Ketua Unit Undang-Undang yang membantah turut di ambil tindakan tatatertib oleh KP yang sama atas alasan mengingkari arahan ketua. Dalam keadaan sedemikian, bagaimanakah tindakan Pihak Yang Menuntut yang tidak mengetahui undang-undang untuk melawan sesorang dan badan yang mempunyai kuasa yang nyata atau </w:t>
      </w:r>
      <w:r>
        <w:rPr>
          <w:rFonts w:ascii="arial" w:eastAsia="arial" w:hAnsi="arial" w:cs="arial"/>
          <w:b w:val="0"/>
          <w:i/>
          <w:strike w:val="0"/>
          <w:noProof w:val="0"/>
          <w:color w:val="000000"/>
          <w:position w:val="0"/>
          <w:sz w:val="24"/>
          <w:u w:val="none"/>
          <w:vertAlign w:val="baseline"/>
        </w:rPr>
        <w:t>ostensible authority</w:t>
      </w:r>
      <w:r>
        <w:rPr>
          <w:rFonts w:ascii="arial" w:eastAsia="arial" w:hAnsi="arial" w:cs="arial"/>
          <w:b w:val="0"/>
          <w:i w:val="0"/>
          <w:strike w:val="0"/>
          <w:noProof w:val="0"/>
          <w:color w:val="000000"/>
          <w:position w:val="0"/>
          <w:sz w:val="24"/>
          <w:u w:val="none"/>
          <w:vertAlign w:val="baseline"/>
        </w:rPr>
        <w:t>.</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[38]</w:t>
      </w:r>
      <w:r>
        <w:rPr>
          <w:rFonts w:ascii="arial" w:eastAsia="arial" w:hAnsi="arial" w:cs="arial"/>
          <w:b w:val="0"/>
          <w:i w:val="0"/>
          <w:strike w:val="0"/>
          <w:noProof w:val="0"/>
          <w:color w:val="000000"/>
          <w:position w:val="0"/>
          <w:sz w:val="24"/>
          <w:u w:val="none"/>
          <w:vertAlign w:val="baseline"/>
        </w:rPr>
        <w:t>  LPA telah meluluskan projek tanpa melalui saluran yang sepatutnya tetapi sebagai pegawai atau pekerja dalam Syarikat, pekerja harus mematuhi arahan pihak atasan. Sekiranya pekerja itu tidak mematuhi arahan tersebut, pekerja tersebut boleh dikenakan tindakan seperti yang dikenakan terhadap Ketua Unit Undang-Undang tersebut. Dalam keadaan sedemikian, Pihak Yang Menuntut berada dalam keadaan yang sukar memandangkan beliau hanya melaksanakan tugas yang diarahkan. Pihak Syarikat perlu menunjukkan bahawa wujudnya arahan yang membenarkan pekerja melawan arahan LPA dengan nyata.</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[39]</w:t>
      </w:r>
      <w:r>
        <w:rPr>
          <w:rFonts w:ascii="arial" w:eastAsia="arial" w:hAnsi="arial" w:cs="arial"/>
          <w:b w:val="0"/>
          <w:i w:val="0"/>
          <w:strike w:val="0"/>
          <w:noProof w:val="0"/>
          <w:color w:val="000000"/>
          <w:position w:val="0"/>
          <w:sz w:val="24"/>
          <w:u w:val="none"/>
          <w:vertAlign w:val="baseline"/>
        </w:rPr>
        <w:t>  Beban bukti ni adalah atas bahu pihak Syarikat semata-mata memandangkan Syarikat yang memutuskan bahawa tindakan Pihak Yang Menuntut bukanlah atas kepentingan Syarikat. Walhal, ahli-ahli LPA yang lain juga tidak memberi arahan atau pandangan yang berbeza yang membolehkan wujudnya pandangan yang berbeza. Namun perkiraan tersebut tidak berlaku dan apa yang dilihat oleh pekerja Syarikat adalah urusniaga tersebut telah mendapat LPA yang sepatutnya melaksanakan tugas-tugas pengelolaan.</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[40]</w:t>
      </w:r>
      <w:r>
        <w:rPr>
          <w:rFonts w:ascii="arial" w:eastAsia="arial" w:hAnsi="arial" w:cs="arial"/>
          <w:b w:val="0"/>
          <w:i w:val="0"/>
          <w:strike w:val="0"/>
          <w:noProof w:val="0"/>
          <w:color w:val="000000"/>
          <w:position w:val="0"/>
          <w:sz w:val="24"/>
          <w:u w:val="none"/>
          <w:vertAlign w:val="baseline"/>
        </w:rPr>
        <w:t>  Berdasarkan semua fakta dan keadaan diatas Mahkamah mendapati atas imbangan kebarangkalian, pihak Syarikat telah gagal membuktikan wiujudnya satu kesalahan di dalam pertuduhan pertama di mana sukar untuk dibuktikan bahawa Pihak Yang Menuntut mengeluarkan memo dengan sengaja untuk mengingkari arahan LPA mahupun melanggar arahan lisan KP.</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[41]</w:t>
      </w:r>
      <w:r>
        <w:rPr>
          <w:rFonts w:ascii="arial" w:eastAsia="arial" w:hAnsi="arial" w:cs="arial"/>
          <w:b w:val="0"/>
          <w:i w:val="0"/>
          <w:strike w:val="0"/>
          <w:noProof w:val="0"/>
          <w:color w:val="000000"/>
          <w:position w:val="0"/>
          <w:sz w:val="24"/>
          <w:u w:val="none"/>
          <w:vertAlign w:val="baseline"/>
        </w:rPr>
        <w:t>  Pertuduhan kedua merupakan kesalahan yang berat sekiranya dapat dibuktikan. Walau bagaimanapun, Pihak Syarikat tidak menyertakan emel yang dimaksudkan untuk Mahkamah ini menimbangkan sama ada wujudnya satu kesalahan terhadap Pihak Yang Menuntut. Rujukan kepada emel hanya wujud dalam bentuk Notis Tunjuk Sebab dan jawapan kepada Notis Tunjuk Sebab, tiada bukti langsung dikemukakan.</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[42]</w:t>
      </w:r>
      <w:r>
        <w:rPr>
          <w:rFonts w:ascii="arial" w:eastAsia="arial" w:hAnsi="arial" w:cs="arial"/>
          <w:b w:val="0"/>
          <w:i w:val="0"/>
          <w:strike w:val="0"/>
          <w:noProof w:val="0"/>
          <w:color w:val="000000"/>
          <w:position w:val="0"/>
          <w:sz w:val="24"/>
          <w:u w:val="none"/>
          <w:vertAlign w:val="baseline"/>
        </w:rPr>
        <w:t xml:space="preserve">  Ini tidak membuktikan kes Syarikat sepertimana diperlukan di dalam kes </w:t>
      </w:r>
      <w:r>
        <w:rPr>
          <w:rFonts w:ascii="arial" w:eastAsia="arial" w:hAnsi="arial" w:cs="arial"/>
          <w:b/>
          <w:i/>
          <w:strike w:val="0"/>
          <w:noProof w:val="0"/>
          <w:color w:val="000000"/>
          <w:position w:val="0"/>
          <w:sz w:val="24"/>
          <w:u w:val="none"/>
          <w:vertAlign w:val="baseline"/>
        </w:rPr>
        <w:t>International Times</w:t>
      </w:r>
      <w:r>
        <w:rPr>
          <w:rFonts w:ascii="arial" w:eastAsia="arial" w:hAnsi="arial" w:cs="arial"/>
          <w:b w:val="0"/>
          <w:i w:val="0"/>
          <w:strike w:val="0"/>
          <w:noProof w:val="0"/>
          <w:color w:val="000000"/>
          <w:position w:val="0"/>
          <w:sz w:val="24"/>
          <w:u w:val="none"/>
          <w:vertAlign w:val="baseline"/>
        </w:rPr>
        <w:t xml:space="preserve"> yang dinyatakan di atas. Walaupun emel itu disebut, berulang kali semasa perbicaraan dan di dalam DI serta diakui wujud oleh Pihak Yang Menuntut, ia tidak pernah dikemukakan secara lagsung sebagai bahan bukti untuk dipertimbangkan oleh Mahkamah. Mahkamah tidak boleh menerima alasan peguamcara Syarikat yang menyatakan bahawa Mahkamah boleh merujuknya memandangkan emel tersebut telah diakui oleh Pihak Yang Menuntut.</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[43]</w:t>
      </w:r>
      <w:r>
        <w:rPr>
          <w:rFonts w:ascii="arial" w:eastAsia="arial" w:hAnsi="arial" w:cs="arial"/>
          <w:b w:val="0"/>
          <w:i w:val="0"/>
          <w:strike w:val="0"/>
          <w:noProof w:val="0"/>
          <w:color w:val="000000"/>
          <w:position w:val="0"/>
          <w:sz w:val="24"/>
          <w:u w:val="none"/>
          <w:vertAlign w:val="baseline"/>
        </w:rPr>
        <w:t xml:space="preserve">  Dalam keadaan ini, Mahkamah seharusnya memberikan faedah keraguan atau </w:t>
      </w:r>
      <w:r>
        <w:rPr>
          <w:rFonts w:ascii="arial" w:eastAsia="arial" w:hAnsi="arial" w:cs="arial"/>
          <w:b w:val="0"/>
          <w:i/>
          <w:strike w:val="0"/>
          <w:noProof w:val="0"/>
          <w:color w:val="000000"/>
          <w:position w:val="0"/>
          <w:sz w:val="24"/>
          <w:u w:val="none"/>
          <w:vertAlign w:val="baseline"/>
        </w:rPr>
        <w:t>benefit of the doubt</w:t>
      </w:r>
      <w:r>
        <w:rPr>
          <w:rFonts w:ascii="arial" w:eastAsia="arial" w:hAnsi="arial" w:cs="arial"/>
          <w:b w:val="0"/>
          <w:i w:val="0"/>
          <w:strike w:val="0"/>
          <w:noProof w:val="0"/>
          <w:color w:val="000000"/>
          <w:position w:val="0"/>
          <w:sz w:val="24"/>
          <w:u w:val="none"/>
          <w:vertAlign w:val="baseline"/>
        </w:rPr>
        <w:t xml:space="preserve"> kepada Pihak Yang Menuntut kerana beliau telah menjawab didalam dengan memberi pandangan bahawa pada hemat beliau tindakan beliau selari dengan syarat yang ditetapkan oleh peguamcara yang dilantik oleh Syarikat. Tambahan pula dengan kenyataan oleh ahli panel di atas yang mana, pihak perundangan pun diberi tekanan untuk menyelesaikan urusan ini. Oleh itu, wujud satu suasana yang perlu mematuhi arahan pihak atasan yang berleluasa di Syarikat tanpa soal. Dalam keadaan sedemikian, sesiapapun akan menghadapi kesukaran untuk menegakkan perkara yang benar.</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[44]</w:t>
      </w:r>
      <w:r>
        <w:rPr>
          <w:rFonts w:ascii="arial" w:eastAsia="arial" w:hAnsi="arial" w:cs="arial"/>
          <w:b w:val="0"/>
          <w:i w:val="0"/>
          <w:strike w:val="0"/>
          <w:noProof w:val="0"/>
          <w:color w:val="000000"/>
          <w:position w:val="0"/>
          <w:sz w:val="24"/>
          <w:u w:val="none"/>
          <w:vertAlign w:val="baseline"/>
        </w:rPr>
        <w:t>  Berdasarkan di atas, Mahkamah berpendapat bahawa atas imbangan kebarangkalian, Pihak Syarikat gagal membuktikan pertuduhan kedua terhadap Pihak Yang Menuntut kerana ketiadaan bukti untuk menyokong kes Syarikat.</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[45]</w:t>
      </w:r>
      <w:r>
        <w:rPr>
          <w:rFonts w:ascii="arial" w:eastAsia="arial" w:hAnsi="arial" w:cs="arial"/>
          <w:b w:val="0"/>
          <w:i w:val="0"/>
          <w:strike w:val="0"/>
          <w:noProof w:val="0"/>
          <w:color w:val="000000"/>
          <w:position w:val="0"/>
          <w:sz w:val="24"/>
          <w:u w:val="none"/>
          <w:vertAlign w:val="baseline"/>
        </w:rPr>
        <w:t xml:space="preserve">  Pertuduhan Ketiga dan keempat boleh dilihat bersama kerana merupakan satu pertuduhan yang agak umum atau </w:t>
      </w:r>
      <w:r>
        <w:rPr>
          <w:rFonts w:ascii="arial" w:eastAsia="arial" w:hAnsi="arial" w:cs="arial"/>
          <w:b w:val="0"/>
          <w:i/>
          <w:strike w:val="0"/>
          <w:noProof w:val="0"/>
          <w:color w:val="000000"/>
          <w:position w:val="0"/>
          <w:sz w:val="24"/>
          <w:u w:val="none"/>
          <w:vertAlign w:val="baseline"/>
        </w:rPr>
        <w:t>generic</w:t>
      </w:r>
      <w:r>
        <w:rPr>
          <w:rFonts w:ascii="arial" w:eastAsia="arial" w:hAnsi="arial" w:cs="arial"/>
          <w:b w:val="0"/>
          <w:i w:val="0"/>
          <w:strike w:val="0"/>
          <w:noProof w:val="0"/>
          <w:color w:val="000000"/>
          <w:position w:val="0"/>
          <w:sz w:val="24"/>
          <w:u w:val="none"/>
          <w:vertAlign w:val="baseline"/>
        </w:rPr>
        <w:t>. Namun daripada semua pertuduhan yang lain kedua-dua pertuduhan ini yang berkemungkinan boleh dikenakan terhadap Pihak Yang Menuntut atau pekerja. Ini adalah kerana kedua-dua pertuduhan ini berkaitan dengan tanggungjawab seorang pekerja Syarikat untuk memberi nasihat ataupun wujudnya satu andaian yang setiap pekerja bertanggungjawab untuk berbuat sedemikian serta tugas am pekerja terhadap Syarikat.</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[46]</w:t>
      </w:r>
      <w:r>
        <w:rPr>
          <w:rFonts w:ascii="arial" w:eastAsia="arial" w:hAnsi="arial" w:cs="arial"/>
          <w:b w:val="0"/>
          <w:i w:val="0"/>
          <w:strike w:val="0"/>
          <w:noProof w:val="0"/>
          <w:color w:val="000000"/>
          <w:position w:val="0"/>
          <w:sz w:val="24"/>
          <w:u w:val="none"/>
          <w:vertAlign w:val="baseline"/>
        </w:rPr>
        <w:t>  Di dalam jawapan Pihak Yang Menuntut kepada Notis Tunjuk Sebab, beliau menjelaskan bahawa telah memberi nasihat secara lisan tetapi tidak semua diterima oleh KP berkenaan Pertuduhan Ketiga. Manakala Pertuduhan Keempat, Pihak Yang Menuntut menyatakan beliau telah melaksanakan tanggungjawabnya untuk kebaikan Syarikat senantiasa.</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[47]</w:t>
      </w:r>
      <w:r>
        <w:rPr>
          <w:rFonts w:ascii="arial" w:eastAsia="arial" w:hAnsi="arial" w:cs="arial"/>
          <w:b w:val="0"/>
          <w:i w:val="0"/>
          <w:strike w:val="0"/>
          <w:noProof w:val="0"/>
          <w:color w:val="000000"/>
          <w:position w:val="0"/>
          <w:sz w:val="24"/>
          <w:u w:val="none"/>
          <w:vertAlign w:val="baseline"/>
        </w:rPr>
        <w:t>  Pihak Yang Menuntut telah mengakui bahawa beliau tidak pernah memberi apa-apa pandangan secara bertulis hanya secara lisan. Oleh itu, tiada bukti yang Pihak Yang Menuntut boleh beri untuk membuktikan wujudnya nasihat dikemukakan kepada KP. Apa yang nyatakan oleh Pihak Yang Menuntut hanyalah penafian semata-mata untuk kedua-dua Pertuduhan.</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[48]</w:t>
      </w:r>
      <w:r>
        <w:rPr>
          <w:rFonts w:ascii="arial" w:eastAsia="arial" w:hAnsi="arial" w:cs="arial"/>
          <w:b w:val="0"/>
          <w:i w:val="0"/>
          <w:strike w:val="0"/>
          <w:noProof w:val="0"/>
          <w:color w:val="000000"/>
          <w:position w:val="0"/>
          <w:sz w:val="24"/>
          <w:u w:val="none"/>
          <w:vertAlign w:val="baseline"/>
        </w:rPr>
        <w:t xml:space="preserve">  Namun Pertuduhan Ketiga dan Keempat tidaklah seberat Pertuduhan Pertama dan Kedua. Mahkamah bersetuju bahawa kesalahan tetap kesalahan, tetapi dari segi perkadaran ia berbeza. Oleh itu, Mahkamah berpandangan bahawa walaupun Pihak yang Menuntut bersalah untuk Pertuduhan Ketiga dan Keempat tetapi hukuman yang dikenakan tidak setimpal malah boleh dikatakan keterlaluan berdasarkan doktrin keseimbangan atau </w:t>
      </w:r>
      <w:r>
        <w:rPr>
          <w:rFonts w:ascii="arial" w:eastAsia="arial" w:hAnsi="arial" w:cs="arial"/>
          <w:b w:val="0"/>
          <w:i/>
          <w:strike w:val="0"/>
          <w:noProof w:val="0"/>
          <w:color w:val="000000"/>
          <w:position w:val="0"/>
          <w:sz w:val="24"/>
          <w:u w:val="none"/>
          <w:vertAlign w:val="baseline"/>
        </w:rPr>
        <w:t>doctrine of proportionality</w:t>
      </w:r>
      <w:r>
        <w:rPr>
          <w:rFonts w:ascii="arial" w:eastAsia="arial" w:hAnsi="arial" w:cs="arial"/>
          <w:b w:val="0"/>
          <w:i w:val="0"/>
          <w:strike w:val="0"/>
          <w:noProof w:val="0"/>
          <w:color w:val="000000"/>
          <w:position w:val="0"/>
          <w:sz w:val="24"/>
          <w:u w:val="none"/>
          <w:vertAlign w:val="baseline"/>
        </w:rPr>
        <w:t>.</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Doktrin Keseimbangan</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[49]</w:t>
      </w:r>
      <w:r>
        <w:rPr>
          <w:rFonts w:ascii="arial" w:eastAsia="arial" w:hAnsi="arial" w:cs="arial"/>
          <w:b w:val="0"/>
          <w:i w:val="0"/>
          <w:strike w:val="0"/>
          <w:noProof w:val="0"/>
          <w:color w:val="000000"/>
          <w:position w:val="0"/>
          <w:sz w:val="24"/>
          <w:u w:val="none"/>
          <w:vertAlign w:val="baseline"/>
        </w:rPr>
        <w:t>  Selanjutnya, Mahkamah turut melihat secara keseluruhan kes ini dan mendapati Pihak Yang Menuntut turut mempunyai tanggungjawab tertentu di dalam kes ini. Mahkamah bersetuju bahawa tindakan Pihak Yang Menuntut yang melepaskan segala tanggungjawab kepada pihak perundangan bukanlah satu perkara yang boleh dicontohi. Persoalannya sama ada kepincangan itu merupakan satu perkiraan yang Mahkamah boleh diambil tindakan walaupun wujudnya suasana yang tidak tenteram harus dijawab dalam afirmatif.</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[50]</w:t>
      </w:r>
      <w:r>
        <w:rPr>
          <w:rFonts w:ascii="arial" w:eastAsia="arial" w:hAnsi="arial" w:cs="arial"/>
          <w:b w:val="0"/>
          <w:i w:val="0"/>
          <w:strike w:val="0"/>
          <w:noProof w:val="0"/>
          <w:color w:val="000000"/>
          <w:position w:val="0"/>
          <w:sz w:val="24"/>
          <w:u w:val="none"/>
          <w:vertAlign w:val="baseline"/>
        </w:rPr>
        <w:t>  Pihak Yang Menuntut merupakan seorang pegawai atau kakitangan kanan yang berpengalaman dan seharusnya tindakan beliau lebih bertanggungjawab untuk memastikan terdapat usaha yang lebih untuk menunjukkan bahawa segala yang boleh dibuat telah dibuat. Oleh itu, Mahkamah mendapati bahawa Pihak Yang Menuntut turut menyumbang kepada keadaan ini berdasarkan doktrin keseimbangan.</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[51]</w:t>
      </w:r>
      <w:r>
        <w:rPr>
          <w:rFonts w:ascii="arial" w:eastAsia="arial" w:hAnsi="arial" w:cs="arial"/>
          <w:b w:val="0"/>
          <w:i w:val="0"/>
          <w:strike w:val="0"/>
          <w:noProof w:val="0"/>
          <w:color w:val="000000"/>
          <w:position w:val="0"/>
          <w:sz w:val="24"/>
          <w:u w:val="none"/>
          <w:vertAlign w:val="baseline"/>
        </w:rPr>
        <w:t xml:space="preserve">  Duluan untuk doktrin keseimbangan yang dirujuk oleh Mahkamah ini adalah kes </w:t>
      </w:r>
      <w:r>
        <w:rPr>
          <w:rFonts w:ascii="arial" w:eastAsia="arial" w:hAnsi="arial" w:cs="arial"/>
          <w:b w:val="0"/>
          <w:i/>
          <w:strike w:val="0"/>
          <w:noProof w:val="0"/>
          <w:color w:val="000000"/>
          <w:position w:val="0"/>
          <w:sz w:val="24"/>
          <w:u w:val="none"/>
          <w:vertAlign w:val="baseline"/>
        </w:rPr>
        <w:t xml:space="preserve">Norizan bin Baker v Panzana Enterprise Sdn Bhd  </w:t>
      </w:r>
      <w:r>
        <w:rPr>
          <w:rFonts w:ascii="arial" w:eastAsia="arial" w:hAnsi="arial" w:cs="arial"/>
          <w:b w:val="0"/>
          <w:i w:val="0"/>
          <w:strike w:val="0"/>
          <w:noProof w:val="0"/>
          <w:color w:val="000000"/>
          <w:position w:val="0"/>
          <w:sz w:val="24"/>
          <w:u w:val="none"/>
          <w:vertAlign w:val="baseline"/>
        </w:rPr>
        <w:t>[2013] 6 MLJ 605. Menurut kes ini, Mahkamah ini mempunyai tanggungjawab tseperti yang berikut:</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i w:val="0"/>
          <w:strike w:val="0"/>
          <w:noProof w:val="0"/>
          <w:color w:val="000000"/>
          <w:position w:val="0"/>
          <w:sz w:val="18"/>
          <w:u w:val="none"/>
          <w:vertAlign w:val="baseline"/>
        </w:rPr>
        <w:t>[36]</w:t>
      </w:r>
      <w:r>
        <w:rPr>
          <w:rFonts w:ascii="arial" w:eastAsia="arial" w:hAnsi="arial" w:cs="arial"/>
          <w:b w:val="0"/>
          <w:i w:val="0"/>
          <w:strike w:val="0"/>
          <w:noProof w:val="0"/>
          <w:color w:val="000000"/>
          <w:position w:val="0"/>
          <w:sz w:val="18"/>
          <w:u w:val="none"/>
          <w:vertAlign w:val="baseline"/>
        </w:rPr>
        <w:t xml:space="preserve"> Thus, in reference to the questions posed to us, we are of the view that </w:t>
      </w:r>
      <w:r>
        <w:rPr>
          <w:rFonts w:ascii="arial" w:eastAsia="arial" w:hAnsi="arial" w:cs="arial"/>
          <w:b/>
          <w:i w:val="0"/>
          <w:strike w:val="0"/>
          <w:noProof w:val="0"/>
          <w:color w:val="000000"/>
          <w:position w:val="0"/>
          <w:sz w:val="18"/>
          <w:u w:val="none"/>
          <w:vertAlign w:val="baseline"/>
        </w:rPr>
        <w:t>the Industrial Court has the jurisdiction to decide that the dismissal of the appellant was without just cause or excuse by using the doctrine of proportionality of punishment and also to decide whether the punishment of dismissal was too harsh in the circumstances when</w:t>
      </w:r>
      <w:r>
        <w:rPr>
          <w:rFonts w:ascii="arial" w:eastAsia="arial" w:hAnsi="arial" w:cs="arial"/>
          <w:b w:val="0"/>
          <w:i w:val="0"/>
          <w:strike w:val="0"/>
          <w:noProof w:val="0"/>
          <w:color w:val="000000"/>
          <w:position w:val="0"/>
          <w:sz w:val="18"/>
          <w:u w:val="none"/>
          <w:vertAlign w:val="baseline"/>
        </w:rPr>
        <w:t xml:space="preserve"> ascertaining the award under s. 20(3) of the  IRA. We are further of the view that the Industrial Court in exercising the aforesaid functions can rely to its powers under s. 30(5) of the  IRA based on the principle of equity, good conscience and substantial merit of the case.</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[37]</w:t>
      </w:r>
      <w:r>
        <w:rPr>
          <w:rFonts w:ascii="arial" w:eastAsia="arial" w:hAnsi="arial" w:cs="arial"/>
          <w:b w:val="0"/>
          <w:i w:val="0"/>
          <w:strike w:val="0"/>
          <w:noProof w:val="0"/>
          <w:color w:val="000000"/>
          <w:position w:val="0"/>
          <w:sz w:val="18"/>
          <w:u w:val="none"/>
          <w:vertAlign w:val="baseline"/>
        </w:rPr>
        <w:t xml:space="preserve"> Clearly, the reference by the Federal Court in </w:t>
      </w:r>
      <w:r>
        <w:rPr>
          <w:rFonts w:ascii="arial" w:eastAsia="arial" w:hAnsi="arial" w:cs="arial"/>
          <w:b w:val="0"/>
          <w:i/>
          <w:strike w:val="0"/>
          <w:noProof w:val="0"/>
          <w:color w:val="000000"/>
          <w:position w:val="0"/>
          <w:sz w:val="18"/>
          <w:u w:val="none"/>
          <w:vertAlign w:val="baseline"/>
        </w:rPr>
        <w:t>Milan Auto</w:t>
      </w:r>
      <w:r>
        <w:rPr>
          <w:rFonts w:ascii="arial" w:eastAsia="arial" w:hAnsi="arial" w:cs="arial"/>
          <w:b w:val="0"/>
          <w:i w:val="0"/>
          <w:strike w:val="0"/>
          <w:noProof w:val="0"/>
          <w:color w:val="000000"/>
          <w:position w:val="0"/>
          <w:sz w:val="18"/>
          <w:u w:val="none"/>
          <w:vertAlign w:val="baseline"/>
        </w:rPr>
        <w:t xml:space="preserve"> ‘s decision to the “two fold” test, especially the second fold where the Industrial Court has to decide whether the proven misconduct constitutes just cause or excuse for the dismissal is clear reference to the duty of the Industrial Court to apply the doctrine of proportionality of punishment. This is consistent to what is required of the Industrial Court under s. 30(6) in making an award which provides:</w:t>
      </w:r>
    </w:p>
    <w:p>
      <w:pPr>
        <w:keepNext w:val="0"/>
        <w:spacing w:after="0" w:line="240" w:lineRule="atLeast"/>
        <w:ind w:left="8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800" w:right="0" w:firstLine="0"/>
        <w:jc w:val="both"/>
      </w:pPr>
      <w:r>
        <w:br/>
      </w:r>
      <w:r>
        <w:rPr>
          <w:rFonts w:ascii="arial" w:eastAsia="arial" w:hAnsi="arial" w:cs="arial"/>
          <w:b w:val="0"/>
          <w:i w:val="0"/>
          <w:strike w:val="0"/>
          <w:noProof w:val="0"/>
          <w:color w:val="000000"/>
          <w:position w:val="0"/>
          <w:sz w:val="18"/>
          <w:u w:val="none"/>
          <w:vertAlign w:val="baseline"/>
        </w:rPr>
        <w:t>(6) In making its award, the Court shall not be restricted to the specific relief claimed by the parties or to the demands made by the parties in the course of the trade dispute or in the matter of the reference to it under section 20(3) but may include in the award any matter or thing which it thinks necessary or expedient for the purpose of settling the trade dispute or the reference to it under section 20(3).</w:t>
      </w:r>
      <w:r>
        <w:t>
</w:t>
      </w:r>
    </w:p>
    <w:p>
      <w:pPr>
        <w:keepNext w:val="0"/>
        <w:spacing w:after="0" w:line="240" w:lineRule="atLeast"/>
        <w:ind w:left="800" w:right="0" w:firstLine="0"/>
        <w:jc w:val="both"/>
      </w:pPr>
      <w:r>
        <w:rPr>
          <w:rFonts w:ascii="arial" w:eastAsia="arial" w:hAnsi="arial" w:cs="arial"/>
          <w:b w:val="0"/>
          <w:i w:val="0"/>
          <w:strike w:val="0"/>
          <w:noProof w:val="0"/>
          <w:color w:val="000000"/>
          <w:position w:val="0"/>
          <w:sz w:val="18"/>
          <w:u w:val="none"/>
          <w:vertAlign w:val="baseline"/>
        </w:rPr>
        <w:t xml:space="preserve"> </w:t>
      </w:r>
    </w:p>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[38]</w:t>
      </w:r>
      <w:r>
        <w:rPr>
          <w:rFonts w:ascii="arial" w:eastAsia="arial" w:hAnsi="arial" w:cs="arial"/>
          <w:b w:val="0"/>
          <w:i w:val="0"/>
          <w:strike w:val="0"/>
          <w:noProof w:val="0"/>
          <w:color w:val="000000"/>
          <w:position w:val="0"/>
          <w:sz w:val="18"/>
          <w:u w:val="none"/>
          <w:vertAlign w:val="baseline"/>
        </w:rPr>
        <w:t xml:space="preserve"> Pertinent to note that, under the IRA itself there is an inbuilt mechanism through Item 5 of the Second Schedule to consider the doctrine of proportionality of punishment. Item 5 provides as follows:</w:t>
      </w:r>
    </w:p>
    <w:p>
      <w:pPr>
        <w:keepNext w:val="0"/>
        <w:spacing w:after="0" w:line="240" w:lineRule="atLeast"/>
        <w:ind w:left="8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800" w:right="0" w:firstLine="0"/>
        <w:jc w:val="both"/>
      </w:pPr>
      <w:r>
        <w:br/>
      </w:r>
      <w:r>
        <w:rPr>
          <w:rFonts w:ascii="arial" w:eastAsia="arial" w:hAnsi="arial" w:cs="arial"/>
          <w:b w:val="0"/>
          <w:i w:val="0"/>
          <w:strike w:val="0"/>
          <w:noProof w:val="0"/>
          <w:color w:val="000000"/>
          <w:position w:val="0"/>
          <w:sz w:val="18"/>
          <w:u w:val="none"/>
          <w:vertAlign w:val="baseline"/>
        </w:rPr>
        <w:t>Any relief given shall take into account contributory misconduct of the workman.</w:t>
      </w:r>
      <w:r>
        <w:t>
</w:t>
      </w:r>
    </w:p>
    <w:p>
      <w:pPr>
        <w:keepNext w:val="0"/>
        <w:spacing w:after="0" w:line="240" w:lineRule="atLeast"/>
        <w:ind w:left="800" w:right="0" w:firstLine="0"/>
        <w:jc w:val="both"/>
      </w:pPr>
      <w:r>
        <w:rPr>
          <w:rFonts w:ascii="arial" w:eastAsia="arial" w:hAnsi="arial" w:cs="arial"/>
          <w:b w:val="0"/>
          <w:i w:val="0"/>
          <w:strike w:val="0"/>
          <w:noProof w:val="0"/>
          <w:color w:val="000000"/>
          <w:position w:val="0"/>
          <w:sz w:val="18"/>
          <w:u w:val="none"/>
          <w:vertAlign w:val="baseline"/>
        </w:rPr>
        <w:t xml:space="preserve"> </w:t>
      </w:r>
    </w:p>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[39]</w:t>
      </w:r>
      <w:r>
        <w:rPr>
          <w:rFonts w:ascii="arial" w:eastAsia="arial" w:hAnsi="arial" w:cs="arial"/>
          <w:b w:val="0"/>
          <w:i w:val="0"/>
          <w:strike w:val="0"/>
          <w:noProof w:val="0"/>
          <w:color w:val="000000"/>
          <w:position w:val="0"/>
          <w:sz w:val="18"/>
          <w:u w:val="none"/>
          <w:vertAlign w:val="baseline"/>
        </w:rPr>
        <w:t xml:space="preserve"> Based on the above, it is clear that the Industrial Court can go on to decide on the relief to be granted by taking into account of contributory misconduct and as such we are of the view that </w:t>
      </w:r>
      <w:r>
        <w:rPr>
          <w:rFonts w:ascii="arial" w:eastAsia="arial" w:hAnsi="arial" w:cs="arial"/>
          <w:b/>
          <w:i w:val="0"/>
          <w:strike w:val="0"/>
          <w:noProof w:val="0"/>
          <w:color w:val="000000"/>
          <w:position w:val="0"/>
          <w:sz w:val="18"/>
          <w:u w:val="none"/>
          <w:vertAlign w:val="baseline"/>
        </w:rPr>
        <w:t>the doctrine of proportionality of punishment is already inbuilt into the IRA</w:t>
      </w:r>
      <w:r>
        <w:rPr>
          <w:rFonts w:ascii="arial" w:eastAsia="arial" w:hAnsi="arial" w:cs="arial"/>
          <w:b w:val="0"/>
          <w:i w:val="0"/>
          <w:strike w:val="0"/>
          <w:noProof w:val="0"/>
          <w:color w:val="000000"/>
          <w:position w:val="0"/>
          <w:sz w:val="18"/>
          <w:u w:val="none"/>
          <w:vertAlign w:val="baseline"/>
        </w:rPr>
        <w:t>. Thus, the Industrial Court can substitute its own view as to what is the appropriate penalty for the employee’s misconduct, for the view of the employer concerned.”.</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[Penekanan ditambah]</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[52]</w:t>
      </w:r>
      <w:r>
        <w:rPr>
          <w:rFonts w:ascii="arial" w:eastAsia="arial" w:hAnsi="arial" w:cs="arial"/>
          <w:b w:val="0"/>
          <w:i w:val="0"/>
          <w:strike w:val="0"/>
          <w:noProof w:val="0"/>
          <w:color w:val="000000"/>
          <w:position w:val="0"/>
          <w:sz w:val="24"/>
          <w:u w:val="none"/>
          <w:vertAlign w:val="baseline"/>
        </w:rPr>
        <w:t xml:space="preserve">  Berdasarkan semua keterangan dan kes-kes di atas, Mahkamah ini berpendapat bahawa atas imbangan kebarangkalian pihak Syarikat telah gagal membuktikan bahawa Pihak Yang Menuntut telah dipecat tanpa sebab atau alasan yang munasabah seperti keperluan di dalam subseksyen 20(1)  Akta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Walau bagaimanapun, Mahkamah turut memutuskan bahawa Pihak Yang Menuntut telah menyumbang kepada keadaan ini dan atas dasar doktrin keseimbangan perlu menanggung sebahagian daripada kekhilafan ini.</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Remedi</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[53]</w:t>
      </w:r>
      <w:r>
        <w:rPr>
          <w:rFonts w:ascii="arial" w:eastAsia="arial" w:hAnsi="arial" w:cs="arial"/>
          <w:b w:val="0"/>
          <w:i w:val="0"/>
          <w:strike w:val="0"/>
          <w:noProof w:val="0"/>
          <w:color w:val="000000"/>
          <w:position w:val="0"/>
          <w:sz w:val="24"/>
          <w:u w:val="none"/>
          <w:vertAlign w:val="baseline"/>
        </w:rPr>
        <w:t xml:space="preserve">  Seterusnya Mahkamah akan menetapkan kadar dan bayaran yang perlu dibuat oleh pihak Syarikat kepada Pihak Yang Menuntut. Mahkamah ini tidak menafikan bahawa Pihak Yang Menuntut telah menyumbang kepada keadaan di atas. Mahkamah telah mendapati bahawa Pihak Yang Menuntut bersalah untuk Pertuduhan Ketiga dan Keempat. Kesalahan-kesalahan Pihak Yang Menuntut itu tidak mewajarkan pemecatan beliau dan sepatutnya penurunan pangkat adalah memadai. Ini adalah sejajar dengan kes Mahkamah ini iaitu kes </w:t>
      </w:r>
      <w:r>
        <w:rPr>
          <w:rFonts w:ascii="arial" w:eastAsia="arial" w:hAnsi="arial" w:cs="arial"/>
          <w:b/>
          <w:i/>
          <w:strike w:val="0"/>
          <w:noProof w:val="0"/>
          <w:color w:val="000000"/>
          <w:position w:val="0"/>
          <w:sz w:val="24"/>
          <w:u w:val="none"/>
          <w:vertAlign w:val="baseline"/>
        </w:rPr>
        <w:t>Badariah</w:t>
      </w:r>
      <w:r>
        <w:rPr>
          <w:rFonts w:ascii="arial" w:eastAsia="arial" w:hAnsi="arial" w:cs="arial"/>
          <w:b w:val="0"/>
          <w:i w:val="0"/>
          <w:strike w:val="0"/>
          <w:noProof w:val="0"/>
          <w:color w:val="000000"/>
          <w:position w:val="0"/>
          <w:sz w:val="24"/>
          <w:u w:val="none"/>
          <w:vertAlign w:val="baseline"/>
        </w:rPr>
        <w:t xml:space="preserve"> yang telah dinyatakan di atas.</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(i) Pampasan Mengganti Pemulihan Semula Jawatan</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[54]</w:t>
      </w:r>
      <w:r>
        <w:rPr>
          <w:rFonts w:ascii="arial" w:eastAsia="arial" w:hAnsi="arial" w:cs="arial"/>
          <w:b w:val="0"/>
          <w:i w:val="0"/>
          <w:strike w:val="0"/>
          <w:noProof w:val="0"/>
          <w:color w:val="000000"/>
          <w:position w:val="0"/>
          <w:sz w:val="24"/>
          <w:u w:val="none"/>
          <w:vertAlign w:val="baseline"/>
        </w:rPr>
        <w:t>  Lazimnya, pendirian Mahkamah ini adalah pemulihan semula ke jawatan asal agak sukar dilaksanakan memandangkan wujudnya satu situasi yang tidak harmoni antara Pihak Yang Menuntut dan Syarikat sekarang ini. Tambahan pula, Pihak Yang Menuntut telah pun memperolehi pekerjaan yang lain dan pemulihan semula jawatan langsung tidak sesuai dalam keadaan sedemikian.</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[55]</w:t>
      </w:r>
      <w:r>
        <w:rPr>
          <w:rFonts w:ascii="arial" w:eastAsia="arial" w:hAnsi="arial" w:cs="arial"/>
          <w:b w:val="0"/>
          <w:i w:val="0"/>
          <w:strike w:val="0"/>
          <w:noProof w:val="0"/>
          <w:color w:val="000000"/>
          <w:position w:val="0"/>
          <w:sz w:val="24"/>
          <w:u w:val="none"/>
          <w:vertAlign w:val="baseline"/>
        </w:rPr>
        <w:t>  Pihak Syarikat tidak mengemukakan rekod kerja Pihak Yang Menuntut untuk sepanjang perkhidmatan beliau selama sembilan tahun. Mahkamah menganggap bahawa beliau mempunyai rekod kerja yang telah bersih. Pada masa penamatan gaji keseluruhan Pihak Yang Menuntut adalah RM12,584.00 dan jumlah ini akan digunakan untuk pengiraan jumlah Award.</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[56]</w:t>
      </w:r>
      <w:r>
        <w:rPr>
          <w:rFonts w:ascii="arial" w:eastAsia="arial" w:hAnsi="arial" w:cs="arial"/>
          <w:b w:val="0"/>
          <w:i w:val="0"/>
          <w:strike w:val="0"/>
          <w:noProof w:val="0"/>
          <w:color w:val="000000"/>
          <w:position w:val="0"/>
          <w:sz w:val="24"/>
          <w:u w:val="none"/>
          <w:vertAlign w:val="baseline"/>
        </w:rPr>
        <w:t xml:space="preserve">  Lazimnya, Mahkamah akan memberi pampasan sebagai ganti pemulihan semula jawatan atau </w:t>
      </w:r>
      <w:r>
        <w:rPr>
          <w:rFonts w:ascii="arial" w:eastAsia="arial" w:hAnsi="arial" w:cs="arial"/>
          <w:b w:val="0"/>
          <w:i/>
          <w:strike w:val="0"/>
          <w:noProof w:val="0"/>
          <w:color w:val="000000"/>
          <w:position w:val="0"/>
          <w:sz w:val="24"/>
          <w:u w:val="none"/>
          <w:vertAlign w:val="baseline"/>
        </w:rPr>
        <w:t>compensation in lieu of reinstatement</w:t>
      </w:r>
      <w:r>
        <w:rPr>
          <w:rFonts w:ascii="arial" w:eastAsia="arial" w:hAnsi="arial" w:cs="arial"/>
          <w:b w:val="0"/>
          <w:i w:val="0"/>
          <w:strike w:val="0"/>
          <w:noProof w:val="0"/>
          <w:color w:val="000000"/>
          <w:position w:val="0"/>
          <w:sz w:val="24"/>
          <w:u w:val="none"/>
          <w:vertAlign w:val="baseline"/>
        </w:rPr>
        <w:t xml:space="preserve">. Tambahan pula, Pihak Yang Menuntut telah berkhidmat dengan Syarikat selama Sembilan tahun. Ini bermaksud Pihak Yang Menuntut layak mendapat pampasan sepertimana dinyatakan di dalam subperaturan 3(1) </w:t>
      </w:r>
      <w:r>
        <w:rPr>
          <w:rFonts w:ascii="arial" w:eastAsia="arial" w:hAnsi="arial" w:cs="arial"/>
          <w:b w:val="0"/>
          <w:i/>
          <w:strike w:val="0"/>
          <w:noProof w:val="0"/>
          <w:color w:val="000000"/>
          <w:position w:val="0"/>
          <w:sz w:val="24"/>
          <w:u w:val="none"/>
          <w:vertAlign w:val="baseline"/>
        </w:rPr>
        <w:t>Employment (Termination and Lay-Off Bene-fits) Regulations 1980</w:t>
      </w:r>
      <w:r>
        <w:rPr>
          <w:rFonts w:ascii="arial" w:eastAsia="arial" w:hAnsi="arial" w:cs="arial"/>
          <w:b w:val="0"/>
          <w:i w:val="0"/>
          <w:strike w:val="0"/>
          <w:noProof w:val="0"/>
          <w:color w:val="000000"/>
          <w:position w:val="0"/>
          <w:sz w:val="24"/>
          <w:u w:val="none"/>
          <w:vertAlign w:val="baseline"/>
        </w:rPr>
        <w:t xml:space="preserve"> (“PU (A) 278/80”). Peruntukan tersebut menyatakan seperti yang berikut:</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3. (1) Subject to these Regulations, an employer shall be liable to pay termination or lay-off benefits payment calculated in accordance with regula-tion 6 to an employee who has been employed under a continuous contract of service for a period of not less than twelve months ending with the rele-vant date if-</w:t>
      </w:r>
    </w:p>
    <w:p>
      <w:pPr>
        <w:keepNext w:val="0"/>
        <w:spacing w:before="200" w:after="0" w:line="240" w:lineRule="atLeast"/>
        <w:ind w:left="76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numPr>
          <w:numId w:val="35"/>
        </w:numPr>
        <w:spacing w:before="200" w:after="0" w:line="240" w:lineRule="atLeast"/>
        <w:ind w:left="1160" w:right="0"/>
        <w:jc w:val="both"/>
      </w:pPr>
      <w:r>
        <w:rPr>
          <w:rFonts w:ascii="arial" w:eastAsia="arial" w:hAnsi="arial" w:cs="arial"/>
          <w:b w:val="0"/>
          <w:i w:val="0"/>
          <w:strike w:val="0"/>
          <w:noProof w:val="0"/>
          <w:color w:val="000000"/>
          <w:position w:val="0"/>
          <w:sz w:val="18"/>
          <w:u w:val="none"/>
          <w:vertAlign w:val="baseline"/>
        </w:rPr>
        <w:t>the contract of service of the employee is terminated; or</w:t>
      </w:r>
      <w:r>
        <w:rPr>
          <w:rFonts w:ascii="arial" w:eastAsia="arial" w:hAnsi="arial" w:cs="arial"/>
          <w:b w:val="0"/>
          <w:i w:val="0"/>
          <w:strike w:val="0"/>
          <w:noProof w:val="0"/>
          <w:color w:val="000000"/>
          <w:position w:val="0"/>
          <w:sz w:val="18"/>
          <w:u w:val="none"/>
          <w:vertAlign w:val="baseline"/>
        </w:rPr>
        <w:t xml:space="preserve"> </w:t>
      </w:r>
    </w:p>
    <w:p>
      <w:pPr>
        <w:keepNext w:val="0"/>
        <w:numPr>
          <w:numId w:val="35"/>
        </w:numPr>
        <w:spacing w:before="120" w:after="0" w:line="240" w:lineRule="atLeast"/>
        <w:ind w:left="1160" w:right="0"/>
        <w:jc w:val="both"/>
      </w:pPr>
      <w:r>
        <w:rPr>
          <w:rFonts w:ascii="arial" w:eastAsia="arial" w:hAnsi="arial" w:cs="arial"/>
          <w:b w:val="0"/>
          <w:i w:val="0"/>
          <w:strike w:val="0"/>
          <w:noProof w:val="0"/>
          <w:color w:val="000000"/>
          <w:position w:val="0"/>
          <w:sz w:val="18"/>
          <w:u w:val="none"/>
          <w:vertAlign w:val="baseline"/>
        </w:rPr>
        <w:t>the employee is laid-off within the meaning of regulation 5.</w:t>
      </w:r>
      <w:r>
        <w:rPr>
          <w:rFonts w:ascii="arial" w:eastAsia="arial" w:hAnsi="arial" w:cs="arial"/>
          <w:b w:val="0"/>
          <w:i w:val="0"/>
          <w:strike w:val="0"/>
          <w:noProof w:val="0"/>
          <w:color w:val="000000"/>
          <w:position w:val="0"/>
          <w:sz w:val="18"/>
          <w:u w:val="none"/>
          <w:vertAlign w:val="baseline"/>
        </w:rPr>
        <w:t xml:space="preserve"> </w:t>
      </w:r>
    </w:p>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[57]</w:t>
      </w:r>
      <w:r>
        <w:rPr>
          <w:rFonts w:ascii="arial" w:eastAsia="arial" w:hAnsi="arial" w:cs="arial"/>
          <w:b w:val="0"/>
          <w:i w:val="0"/>
          <w:strike w:val="0"/>
          <w:noProof w:val="0"/>
          <w:color w:val="000000"/>
          <w:position w:val="0"/>
          <w:sz w:val="24"/>
          <w:u w:val="none"/>
          <w:vertAlign w:val="baseline"/>
        </w:rPr>
        <w:t>  Di samping itu juga, Mahkamah perlu merujuk kepada perenggan 6(1)(c) PU (A) 278/80 yang menyatakan seperti yang berikut:</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6. (1) Subject to the provisions of these Regulations, the amount of termination or lay-off benefits payment to which an employee is entitled in any case shall not be less than-</w:t>
      </w:r>
    </w:p>
    <w:p>
      <w:pPr>
        <w:keepNext w:val="0"/>
        <w:spacing w:before="200" w:after="0" w:line="240" w:lineRule="atLeast"/>
        <w:ind w:left="76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numPr>
          <w:numId w:val="36"/>
        </w:numPr>
        <w:spacing w:before="200" w:after="0" w:line="240" w:lineRule="atLeast"/>
        <w:ind w:left="1160" w:right="0"/>
        <w:jc w:val="both"/>
      </w:pP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val="0"/>
          <w:strike w:val="0"/>
          <w:noProof w:val="0"/>
          <w:color w:val="000000"/>
          <w:position w:val="0"/>
          <w:sz w:val="18"/>
          <w:u w:val="none"/>
          <w:vertAlign w:val="baseline"/>
        </w:rPr>
        <w:t xml:space="preserve"> </w:t>
      </w:r>
    </w:p>
    <w:p>
      <w:pPr>
        <w:keepNext w:val="0"/>
        <w:numPr>
          <w:numId w:val="36"/>
        </w:numPr>
        <w:spacing w:before="200" w:after="0" w:line="240" w:lineRule="atLeast"/>
        <w:ind w:left="1160" w:right="0"/>
        <w:jc w:val="both"/>
      </w:pP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val="0"/>
          <w:strike w:val="0"/>
          <w:noProof w:val="0"/>
          <w:color w:val="000000"/>
          <w:position w:val="0"/>
          <w:sz w:val="18"/>
          <w:u w:val="none"/>
          <w:vertAlign w:val="baseline"/>
        </w:rPr>
        <w:t xml:space="preserve"> </w:t>
      </w:r>
    </w:p>
    <w:p>
      <w:pPr>
        <w:keepNext w:val="0"/>
        <w:numPr>
          <w:numId w:val="36"/>
        </w:numPr>
        <w:spacing w:before="120" w:after="0" w:line="240" w:lineRule="atLeast"/>
        <w:ind w:left="1160" w:right="0"/>
        <w:jc w:val="both"/>
      </w:pPr>
      <w:r>
        <w:rPr>
          <w:rFonts w:ascii="arial" w:eastAsia="arial" w:hAnsi="arial" w:cs="arial"/>
          <w:b w:val="0"/>
          <w:i w:val="0"/>
          <w:strike w:val="0"/>
          <w:noProof w:val="0"/>
          <w:color w:val="000000"/>
          <w:position w:val="0"/>
          <w:sz w:val="18"/>
          <w:u w:val="none"/>
          <w:vertAlign w:val="baseline"/>
        </w:rPr>
        <w:t>Twenty days’ wages for every year of employment under a continu-ous contract of service with the employer if he has been employed by the employer for five years or more.</w:t>
      </w:r>
      <w:r>
        <w:rPr>
          <w:rFonts w:ascii="arial" w:eastAsia="arial" w:hAnsi="arial" w:cs="arial"/>
          <w:b w:val="0"/>
          <w:i w:val="0"/>
          <w:strike w:val="0"/>
          <w:noProof w:val="0"/>
          <w:color w:val="000000"/>
          <w:position w:val="0"/>
          <w:sz w:val="18"/>
          <w:u w:val="none"/>
          <w:vertAlign w:val="baseline"/>
        </w:rPr>
        <w:t xml:space="preserve"> </w:t>
      </w:r>
    </w:p>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and pro-rata as respect an incomplete year, calculated to the nearest month.</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[58]</w:t>
      </w:r>
      <w:r>
        <w:rPr>
          <w:rFonts w:ascii="arial" w:eastAsia="arial" w:hAnsi="arial" w:cs="arial"/>
          <w:b w:val="0"/>
          <w:i w:val="0"/>
          <w:strike w:val="0"/>
          <w:noProof w:val="0"/>
          <w:color w:val="000000"/>
          <w:position w:val="0"/>
          <w:sz w:val="24"/>
          <w:u w:val="none"/>
          <w:vertAlign w:val="baseline"/>
        </w:rPr>
        <w:t>  Berdasarkan di atas, Pihak Yang Menuntut telah ditamatkan menurut perenggan 3(1)(a) PU (A) 278/80 dan layak mendapat pampasan sepertimana inyatakan di dalam perenggan 6(1)(c) PU (A) 278/80. Dengan itu, Pihak Yang Menuntut perlu dibayar pampasan menurut kiraan yang akan dinyatakan di bawah.</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(ii) Upah Tangguhan</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[59]</w:t>
      </w:r>
      <w:r>
        <w:rPr>
          <w:rFonts w:ascii="arial" w:eastAsia="arial" w:hAnsi="arial" w:cs="arial"/>
          <w:b w:val="0"/>
          <w:i w:val="0"/>
          <w:strike w:val="0"/>
          <w:noProof w:val="0"/>
          <w:color w:val="000000"/>
          <w:position w:val="0"/>
          <w:sz w:val="24"/>
          <w:u w:val="none"/>
          <w:vertAlign w:val="baseline"/>
        </w:rPr>
        <w:t xml:space="preserve">  Memandangkan Mahkamah telah membuat penentuan bahawa Pihak Yang Menuntut dipecat tanpa sebab atau alasan munasabah, Pihak Yang Menuntut sepatutnya layak menerima upah tangguhan seperti dinyatakan di dalam subseksyen 30 (6A)  Akta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Walau bagaimanapun, Pihak Yang Menuntut telah mengakui bahawa beliau mendapat pekerjaan pada November 2021 iaitu hanya sebulan selepas ditamatkan. Oleh itu, Mahkamah keberatan untuk memberi apa-apa Award tambahan.</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(iii) Tanggungan Kontraktual</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[60]</w:t>
      </w:r>
      <w:r>
        <w:rPr>
          <w:rFonts w:ascii="arial" w:eastAsia="arial" w:hAnsi="arial" w:cs="arial"/>
          <w:b w:val="0"/>
          <w:i w:val="0"/>
          <w:strike w:val="0"/>
          <w:noProof w:val="0"/>
          <w:color w:val="000000"/>
          <w:position w:val="0"/>
          <w:sz w:val="24"/>
          <w:u w:val="none"/>
          <w:vertAlign w:val="baseline"/>
        </w:rPr>
        <w:t xml:space="preserve">  Di dalam </w:t>
      </w:r>
      <w:r>
        <w:rPr>
          <w:rFonts w:ascii="arial" w:eastAsia="arial" w:hAnsi="arial" w:cs="arial"/>
          <w:b w:val="0"/>
          <w:i/>
          <w:strike w:val="0"/>
          <w:noProof w:val="0"/>
          <w:color w:val="000000"/>
          <w:position w:val="0"/>
          <w:sz w:val="24"/>
          <w:u w:val="none"/>
          <w:vertAlign w:val="baseline"/>
        </w:rPr>
        <w:t>Statement of Case</w:t>
      </w:r>
      <w:r>
        <w:rPr>
          <w:rFonts w:ascii="arial" w:eastAsia="arial" w:hAnsi="arial" w:cs="arial"/>
          <w:b w:val="0"/>
          <w:i w:val="0"/>
          <w:strike w:val="0"/>
          <w:noProof w:val="0"/>
          <w:color w:val="000000"/>
          <w:position w:val="0"/>
          <w:sz w:val="24"/>
          <w:u w:val="none"/>
          <w:vertAlign w:val="baseline"/>
        </w:rPr>
        <w:t xml:space="preserve"> Pihak Yang Menuntut ada menyatakan tentang bayaran gratuiti yang beliau layak tetapi tidak diberi oleh Syarikat. Semasa Pemeriksaan balas oleh peguamcara Syarikat, Pihak Yang Menuntut mengakui bahawa langsung tidak membangkitkannya di dalam </w:t>
      </w:r>
      <w:r>
        <w:rPr>
          <w:rFonts w:ascii="arial" w:eastAsia="arial" w:hAnsi="arial" w:cs="arial"/>
          <w:b w:val="0"/>
          <w:i/>
          <w:strike w:val="0"/>
          <w:noProof w:val="0"/>
          <w:color w:val="000000"/>
          <w:position w:val="0"/>
          <w:sz w:val="24"/>
          <w:u w:val="none"/>
          <w:vertAlign w:val="baseline"/>
        </w:rPr>
        <w:t>CLWS</w:t>
      </w:r>
      <w:r>
        <w:rPr>
          <w:rFonts w:ascii="arial" w:eastAsia="arial" w:hAnsi="arial" w:cs="arial"/>
          <w:b w:val="0"/>
          <w:i w:val="0"/>
          <w:strike w:val="0"/>
          <w:noProof w:val="0"/>
          <w:color w:val="000000"/>
          <w:position w:val="0"/>
          <w:sz w:val="24"/>
          <w:u w:val="none"/>
          <w:vertAlign w:val="baseline"/>
        </w:rPr>
        <w:t>. Ini menyukarkan Mahkamah untuk memberi apa-apa pertimbangan kerana tidak mendapat cukup maklumat tentang tuntutan ini.</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[61]</w:t>
      </w:r>
      <w:r>
        <w:rPr>
          <w:rFonts w:ascii="arial" w:eastAsia="arial" w:hAnsi="arial" w:cs="arial"/>
          <w:b w:val="0"/>
          <w:i w:val="0"/>
          <w:strike w:val="0"/>
          <w:noProof w:val="0"/>
          <w:color w:val="000000"/>
          <w:position w:val="0"/>
          <w:sz w:val="24"/>
          <w:u w:val="none"/>
          <w:vertAlign w:val="baseline"/>
        </w:rPr>
        <w:t>  Walau bagaimanapun, Mahkamah telah menyatakan bahawa Pihak Yang Menuntut telah menyumbang kepada kes ini dan berdasarkan doktrin keseimbangan perlu menanggung sebahagian tuntutan. Oleh itu, Mahkamah memutuskan bahawa atas doktrin keseimbangan bahawa tiada perintah lain berkenaan dengan Award hanya sekadar pampasan mengganti pemulihan semula jawatan sahaja diberikan.</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[62]</w:t>
      </w:r>
      <w:r>
        <w:rPr>
          <w:rFonts w:ascii="arial" w:eastAsia="arial" w:hAnsi="arial" w:cs="arial"/>
          <w:b w:val="0"/>
          <w:i w:val="0"/>
          <w:strike w:val="0"/>
          <w:noProof w:val="0"/>
          <w:color w:val="000000"/>
          <w:position w:val="0"/>
          <w:sz w:val="24"/>
          <w:u w:val="none"/>
          <w:vertAlign w:val="baseline"/>
        </w:rPr>
        <w:t>  Jumlah perhitungan dibuat di dalam jadual di bawah dan digabungkan dengan semua Award yang dinyatakan sebelum ini. Pemecahan adalah seperti yang berikut:</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strike w:val="0"/>
          <w:noProof w:val="0"/>
          <w:color w:val="000000"/>
          <w:position w:val="0"/>
          <w:sz w:val="24"/>
          <w:u w:val="none"/>
          <w:vertAlign w:val="baseline"/>
        </w:rPr>
        <w:t>(i)</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val="0"/>
          <w:strike w:val="0"/>
          <w:noProof w:val="0"/>
          <w:color w:val="000000"/>
          <w:position w:val="0"/>
          <w:sz w:val="24"/>
          <w:u w:val="single"/>
          <w:vertAlign w:val="baseline"/>
        </w:rPr>
        <w:t>Pampasan Mengganti Pemulihan Semula Jawatan</w:t>
      </w:r>
      <w:r>
        <w:rPr>
          <w:rFonts w:ascii="arial" w:eastAsia="arial" w:hAnsi="arial" w:cs="arial"/>
          <w:b w:val="0"/>
          <w:i w:val="0"/>
          <w:strike w:val="0"/>
          <w:noProof w:val="0"/>
          <w:color w:val="000000"/>
          <w:position w:val="0"/>
          <w:sz w:val="24"/>
          <w:u w:val="none"/>
          <w:vertAlign w:val="baseline"/>
        </w:rPr>
        <w:t xml:space="preserve"> </w:t>
      </w:r>
    </w:p>
    <w:p/>
    <w:tbl>
      <w:tblPr>
        <w:tblW w:w="5000" w:type="pct"/>
        <w:jc w:val="center"/>
        <w:tblBorders>
          <w:top w:val="single" w:sz="8" w:space="0" w:color="BCBEC0"/>
          <w:left w:val="single" w:sz="8" w:space="0" w:color="BCBEC0"/>
          <w:bottom w:val="single" w:sz="8" w:space="0" w:color="BCBEC0"/>
          <w:right w:val="single" w:sz="8" w:space="0" w:color="BCBEC0"/>
          <w:insideH w:val="nil"/>
          <w:insideV w:val="nil"/>
        </w:tblBorders>
        <w:tblLayout w:type="fixed"/>
        <w:tblCellMar>
          <w:left w:w="108" w:type="dxa"/>
          <w:right w:w="108" w:type="dxa"/>
        </w:tblCellMar>
      </w:tblPr>
      <w:tblGrid>
        <w:gridCol w:w="5228"/>
        <w:gridCol w:w="5228"/>
      </w:tblGrid>
      <w:tr>
        <w:tblPrEx>
          <w:tblW w:w="5000" w:type="pct"/>
          <w:tblLayout w:type="fixed"/>
        </w:tblPrEx>
        <w:tc>
          <w:tcPr>
            <w:tcW w:w="5120"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RM12,584.00 / 30 hari</w:t>
            </w:r>
          </w:p>
        </w:tc>
        <w:tc>
          <w:tcPr>
            <w:tcW w:w="5120" w:type="dxa"/>
            <w:tcBorders>
              <w:bottom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RM419.47 Gaji sehari</w:t>
            </w:r>
          </w:p>
        </w:tc>
      </w:tr>
      <w:tr>
        <w:tblPrEx>
          <w:tblW w:w="5000" w:type="pct"/>
          <w:tblLayout w:type="fixed"/>
        </w:tblPrEx>
        <w:tc>
          <w:tcPr>
            <w:tcW w:w="5120"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RM419.47 gaji sehari x 20 hari x 9 tahun</w:t>
            </w:r>
          </w:p>
        </w:tc>
        <w:tc>
          <w:tcPr>
            <w:tcW w:w="5120" w:type="dxa"/>
            <w:tcBorders>
              <w:bottom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RM75,504.60</w:t>
            </w:r>
          </w:p>
        </w:tc>
      </w:tr>
      <w:tr>
        <w:tblPrEx>
          <w:tblW w:w="5000" w:type="pct"/>
          <w:tblLayout w:type="fixed"/>
        </w:tblPrEx>
        <w:tc>
          <w:tcPr>
            <w:tcW w:w="5120" w:type="dxa"/>
            <w:tcBorders>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i w:val="0"/>
                <w:strike w:val="0"/>
                <w:noProof w:val="0"/>
                <w:color w:val="000000"/>
                <w:position w:val="0"/>
                <w:sz w:val="20"/>
                <w:u w:val="none"/>
                <w:vertAlign w:val="baseline"/>
              </w:rPr>
              <w:t>Jumlah Award</w:t>
            </w:r>
          </w:p>
        </w:tc>
        <w:tc>
          <w:tcPr>
            <w:tcW w:w="5120" w:type="dxa"/>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000000"/>
                <w:position w:val="0"/>
                <w:sz w:val="20"/>
                <w:u w:val="none"/>
                <w:vertAlign w:val="baseline"/>
              </w:rPr>
              <w:t>RM75,504.60</w:t>
            </w:r>
          </w:p>
        </w:tc>
      </w:tr>
    </w:tbl>
    <w:p>
      <w:pPr>
        <w:keepNext w:val="0"/>
        <w:spacing w:after="0" w:line="300" w:lineRule="atLeast"/>
        <w:ind w:left="0" w:right="0" w:firstLine="0"/>
        <w:jc w:val="both"/>
      </w:pPr>
      <w:r>
        <w:rPr>
          <w:rFonts w:ascii="arial" w:eastAsia="arial" w:hAnsi="arial" w:cs="arial"/>
          <w:b w:val="0"/>
          <w:i w:val="0"/>
          <w:strike w:val="0"/>
          <w:noProof w:val="0"/>
          <w:color w:val="000000"/>
          <w:position w:val="0"/>
          <w:sz w:val="24"/>
          <w:u w:val="none"/>
          <w:vertAlign w:val="baseline"/>
        </w:rPr>
        <w:t xml:space="preserve"> </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[63]</w:t>
      </w:r>
      <w:r>
        <w:rPr>
          <w:rFonts w:ascii="arial" w:eastAsia="arial" w:hAnsi="arial" w:cs="arial"/>
          <w:b w:val="0"/>
          <w:i w:val="0"/>
          <w:strike w:val="0"/>
          <w:noProof w:val="0"/>
          <w:color w:val="000000"/>
          <w:position w:val="0"/>
          <w:sz w:val="24"/>
          <w:u w:val="none"/>
          <w:vertAlign w:val="baseline"/>
        </w:rPr>
        <w:t>  Berdasarkan kesemua di atas, Mahkamah ini mempercayai atas dasar imbangan kebarangkalian Mahkamah ini mendapati Pihak Yang Menuntut dipecat tanpa alasan yang munasabah. Oleh itu Mahkamah memberi award ini kepada Pihak Yang Menuntut dengan jumlah Ringgit Malaysia Tujuh puluh lima ribu lima ratus empat dan sen enam puluh (RM75,504.60) sahaja.</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right"/>
      </w:pPr>
      <w:r>
        <w:br/>
      </w:r>
      <w:r>
        <w:rPr>
          <w:rFonts w:ascii="arial" w:eastAsia="arial" w:hAnsi="arial" w:cs="arial"/>
          <w:b w:val="0"/>
          <w:i/>
          <w:strike w:val="0"/>
          <w:noProof w:val="0"/>
          <w:color w:val="000000"/>
          <w:position w:val="0"/>
          <w:sz w:val="24"/>
          <w:u w:val="none"/>
          <w:vertAlign w:val="baseline"/>
        </w:rPr>
        <w:t>Tuntutan dibenarkan.</w:t>
      </w:r>
      <w:r>
        <w:t>
</w:t>
      </w:r>
    </w:p>
    <w:p>
      <w:pPr>
        <w:keepNext w:val="0"/>
        <w:spacing w:after="0" w:line="300" w:lineRule="atLeast"/>
        <w:ind w:left="0" w:right="0" w:firstLine="0"/>
        <w:jc w:val="right"/>
      </w:pPr>
      <w:bookmarkStart w:id="6" w:name="Reporter"/>
      <w:bookmarkEnd w:id="6"/>
      <w:r>
        <w:rPr>
          <w:rFonts w:ascii="arial" w:eastAsia="arial" w:hAnsi="arial" w:cs="arial"/>
          <w:b w:val="0"/>
          <w:i w:val="0"/>
          <w:strike w:val="0"/>
          <w:noProof w:val="0"/>
          <w:color w:val="000000"/>
          <w:position w:val="0"/>
          <w:sz w:val="24"/>
          <w:u w:val="none"/>
          <w:vertAlign w:val="baseline"/>
        </w:rPr>
        <w:t>Reported by K Selvaraju</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Nor Hafizza binti Abdul Manan lwn Yayasan Pembangunan Ekonomi Islam Malaysia (Yapeim) [2024] 3 ILJ 216</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2"/>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3"/>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4"/>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5"/>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6"/>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7"/>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2"/>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3"/>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4"/>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5"/>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6"/>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7"/>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lowerRoman"/>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i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v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v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v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ix)"/>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x)"/>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x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x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x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xi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x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xv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lowerRoman"/>
      <w:lvlText w:val=" %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i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lowerLetter"/>
      <w:lvlText w:val="(%1)"/>
      <w:lvlJc w:val="left"/>
      <w:pPr>
        <w:tabs>
          <w:tab w:val="num" w:pos="760"/>
        </w:tabs>
        <w:ind w:left="76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lowerLetter"/>
      <w:lvlText w:val="(%1)"/>
      <w:lvlJc w:val="left"/>
      <w:pPr>
        <w:tabs>
          <w:tab w:val="num" w:pos="760"/>
        </w:tabs>
        <w:ind w:left="76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18"/>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 Hafizza binti Abdul Manan lwn Yayasan Pembangunan Ekonomi Islam Malaysia (Yapeim) [2024] 3 ILJ 216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DM0-T7J3-MYCP-T0W2-00000-00">
    <vt:lpwstr>Doc::/shared/document|contextualFeaturePermID::1522468</vt:lpwstr>
  </property>
  <property fmtid="{D5CDD505-2E9C-101B-9397-08002B2CF9AE}" pid="4" name="LNDeliveryID">
    <vt:lpwstr>283274944</vt:lpwstr>
  </property>
  <property fmtid="{D5CDD505-2E9C-101B-9397-08002B2CF9AE}" pid="5" name="UserPermID">
    <vt:lpwstr>urn:user:PA196491919</vt:lpwstr>
  </property>
</Properties>
</file>