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Nor Hafizza bt Abdul Manan lwn Yayasan Pembangunan Ekonomi Islam Malaysia (YAPEIM)  [2024] ILJU 60</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MAHKAMAH PERUSAHAAN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P</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163 TAHUN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23 January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Mohammad Muzammil Mohammad Hairiri (Mohd Azrul Hisham bin Mukhtar bersamanya) (The Chambers of Hisham Mukhtar) bagi pihak yang menuntut.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Mohamed Harmy bin Yusoff (Sofiyyah bt Nizar bersamanya) (Harmy Yusoff &amp; Azli) bagi pihak syarikat.</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87"/>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P"/>
            <w:bookmarkEnd w:id="1"/>
            <w:r>
              <w:rPr>
                <w:rFonts w:ascii="arial" w:eastAsia="arial" w:hAnsi="arial" w:cs="arial"/>
                <w:b/>
                <w:i w:val="0"/>
                <w:strike w:val="0"/>
                <w:noProof w:val="0"/>
                <w:color w:val="000000"/>
                <w:position w:val="0"/>
                <w:sz w:val="30"/>
                <w:u w:val="none"/>
                <w:vertAlign w:val="baseline"/>
              </w:rPr>
              <w:t>Salahudin Hidayat Shariff P:</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RUJUKAN: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Ini adalah suatu rujukan bertarikh 23 Jun 2022 yang dibuat di bawah subseksyen 20(3)  Akta Perhubungan Perusahaan 1967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oleh Ketua Pengarah Perhubungan Perusahaan Manusia mengenai dakwaan pembuangan kerja </w:t>
      </w:r>
      <w:r>
        <w:rPr>
          <w:rFonts w:ascii="arial" w:eastAsia="arial" w:hAnsi="arial" w:cs="arial"/>
          <w:b/>
          <w:i w:val="0"/>
          <w:strike w:val="0"/>
          <w:noProof w:val="0"/>
          <w:color w:val="000000"/>
          <w:position w:val="0"/>
          <w:sz w:val="24"/>
          <w:u w:val="none"/>
          <w:vertAlign w:val="baseline"/>
        </w:rPr>
        <w:t>Nor Hafizza Binti Abdul Manan</w:t>
      </w:r>
      <w:r>
        <w:rPr>
          <w:rFonts w:ascii="arial" w:eastAsia="arial" w:hAnsi="arial" w:cs="arial"/>
          <w:b w:val="0"/>
          <w:i w:val="0"/>
          <w:strike w:val="0"/>
          <w:noProof w:val="0"/>
          <w:color w:val="000000"/>
          <w:position w:val="0"/>
          <w:sz w:val="24"/>
          <w:u w:val="none"/>
          <w:vertAlign w:val="baseline"/>
        </w:rPr>
        <w:t xml:space="preserve"> (selepas ini disebut “Pihak Yang Menuntut”) oleh </w:t>
      </w:r>
      <w:r>
        <w:rPr>
          <w:rFonts w:ascii="arial" w:eastAsia="arial" w:hAnsi="arial" w:cs="arial"/>
          <w:b/>
          <w:i w:val="0"/>
          <w:strike w:val="0"/>
          <w:noProof w:val="0"/>
          <w:color w:val="000000"/>
          <w:position w:val="0"/>
          <w:sz w:val="24"/>
          <w:u w:val="none"/>
          <w:vertAlign w:val="baseline"/>
        </w:rPr>
        <w:t>Yayasan Pembangunan Ekonomi Islam Malaysia (YAPEIM)</w:t>
      </w:r>
      <w:r>
        <w:rPr>
          <w:rFonts w:ascii="arial" w:eastAsia="arial" w:hAnsi="arial" w:cs="arial"/>
          <w:b w:val="0"/>
          <w:i w:val="0"/>
          <w:strike w:val="0"/>
          <w:noProof w:val="0"/>
          <w:color w:val="000000"/>
          <w:position w:val="0"/>
          <w:sz w:val="24"/>
          <w:u w:val="none"/>
          <w:vertAlign w:val="baseline"/>
        </w:rPr>
        <w:t xml:space="preserve"> (selepas ini disebut sebagai “Syarikat”) pada 15 Oktober 2021.</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Ringkasan Kes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Ini adalah suatu tuntutan penamatan kerja yang dikatakan tidak adil dan sah pada 15 Oktober 2021 yang difailkan oleh Pihak Yang Menuntut.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Pihak Yang Menuntut telah mula bekerja dengan Syarikat sejak 1 Oktober 2012 sebagai Pengurus Kanan di Bahagian Pembangunan Multimedia dan Sistem. Pihak Yang Menuntut telah dilantik ke jawatan terakhir di dalam Syarikat pada 16 Oktober 2017, iaitu Ketua Bahagian, Bahagian Projek Khas YaPEIM. Beliau telah berkhidmat dengan Syarikat selama sembilan tahun.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Pada 15 Oktober 2021 Pihak Yang Menuntut telah ditamatkan serta merta kerana didapati bersalah ke atas kesemua empat pertuduhan selepas sidang Siasatan Dalaman (“DI”). DI tersebut telah berlangsung secara maya pada 5 Ogos 2021. Pihak Yang Menuntut telah mencabar kesahan DI tersebut dan menyatakan ia telah melanggar </w:t>
      </w:r>
      <w:r>
        <w:rPr>
          <w:rFonts w:ascii="arial" w:eastAsia="arial" w:hAnsi="arial" w:cs="arial"/>
          <w:b w:val="0"/>
          <w:i/>
          <w:strike w:val="0"/>
          <w:noProof w:val="0"/>
          <w:color w:val="000000"/>
          <w:position w:val="0"/>
          <w:sz w:val="24"/>
          <w:u w:val="none"/>
          <w:vertAlign w:val="baseline"/>
        </w:rPr>
        <w:t>natural justice</w:t>
      </w:r>
      <w:r>
        <w:rPr>
          <w:rFonts w:ascii="arial" w:eastAsia="arial" w:hAnsi="arial" w:cs="arial"/>
          <w:b w:val="0"/>
          <w:i w:val="0"/>
          <w:strike w:val="0"/>
          <w:noProof w:val="0"/>
          <w:color w:val="000000"/>
          <w:position w:val="0"/>
          <w:sz w:val="24"/>
          <w:u w:val="none"/>
          <w:vertAlign w:val="baseline"/>
        </w:rPr>
        <w:t xml:space="preserve"> atau keadilan asasi/semulajadi.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Pihak Syarikat pula merupakan satu yayasan yang ditubuhkan bukan untuk mendapat keuntungan, malah ia tidak dapat menjalankan perniagaan. Syarikat ditugaskan untuk menganjurkan program-program untuk membantu ekonomi orang Islam di Malaysia secara am.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Pihak Syarikat telah bercadang untuk memasukki satu urus niaga dengan satu entiti lain, iaitu Aneka Group, untuk membeli satu rangkaian kedai runcit di Malaysia dan mencadangkan memasukki perjanjian untuk membeli saham-saham rangkaian kedai tersebut. Ketua Pengarah Syarikat (“KP”) telah mengarahkan urusniaga yang dimaksudkan dilaksanakan oleh Bahagian yang diketuai oleh Pihak Yang Menuntut. Walau bagaimanapun, terdapat beberapa perkara berbangkit yang menjadi penghalang untuk urusniaga ini sehingga Syarikat telah kerugian sehingga RM1 juta.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Selepas satu penyiasatan dalaman Syarikat, tiga pegawai yang telah dipersalahkan termasuk Pihak Yang Menuntut untuk beberapa kesalahan lain termasuk kerugian yang dinyatakan. Pihak Yang Menuntut telah didapati bersalah semasa DI untuk empat pertuduhan dan ditamatkan dari pekerjaan.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Mahkamah ini telah meneliti semua keterangan, hujahan dan ikatan yang dikemukakan oleh kedua-dua pihak seperti yang berikut:</w:t>
      </w:r>
      <w:r>
        <w:t>
</w:t>
      </w:r>
    </w:p>
    <w:p>
      <w:pPr>
        <w:keepNext w:val="0"/>
        <w:numPr>
          <w:numId w:val="1"/>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Statement of Case</w:t>
      </w:r>
      <w:r>
        <w:rPr>
          <w:rFonts w:ascii="arial" w:eastAsia="arial" w:hAnsi="arial" w:cs="arial"/>
          <w:b w:val="0"/>
          <w:i w:val="0"/>
          <w:strike w:val="0"/>
          <w:noProof w:val="0"/>
          <w:color w:val="000000"/>
          <w:position w:val="0"/>
          <w:sz w:val="24"/>
          <w:u w:val="none"/>
          <w:vertAlign w:val="baseline"/>
        </w:rPr>
        <w:t xml:space="preserve"> bertarikh 22 Ogos 2022;</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Statement in Reply</w:t>
      </w:r>
      <w:r>
        <w:rPr>
          <w:rFonts w:ascii="arial" w:eastAsia="arial" w:hAnsi="arial" w:cs="arial"/>
          <w:b w:val="0"/>
          <w:i w:val="0"/>
          <w:strike w:val="0"/>
          <w:noProof w:val="0"/>
          <w:color w:val="000000"/>
          <w:position w:val="0"/>
          <w:sz w:val="24"/>
          <w:u w:val="none"/>
          <w:vertAlign w:val="baseline"/>
        </w:rPr>
        <w:t xml:space="preserve"> bertarikh 26 September 2022;</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Ikatan Dokumen Pihak Yang Menuntut yang difailkan pada 14 Jun 2023 dan ditanda sebagai ekshibit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p>
    <w:p>
      <w:pPr>
        <w:keepNext w:val="0"/>
        <w:numPr>
          <w:numId w:val="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Company’s Bundle of Documents</w:t>
      </w:r>
      <w:r>
        <w:rPr>
          <w:rFonts w:ascii="arial" w:eastAsia="arial" w:hAnsi="arial" w:cs="arial"/>
          <w:b w:val="0"/>
          <w:i w:val="0"/>
          <w:strike w:val="0"/>
          <w:noProof w:val="0"/>
          <w:color w:val="000000"/>
          <w:position w:val="0"/>
          <w:sz w:val="24"/>
          <w:u w:val="none"/>
          <w:vertAlign w:val="baseline"/>
        </w:rPr>
        <w:t xml:space="preserve"> yang difailkan pada 21 Mac 2023 dan ditanda sebagai ekshibit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numPr>
          <w:numId w:val="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Company’s Supplementary Bundle of Documents</w:t>
      </w:r>
      <w:r>
        <w:rPr>
          <w:rFonts w:ascii="arial" w:eastAsia="arial" w:hAnsi="arial" w:cs="arial"/>
          <w:b w:val="0"/>
          <w:i w:val="0"/>
          <w:strike w:val="0"/>
          <w:noProof w:val="0"/>
          <w:color w:val="000000"/>
          <w:position w:val="0"/>
          <w:sz w:val="24"/>
          <w:u w:val="none"/>
          <w:vertAlign w:val="baseline"/>
        </w:rPr>
        <w:t xml:space="preserve"> yang difailkan pada 24 Mei 2022 dan ditanda sebagai ekshibit </w:t>
      </w:r>
      <w:r>
        <w:rPr>
          <w:rFonts w:ascii="arial" w:eastAsia="arial" w:hAnsi="arial" w:cs="arial"/>
          <w:b w:val="0"/>
          <w:i/>
          <w:strike w:val="0"/>
          <w:noProof w:val="0"/>
          <w:color w:val="000000"/>
          <w:position w:val="0"/>
          <w:sz w:val="24"/>
          <w:u w:val="none"/>
          <w:vertAlign w:val="baseline"/>
        </w:rPr>
        <w:t>COB-2</w:t>
      </w:r>
      <w:r>
        <w:rPr>
          <w:rFonts w:ascii="arial" w:eastAsia="arial" w:hAnsi="arial" w:cs="arial"/>
          <w:b w:val="0"/>
          <w:i w:val="0"/>
          <w:strike w:val="0"/>
          <w:noProof w:val="0"/>
          <w:color w:val="000000"/>
          <w:position w:val="0"/>
          <w:sz w:val="24"/>
          <w:u w:val="none"/>
          <w:vertAlign w:val="baseline"/>
        </w:rPr>
        <w:t>;</w:t>
      </w:r>
    </w:p>
    <w:p>
      <w:pPr>
        <w:keepNext w:val="0"/>
        <w:numPr>
          <w:numId w:val="6"/>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Company’s Supplementary Bundle of Documents (3)</w:t>
      </w:r>
      <w:r>
        <w:rPr>
          <w:rFonts w:ascii="arial" w:eastAsia="arial" w:hAnsi="arial" w:cs="arial"/>
          <w:b w:val="0"/>
          <w:i w:val="0"/>
          <w:strike w:val="0"/>
          <w:noProof w:val="0"/>
          <w:color w:val="000000"/>
          <w:position w:val="0"/>
          <w:sz w:val="24"/>
          <w:u w:val="none"/>
          <w:vertAlign w:val="baseline"/>
        </w:rPr>
        <w:t xml:space="preserve"> yang difailkan pada 5 Julai 2023 dan ditanda sebagai ekshibit </w:t>
      </w:r>
      <w:r>
        <w:rPr>
          <w:rFonts w:ascii="arial" w:eastAsia="arial" w:hAnsi="arial" w:cs="arial"/>
          <w:b w:val="0"/>
          <w:i/>
          <w:strike w:val="0"/>
          <w:noProof w:val="0"/>
          <w:color w:val="000000"/>
          <w:position w:val="0"/>
          <w:sz w:val="24"/>
          <w:u w:val="none"/>
          <w:vertAlign w:val="baseline"/>
        </w:rPr>
        <w:t>COB-3</w:t>
      </w:r>
      <w:r>
        <w:rPr>
          <w:rFonts w:ascii="arial" w:eastAsia="arial" w:hAnsi="arial" w:cs="arial"/>
          <w:b w:val="0"/>
          <w:i w:val="0"/>
          <w:strike w:val="0"/>
          <w:noProof w:val="0"/>
          <w:color w:val="000000"/>
          <w:position w:val="0"/>
          <w:sz w:val="24"/>
          <w:u w:val="none"/>
          <w:vertAlign w:val="baseline"/>
        </w:rPr>
        <w:t>;</w:t>
      </w:r>
    </w:p>
    <w:p>
      <w:pPr>
        <w:keepNext w:val="0"/>
        <w:numPr>
          <w:numId w:val="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Company’s Supplementary Bundle of Documents (2)</w:t>
      </w:r>
      <w:r>
        <w:rPr>
          <w:rFonts w:ascii="arial" w:eastAsia="arial" w:hAnsi="arial" w:cs="arial"/>
          <w:b w:val="0"/>
          <w:i w:val="0"/>
          <w:strike w:val="0"/>
          <w:noProof w:val="0"/>
          <w:color w:val="000000"/>
          <w:position w:val="0"/>
          <w:sz w:val="24"/>
          <w:u w:val="none"/>
          <w:vertAlign w:val="baseline"/>
        </w:rPr>
        <w:t xml:space="preserve"> yang difailkan pada 26 Julai 2023 dan ditanda sebagai ekshibit </w:t>
      </w:r>
      <w:r>
        <w:rPr>
          <w:rFonts w:ascii="arial" w:eastAsia="arial" w:hAnsi="arial" w:cs="arial"/>
          <w:b w:val="0"/>
          <w:i/>
          <w:strike w:val="0"/>
          <w:noProof w:val="0"/>
          <w:color w:val="000000"/>
          <w:position w:val="0"/>
          <w:sz w:val="24"/>
          <w:u w:val="none"/>
          <w:vertAlign w:val="baseline"/>
        </w:rPr>
        <w:t>COB-4</w:t>
      </w:r>
      <w:r>
        <w:rPr>
          <w:rFonts w:ascii="arial" w:eastAsia="arial" w:hAnsi="arial" w:cs="arial"/>
          <w:b w:val="0"/>
          <w:i w:val="0"/>
          <w:strike w:val="0"/>
          <w:noProof w:val="0"/>
          <w:color w:val="000000"/>
          <w:position w:val="0"/>
          <w:sz w:val="24"/>
          <w:u w:val="none"/>
          <w:vertAlign w:val="baseline"/>
        </w:rPr>
        <w:t>;</w:t>
      </w:r>
    </w:p>
    <w:p>
      <w:pPr>
        <w:keepNext w:val="0"/>
        <w:numPr>
          <w:numId w:val="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Witness Statement</w:t>
      </w:r>
      <w:r>
        <w:rPr>
          <w:rFonts w:ascii="arial" w:eastAsia="arial" w:hAnsi="arial" w:cs="arial"/>
          <w:b w:val="0"/>
          <w:i w:val="0"/>
          <w:strike w:val="0"/>
          <w:noProof w:val="0"/>
          <w:color w:val="000000"/>
          <w:position w:val="0"/>
          <w:sz w:val="24"/>
          <w:u w:val="none"/>
          <w:vertAlign w:val="baseline"/>
        </w:rPr>
        <w:t xml:space="preserve"> Adawiah Binti Abdul Samad yang ditandatangani pada 26 Julai 2023 dan ditanda sebagai ekshibit </w:t>
      </w:r>
      <w:r>
        <w:rPr>
          <w:rFonts w:ascii="arial" w:eastAsia="arial" w:hAnsi="arial" w:cs="arial"/>
          <w:b w:val="0"/>
          <w:i/>
          <w:strike w:val="0"/>
          <w:noProof w:val="0"/>
          <w:color w:val="000000"/>
          <w:position w:val="0"/>
          <w:sz w:val="24"/>
          <w:u w:val="none"/>
          <w:vertAlign w:val="baseline"/>
        </w:rPr>
        <w:t>COWS-1</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Witness Statement</w:t>
      </w:r>
      <w:r>
        <w:rPr>
          <w:rFonts w:ascii="arial" w:eastAsia="arial" w:hAnsi="arial" w:cs="arial"/>
          <w:b w:val="0"/>
          <w:i w:val="0"/>
          <w:strike w:val="0"/>
          <w:noProof w:val="0"/>
          <w:color w:val="000000"/>
          <w:position w:val="0"/>
          <w:sz w:val="24"/>
          <w:u w:val="none"/>
          <w:vertAlign w:val="baseline"/>
        </w:rPr>
        <w:t xml:space="preserve"> Siti Salwa Binti Mawardee yang ditandatangani pada 26 Julai 2023 dan ditanda sebagai ekshibit </w:t>
      </w:r>
      <w:r>
        <w:rPr>
          <w:rFonts w:ascii="arial" w:eastAsia="arial" w:hAnsi="arial" w:cs="arial"/>
          <w:b w:val="0"/>
          <w:i/>
          <w:strike w:val="0"/>
          <w:noProof w:val="0"/>
          <w:color w:val="000000"/>
          <w:position w:val="0"/>
          <w:sz w:val="24"/>
          <w:u w:val="none"/>
          <w:vertAlign w:val="baseline"/>
        </w:rPr>
        <w:t>COWS-2</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Penyata Saksi Pihak Penuntut yang ditandatangani pada 27 Julai 2023 dan ditanda sebagai ekshibit </w:t>
      </w:r>
      <w:r>
        <w:rPr>
          <w:rFonts w:ascii="arial" w:eastAsia="arial" w:hAnsi="arial" w:cs="arial"/>
          <w:b w:val="0"/>
          <w:i/>
          <w:strike w:val="0"/>
          <w:noProof w:val="0"/>
          <w:color w:val="000000"/>
          <w:position w:val="0"/>
          <w:sz w:val="24"/>
          <w:u w:val="none"/>
          <w:vertAlign w:val="baseline"/>
        </w:rPr>
        <w:t>CLWS</w:t>
      </w:r>
      <w:r>
        <w:rPr>
          <w:rFonts w:ascii="arial" w:eastAsia="arial" w:hAnsi="arial" w:cs="arial"/>
          <w:b w:val="0"/>
          <w:i w:val="0"/>
          <w:strike w:val="0"/>
          <w:noProof w:val="0"/>
          <w:color w:val="000000"/>
          <w:position w:val="0"/>
          <w:sz w:val="24"/>
          <w:u w:val="none"/>
          <w:vertAlign w:val="baseline"/>
        </w:rPr>
        <w:t>;</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Hujahan Bertulis Pihak Syarikat bertarikh 2 Oktober 2023;</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Ikatan Autoriti Pihak Syarikat yang difailkan pada 3 Oktober 2023;</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Hujahan Bertulis Pihak Penuntut bertarikh 2 Oktober 2023;</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Ikatan Otoriti Pihak Penuntut yang difailkan pada 5 Oktober 2023;</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Hujahan Bertulis Pihak Syarikat bertarikh 13 Oktober 2023; dan</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Hujahan Balas Pihak Penuntut bertarikh 13 Oktober 2023.</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Peranan Mahkamah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Peranan Mahkamah ini dalam menimbang sesuatu kes di bawah subseksyen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telah diperjelaskan di dalam kes-kes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dan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Mahkamah ini telah merujuk kepada kes Mahkamah Agung iaitu dalam kes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dan kes Mahkamah Persekutuan iaitu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Prinsip-prinsip perundangan yang diketengahkan di dalam kes-kes tersebut adalah jelas dan tidak memerlukan huraian lanjut.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Jelas peranan Mahkamah di bawah subseksyen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adalah untuk menentukan sama ada penamatan telah berlaku dan dibuat tanpa sebab atau alasan yang munasabah secara imbangan kebarangkalian (sila lihat kes </w:t>
      </w:r>
      <w:r>
        <w:rPr>
          <w:rFonts w:ascii="arial" w:eastAsia="arial" w:hAnsi="arial" w:cs="arial"/>
          <w:b w:val="0"/>
          <w:i/>
          <w:strike w:val="0"/>
          <w:noProof w:val="0"/>
          <w:color w:val="000000"/>
          <w:position w:val="0"/>
          <w:sz w:val="24"/>
          <w:u w:val="none"/>
          <w:vertAlign w:val="baseline"/>
        </w:rPr>
        <w:t xml:space="preserve">Malayan Banking Bhd. v. Association of Bank Officers Peninsular Malaysia &amp; Industrial Court  </w:t>
      </w:r>
      <w:r>
        <w:rPr>
          <w:rFonts w:ascii="arial" w:eastAsia="arial" w:hAnsi="arial" w:cs="arial"/>
          <w:b w:val="0"/>
          <w:i w:val="0"/>
          <w:strike w:val="0"/>
          <w:noProof w:val="0"/>
          <w:color w:val="000000"/>
          <w:position w:val="0"/>
          <w:sz w:val="24"/>
          <w:u w:val="none"/>
          <w:vertAlign w:val="baseline"/>
        </w:rPr>
        <w:t>[1988] 1 CLJ (Rep) 183). Di dalam kes ini Pihak Yang Menuntut telah ditamatkan perkhidmatan pada 15 Oktober 2021 dan tidak dipertikaikan oleh kedua-dua pihak. Oleh itu, tiada isu berbangkit tentang sama ada berlakunya satu penamatan dalam kes ini serta tarikh penamatan turut tidak menjadi pertikaian.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Ciri-Ciri Tersendiri Mahkamah Perushaan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Lazimnya, pertikaian adalah sama ada penamatan Pihak Yang Menuntut telah dilaksanakan tanpa sebab atau alasan munasabah. Namun, dalam kes ini Mahkamah ingin menarik perhatian kepada beberapa ciri tersendiri Mahkamah Perusahaan. Mahkamah Perusahaan merupakan satu mahkamah timbang tara yang turut menggunakan prinsip ekuiti. Malah sekiranya dilihat subseksyen 30(5)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Mahkamah ini telah diberi kuasa yang agak longgar berkenaan tatacara. Peruntukan ini ada dinyatakan di dalam kes-kes yang Mahkamah telah ulangi di bawah.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Mahkamah ini tidak seharusnya terlalu terikat dengan kaedah-kaedah yang lazimnya diamalkan di dalam Mahkamah sivil yang biasa. Namun, Mahkamah ini bersetuju dengan pendirian peguamcara Syarikat yang menyatakan Mahkamah ini terikat dengan kes yang terdahulu iaitu kes </w:t>
      </w:r>
      <w:r>
        <w:rPr>
          <w:rFonts w:ascii="arial" w:eastAsia="arial" w:hAnsi="arial" w:cs="arial"/>
          <w:b w:val="0"/>
          <w:i/>
          <w:strike w:val="0"/>
          <w:noProof w:val="0"/>
          <w:color w:val="000000"/>
          <w:position w:val="0"/>
          <w:sz w:val="24"/>
          <w:u w:val="none"/>
          <w:vertAlign w:val="baseline"/>
        </w:rPr>
        <w:t xml:space="preserve">Ranjit Kaur S Gopal Singh v. Hotel Excelsior (M) Sdn Bhd  </w:t>
      </w:r>
      <w:r>
        <w:rPr>
          <w:rFonts w:ascii="arial" w:eastAsia="arial" w:hAnsi="arial" w:cs="arial"/>
          <w:b w:val="0"/>
          <w:i w:val="0"/>
          <w:strike w:val="0"/>
          <w:noProof w:val="0"/>
          <w:color w:val="000000"/>
          <w:position w:val="0"/>
          <w:sz w:val="24"/>
          <w:u w:val="none"/>
          <w:vertAlign w:val="baseline"/>
        </w:rPr>
        <w:t>[2010] 8 CLJ 629. Di dalam kes itu, Mahkamah Persekutuan telah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[26]</w:t>
      </w:r>
      <w:r>
        <w:rPr>
          <w:rFonts w:ascii="arial" w:eastAsia="arial" w:hAnsi="arial" w:cs="arial"/>
          <w:b w:val="0"/>
          <w:i/>
          <w:strike w:val="0"/>
          <w:noProof w:val="0"/>
          <w:color w:val="000000"/>
          <w:position w:val="0"/>
          <w:sz w:val="18"/>
          <w:u w:val="none"/>
          <w:vertAlign w:val="baseline"/>
        </w:rPr>
        <w:t xml:space="preserve"> Learned counsel for the appellant submitted that on the face of</w:t>
      </w:r>
      <w:r>
        <w:rPr>
          <w:rFonts w:ascii="arial" w:eastAsia="arial" w:hAnsi="arial" w:cs="arial"/>
          <w:b w:val="0"/>
          <w:i w:val="0"/>
          <w:strike w:val="0"/>
          <w:noProof w:val="0"/>
          <w:color w:val="000000"/>
          <w:position w:val="0"/>
          <w:sz w:val="18"/>
          <w:u w:val="none"/>
          <w:vertAlign w:val="baseline"/>
        </w:rPr>
        <w:t xml:space="preserve"> s. 30(5)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the practice and procedure governing the Industrial Court rules relating to procedure should be less stringent than that applicable in the civil courts.</w:t>
      </w:r>
      <w:r>
        <w:rPr>
          <w:rFonts w:ascii="arial" w:eastAsia="arial" w:hAnsi="arial" w:cs="arial"/>
          <w:b w:val="0"/>
          <w:i w:val="0"/>
          <w:strike w:val="0"/>
          <w:noProof w:val="0"/>
          <w:color w:val="000000"/>
          <w:position w:val="0"/>
          <w:sz w:val="18"/>
          <w:u w:val="none"/>
          <w:vertAlign w:val="baseline"/>
        </w:rPr>
        <w:t xml:space="preserve"> Section 30(5) </w:t>
      </w:r>
      <w:r>
        <w:rPr>
          <w:rFonts w:ascii="arial" w:eastAsia="arial" w:hAnsi="arial" w:cs="arial"/>
          <w:b w:val="0"/>
          <w:i/>
          <w:strike w:val="0"/>
          <w:noProof w:val="0"/>
          <w:color w:val="000000"/>
          <w:position w:val="0"/>
          <w:sz w:val="18"/>
          <w:u w:val="none"/>
          <w:vertAlign w:val="baseline"/>
        </w:rPr>
        <w:t>reads as follows: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 xml:space="preserve">The Court shall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according to equity, good conscience and the substantial merits of the case without regard to technicalities and legal form.</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Thus, it was submitted that even though victimisation was not pleaded this should not be invoked to defeat the claim made by the appellant. It was further submitted that the Industrial Court must be allowed to conduct its proceedings with the necessary flexibility to arrive at a decision, so long as it has given special regard to the substantial merits of the case and decides according to equity and good conscience.</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none"/>
          <w:vertAlign w:val="baseline"/>
        </w:rPr>
        <w:t>[27]</w:t>
      </w:r>
      <w:r>
        <w:rPr>
          <w:rFonts w:ascii="arial" w:eastAsia="arial" w:hAnsi="arial" w:cs="arial"/>
          <w:b w:val="0"/>
          <w:i/>
          <w:strike w:val="0"/>
          <w:noProof w:val="0"/>
          <w:color w:val="000000"/>
          <w:position w:val="0"/>
          <w:sz w:val="18"/>
          <w:u w:val="none"/>
          <w:vertAlign w:val="baseline"/>
        </w:rPr>
        <w:t xml:space="preserve"> Learned counsel for the respondent responded by stating that</w:t>
      </w:r>
      <w:r>
        <w:rPr>
          <w:rFonts w:ascii="arial" w:eastAsia="arial" w:hAnsi="arial" w:cs="arial"/>
          <w:b w:val="0"/>
          <w:i w:val="0"/>
          <w:strike w:val="0"/>
          <w:noProof w:val="0"/>
          <w:color w:val="000000"/>
          <w:position w:val="0"/>
          <w:sz w:val="18"/>
          <w:u w:val="none"/>
          <w:vertAlign w:val="baseline"/>
        </w:rPr>
        <w:t xml:space="preserve"> s. 30(5)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could not be used to override or circumvent the basic rules of pleading. He submitted that the Industrial Court must confine itself to the four corners of the pleadings place before it. The Federal Court case in Rama Chandran was cited in support.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[28]</w:t>
      </w:r>
      <w:r>
        <w:rPr>
          <w:rFonts w:ascii="arial" w:eastAsia="arial" w:hAnsi="arial" w:cs="arial"/>
          <w:b w:val="0"/>
          <w:i/>
          <w:strike w:val="0"/>
          <w:noProof w:val="0"/>
          <w:color w:val="000000"/>
          <w:position w:val="0"/>
          <w:sz w:val="18"/>
          <w:u w:val="none"/>
          <w:vertAlign w:val="baseline"/>
        </w:rPr>
        <w:t xml:space="preserve"> There is no doubt that the underlying objectives and purposes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to ensure social justice to both employers and employees and to advance the progress of industry by bringing harmony and cordial relationship between the parties and to eradicate unfair labour practices, to protect workmen against victimisation by employers and to ensure termination of industrial disputes in a peaceful manner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Tanjung Jara Beach Hotel Sdn Bhd v. National Union of Hotel &amp; Bar Restaurant Workers Peninsular Malaysia  </w:t>
      </w:r>
      <w:r>
        <w:rPr>
          <w:rFonts w:ascii="arial" w:eastAsia="arial" w:hAnsi="arial" w:cs="arial"/>
          <w:b w:val="0"/>
          <w:i w:val="0"/>
          <w:strike w:val="0"/>
          <w:noProof w:val="0"/>
          <w:color w:val="000000"/>
          <w:position w:val="0"/>
          <w:sz w:val="18"/>
          <w:u w:val="none"/>
          <w:vertAlign w:val="baseline"/>
        </w:rPr>
        <w:t>[2004] 4 CLJ 657</w:t>
      </w:r>
      <w:r>
        <w:rPr>
          <w:rFonts w:ascii="arial" w:eastAsia="arial" w:hAnsi="arial" w:cs="arial"/>
          <w:b w:val="0"/>
          <w:i/>
          <w:strike w:val="0"/>
          <w:noProof w:val="0"/>
          <w:color w:val="000000"/>
          <w:position w:val="0"/>
          <w:sz w:val="18"/>
          <w:u w:val="none"/>
          <w:vertAlign w:val="baseline"/>
        </w:rPr>
        <w:t>). However, as rightly pointed out by learned counsel for the respondent</w:t>
      </w:r>
      <w:r>
        <w:rPr>
          <w:rFonts w:ascii="arial" w:eastAsia="arial" w:hAnsi="arial" w:cs="arial"/>
          <w:b w:val="0"/>
          <w:i w:val="0"/>
          <w:strike w:val="0"/>
          <w:noProof w:val="0"/>
          <w:color w:val="000000"/>
          <w:position w:val="0"/>
          <w:sz w:val="18"/>
          <w:u w:val="none"/>
          <w:vertAlign w:val="baseline"/>
        </w:rPr>
        <w:t xml:space="preserve"> s. 30(5)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cannot be used to override or circumvent the basic rules of pleading. The Industrial Court, like the civil courts must confine itself to the four corners of the pleading. This had been held to be so by this court in Rama Chandran which are as follows: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is trite law that a party is bound by its pleadings. The Industrial Court must scrutinise the pleadings and identify the issues, take evidence, hear the parties’ arguments and finally pronounce its judgment having strict regards to the issues.</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none"/>
          <w:vertAlign w:val="baseline"/>
        </w:rPr>
        <w:t>[29]</w:t>
      </w:r>
      <w:r>
        <w:rPr>
          <w:rFonts w:ascii="arial" w:eastAsia="arial" w:hAnsi="arial" w:cs="arial"/>
          <w:b w:val="0"/>
          <w:i/>
          <w:strike w:val="0"/>
          <w:noProof w:val="0"/>
          <w:color w:val="000000"/>
          <w:position w:val="0"/>
          <w:sz w:val="18"/>
          <w:u w:val="none"/>
          <w:vertAlign w:val="baseline"/>
        </w:rPr>
        <w:t xml:space="preserve"> There is no reason to depart from the above view. Pleadings in the Industrial Court are as important as in the civil courts. The appellant must plead its case and the Industrial Court must decide on the appellant’s pleaded case. This is important in order to prevent element of surprise and provide room for the other party to adduce evidence once the fact or an issue is pleaded. Thus, the Industrial Court’s duty, to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according to equity, good conscience and substantial merits of the case without regard to technicalities and legal form under</w:t>
      </w:r>
      <w:r>
        <w:rPr>
          <w:rFonts w:ascii="arial" w:eastAsia="arial" w:hAnsi="arial" w:cs="arial"/>
          <w:b w:val="0"/>
          <w:i w:val="0"/>
          <w:strike w:val="0"/>
          <w:noProof w:val="0"/>
          <w:color w:val="000000"/>
          <w:position w:val="0"/>
          <w:sz w:val="18"/>
          <w:u w:val="none"/>
          <w:vertAlign w:val="baseline"/>
        </w:rPr>
        <w:t xml:space="preserve"> s. 30(5)</w:t>
      </w:r>
      <w:r>
        <w:rPr>
          <w:rFonts w:ascii="arial" w:eastAsia="arial" w:hAnsi="arial" w:cs="arial"/>
          <w:b w:val="0"/>
          <w:i/>
          <w:strike w:val="0"/>
          <w:noProof w:val="0"/>
          <w:color w:val="000000"/>
          <w:position w:val="0"/>
          <w:sz w:val="18"/>
          <w:u w:val="none"/>
          <w:vertAlign w:val="baseline"/>
        </w:rPr>
        <w:t>, does not give the Industrial Court the right to ignore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Industrial Court Rules 1967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made under the principle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Berdasarkan kes di atas, Mahkamah Perusahaan terikat dengan </w:t>
      </w:r>
      <w:r>
        <w:rPr>
          <w:rFonts w:ascii="arial" w:eastAsia="arial" w:hAnsi="arial" w:cs="arial"/>
          <w:b w:val="0"/>
          <w:i/>
          <w:strike w:val="0"/>
          <w:noProof w:val="0"/>
          <w:color w:val="000000"/>
          <w:position w:val="0"/>
          <w:sz w:val="24"/>
          <w:u w:val="none"/>
          <w:vertAlign w:val="baseline"/>
        </w:rPr>
        <w:t>ratio</w:t>
      </w:r>
      <w:r>
        <w:rPr>
          <w:rFonts w:ascii="arial" w:eastAsia="arial" w:hAnsi="arial" w:cs="arial"/>
          <w:b w:val="0"/>
          <w:i w:val="0"/>
          <w:strike w:val="0"/>
          <w:noProof w:val="0"/>
          <w:color w:val="000000"/>
          <w:position w:val="0"/>
          <w:sz w:val="24"/>
          <w:u w:val="none"/>
          <w:vertAlign w:val="baseline"/>
        </w:rPr>
        <w:t xml:space="preserve"> di atas. Namun, perlu diingatkan bahawa di dalam Mahkamah Perusahaan kehadiran peguamcara bukanlah semudah perwakilan atau pun secara kendiri. Kemasukan peguamcara ke dalam prosiding, walaupun amat dialu-alukan oleh Mahkamah kerana membantu Mahkamah untuk menyelesaikan kes itu, perlu mendapat kebenaran Mahkamah.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Ini sememangnya satu keperluan di dalam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di mana ia dinyatakan di dalam perenggan 27(1)(d) yang menyatakan seperti yang berikut: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Appearance and representation at proceedings before the Court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27.</w:t>
      </w:r>
      <w:r>
        <w:rPr>
          <w:rFonts w:ascii="arial" w:eastAsia="arial" w:hAnsi="arial" w:cs="arial"/>
          <w:b w:val="0"/>
          <w:i w:val="0"/>
          <w:strike w:val="0"/>
          <w:noProof w:val="0"/>
          <w:color w:val="000000"/>
          <w:position w:val="0"/>
          <w:sz w:val="18"/>
          <w:u w:val="none"/>
          <w:vertAlign w:val="baseline"/>
        </w:rPr>
        <w:t xml:space="preserve"> (1) In any proceedings before the Court, a party may—</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(d)</w:t>
      </w:r>
      <w:r>
        <w:rPr>
          <w:rFonts w:ascii="arial" w:eastAsia="arial" w:hAnsi="arial" w:cs="arial"/>
          <w:b w:val="0"/>
          <w:i w:val="0"/>
          <w:strike w:val="0"/>
          <w:noProof w:val="0"/>
          <w:color w:val="000000"/>
          <w:position w:val="0"/>
          <w:sz w:val="18"/>
          <w:u w:val="none"/>
          <w:vertAlign w:val="baseline"/>
        </w:rPr>
        <w:t xml:space="preserve"> where the party is a trade union, or an employer, or a workman, be represented with the permission of the President or the Chairman, by an advocate, or, notwithstanding anything to the contrary contained in any written law relating to the registration of trade unions, by any official of an organization (not being a trade union) of employers or of workmen, as the case may be, registered in Malaysia.</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Mahkamah hanya ingin menarik perhatian pihak-pihak berkenaan perkara ini, dan bukannya untuk menolak pendirian kes </w:t>
      </w:r>
      <w:r>
        <w:rPr>
          <w:rFonts w:ascii="arial" w:eastAsia="arial" w:hAnsi="arial" w:cs="arial"/>
          <w:b/>
          <w:i/>
          <w:strike w:val="0"/>
          <w:noProof w:val="0"/>
          <w:color w:val="000000"/>
          <w:position w:val="0"/>
          <w:sz w:val="24"/>
          <w:u w:val="none"/>
          <w:vertAlign w:val="baseline"/>
        </w:rPr>
        <w:t>Ranjit Kaur</w:t>
      </w:r>
      <w:r>
        <w:rPr>
          <w:rFonts w:ascii="arial" w:eastAsia="arial" w:hAnsi="arial" w:cs="arial"/>
          <w:b w:val="0"/>
          <w:i w:val="0"/>
          <w:strike w:val="0"/>
          <w:noProof w:val="0"/>
          <w:color w:val="000000"/>
          <w:position w:val="0"/>
          <w:sz w:val="24"/>
          <w:u w:val="none"/>
          <w:vertAlign w:val="baseline"/>
        </w:rPr>
        <w:t xml:space="preserve">, iaitu wujudnya satu kategori khas yang dibezakan daripada kategori-kategori lain di bawah subseksyen 27(1)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Terdapat kategori yang dibenarkan menghadiri dan mewakili pihak yang terlibat tanpa intervensi Mahkamah. Oleh itu, Mahkamah bersetuju bahawa terikatnya satu pihak kepada plidings berkait dengan fakta bahawa ia melibatkan kategori khusus iaitu bila melibatkan peguamcara.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Dalam kes ini, kedua-dua pihak diwakili oleh peguamcara dan ini memudahkan penerimaan kes </w:t>
      </w:r>
      <w:r>
        <w:rPr>
          <w:rFonts w:ascii="arial" w:eastAsia="arial" w:hAnsi="arial" w:cs="arial"/>
          <w:b/>
          <w:i/>
          <w:strike w:val="0"/>
          <w:noProof w:val="0"/>
          <w:color w:val="000000"/>
          <w:position w:val="0"/>
          <w:sz w:val="24"/>
          <w:u w:val="none"/>
          <w:vertAlign w:val="baseline"/>
        </w:rPr>
        <w:t>Ranjit Kaur</w:t>
      </w:r>
      <w:r>
        <w:rPr>
          <w:rFonts w:ascii="arial" w:eastAsia="arial" w:hAnsi="arial" w:cs="arial"/>
          <w:b w:val="0"/>
          <w:i w:val="0"/>
          <w:strike w:val="0"/>
          <w:noProof w:val="0"/>
          <w:color w:val="000000"/>
          <w:position w:val="0"/>
          <w:sz w:val="24"/>
          <w:u w:val="none"/>
          <w:vertAlign w:val="baseline"/>
        </w:rPr>
        <w:t xml:space="preserve"> di atas. Walaupun sedemikian, Mahkamah ini turut merujuk kepada kes Mahkamah Rayuan iaitu kes </w:t>
      </w:r>
      <w:r>
        <w:rPr>
          <w:rFonts w:ascii="arial" w:eastAsia="arial" w:hAnsi="arial" w:cs="arial"/>
          <w:b w:val="0"/>
          <w:i/>
          <w:strike w:val="0"/>
          <w:noProof w:val="0"/>
          <w:color w:val="000000"/>
          <w:position w:val="0"/>
          <w:sz w:val="24"/>
          <w:u w:val="none"/>
          <w:vertAlign w:val="baseline"/>
        </w:rPr>
        <w:t xml:space="preserve">Matrix Global Education Sdn Bhd v. Felix Lee Eng Boon  </w:t>
      </w:r>
      <w:r>
        <w:rPr>
          <w:rFonts w:ascii="arial" w:eastAsia="arial" w:hAnsi="arial" w:cs="arial"/>
          <w:b w:val="0"/>
          <w:i w:val="0"/>
          <w:strike w:val="0"/>
          <w:noProof w:val="0"/>
          <w:color w:val="000000"/>
          <w:position w:val="0"/>
          <w:sz w:val="24"/>
          <w:u w:val="none"/>
          <w:vertAlign w:val="baseline"/>
        </w:rPr>
        <w:t>[2023] 1 ILR 400 yang telah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[63]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We do not think an Industrial Court’s proceedings and pleadings should be subject to greater strictures that those of a superior court, being an employment tribunal that is enjoined by</w:t>
      </w:r>
      <w:r>
        <w:rPr>
          <w:rFonts w:ascii="arial" w:eastAsia="arial" w:hAnsi="arial" w:cs="arial"/>
          <w:b w:val="0"/>
          <w:i w:val="0"/>
          <w:strike w:val="0"/>
          <w:noProof w:val="0"/>
          <w:color w:val="000000"/>
          <w:position w:val="0"/>
          <w:sz w:val="18"/>
          <w:u w:val="none"/>
          <w:vertAlign w:val="baseline"/>
        </w:rPr>
        <w:t xml:space="preserve"> s. 30(5) </w:t>
      </w:r>
      <w:r>
        <w:rPr>
          <w:rFonts w:ascii="arial" w:eastAsia="arial" w:hAnsi="arial" w:cs="arial"/>
          <w:b w:val="0"/>
          <w:i/>
          <w:strike w:val="0"/>
          <w:noProof w:val="0"/>
          <w:color w:val="000000"/>
          <w:position w:val="0"/>
          <w:sz w:val="18"/>
          <w:u w:val="none"/>
          <w:vertAlign w:val="baseline"/>
        </w:rPr>
        <w:t>as follows</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(5) The Court shall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according to </w:t>
      </w:r>
      <w:r>
        <w:rPr>
          <w:rFonts w:ascii="arial" w:eastAsia="arial" w:hAnsi="arial" w:cs="arial"/>
          <w:b/>
          <w:i w:val="0"/>
          <w:strike w:val="0"/>
          <w:noProof w:val="0"/>
          <w:color w:val="000000"/>
          <w:position w:val="0"/>
          <w:sz w:val="18"/>
          <w:u w:val="none"/>
          <w:vertAlign w:val="baseline"/>
        </w:rPr>
        <w:t>equity, good conscience and the substantial merits of the case</w:t>
      </w:r>
      <w:r>
        <w:rPr>
          <w:rFonts w:ascii="arial" w:eastAsia="arial" w:hAnsi="arial" w:cs="arial"/>
          <w:b w:val="0"/>
          <w:i w:val="0"/>
          <w:strike w:val="0"/>
          <w:noProof w:val="0"/>
          <w:color w:val="000000"/>
          <w:position w:val="0"/>
          <w:sz w:val="18"/>
          <w:u w:val="none"/>
          <w:vertAlign w:val="baseline"/>
        </w:rPr>
        <w:t xml:space="preserve"> without regard to technicalities and legal form.</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It is clear that undue technicality is eschewed with a bias towards substance rather than form and with that a staying and steering clear from the sophisti-cation of a trial court.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[64]</w:t>
      </w:r>
      <w:r>
        <w:rPr>
          <w:rFonts w:ascii="arial" w:eastAsia="arial" w:hAnsi="arial" w:cs="arial"/>
          <w:b w:val="0"/>
          <w:i/>
          <w:strike w:val="0"/>
          <w:noProof w:val="0"/>
          <w:color w:val="000000"/>
          <w:position w:val="0"/>
          <w:sz w:val="18"/>
          <w:u w:val="none"/>
          <w:vertAlign w:val="baseline"/>
        </w:rPr>
        <w:t xml:space="preserve"> We would therefore hearken to the clarion call of the Federal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Boustead Trading (1985) Sdn Bhd v. Arab-Malaysian Merchant Bank Bhd  </w:t>
      </w:r>
      <w:r>
        <w:rPr>
          <w:rFonts w:ascii="arial" w:eastAsia="arial" w:hAnsi="arial" w:cs="arial"/>
          <w:b w:val="0"/>
          <w:i w:val="0"/>
          <w:strike w:val="0"/>
          <w:noProof w:val="0"/>
          <w:color w:val="000000"/>
          <w:position w:val="0"/>
          <w:sz w:val="18"/>
          <w:u w:val="none"/>
          <w:vertAlign w:val="baseline"/>
        </w:rPr>
        <w:t>[1995] 4 CLJ 283; ; [1995] 3 MLJ 331</w:t>
      </w:r>
      <w:r>
        <w:rPr>
          <w:rFonts w:ascii="arial" w:eastAsia="arial" w:hAnsi="arial" w:cs="arial"/>
          <w:b w:val="0"/>
          <w:i/>
          <w:strike w:val="0"/>
          <w:noProof w:val="0"/>
          <w:color w:val="000000"/>
          <w:position w:val="0"/>
          <w:sz w:val="18"/>
          <w:u w:val="none"/>
          <w:vertAlign w:val="baseline"/>
        </w:rPr>
        <w:t xml:space="preserve"> to go back to first principle and to re-mind ourselves of the following:</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our judgment, the requirement of these rules is sufficiently met if the material facts giving rise to the estoppel are sufficiently pleaded without actually using the term ‘estopped’.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Lal Somnath Singh &amp; Ors v. Ambika Prasad AIR  </w:t>
      </w:r>
      <w:r>
        <w:rPr>
          <w:rFonts w:ascii="arial" w:eastAsia="arial" w:hAnsi="arial" w:cs="arial"/>
          <w:b w:val="0"/>
          <w:i w:val="0"/>
          <w:strike w:val="0"/>
          <w:noProof w:val="0"/>
          <w:color w:val="000000"/>
          <w:position w:val="0"/>
          <w:sz w:val="18"/>
          <w:u w:val="none"/>
          <w:vertAlign w:val="baseline"/>
        </w:rPr>
        <w:t>1950 All 121</w:t>
      </w:r>
      <w:r>
        <w:rPr>
          <w:rFonts w:ascii="arial" w:eastAsia="arial" w:hAnsi="arial" w:cs="arial"/>
          <w:b w:val="0"/>
          <w:i/>
          <w:strike w:val="0"/>
          <w:noProof w:val="0"/>
          <w:color w:val="000000"/>
          <w:position w:val="0"/>
          <w:sz w:val="18"/>
          <w:u w:val="none"/>
          <w:vertAlign w:val="baseline"/>
        </w:rPr>
        <w:t xml:space="preserve"> at p. 131). It may be desirable for a pleader to use that term; but it is not fatal if he does not. </w:t>
      </w:r>
      <w:r>
        <w:rPr>
          <w:rFonts w:ascii="arial" w:eastAsia="arial" w:hAnsi="arial" w:cs="arial"/>
          <w:b/>
          <w:i/>
          <w:strike w:val="0"/>
          <w:noProof w:val="0"/>
          <w:color w:val="000000"/>
          <w:position w:val="0"/>
          <w:sz w:val="18"/>
          <w:u w:val="none"/>
          <w:vertAlign w:val="baseline"/>
        </w:rPr>
        <w:t>One must not lose sight of the object of modern pleadings which is to prevent surprise and to enable disputes to be litigated in an orderly fashion</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Raja Abdul Malek Muzaffar Shah bin Raja Shahruzzaman v. Setiausaha Suruhanjaya Pasukan Polis &amp; Ors  </w:t>
      </w:r>
      <w:r>
        <w:rPr>
          <w:rFonts w:ascii="arial" w:eastAsia="arial" w:hAnsi="arial" w:cs="arial"/>
          <w:b w:val="0"/>
          <w:i w:val="0"/>
          <w:strike w:val="0"/>
          <w:noProof w:val="0"/>
          <w:color w:val="000000"/>
          <w:position w:val="0"/>
          <w:sz w:val="18"/>
          <w:u w:val="none"/>
          <w:vertAlign w:val="baseline"/>
        </w:rPr>
        <w:t xml:space="preserve">[1995] 1 CLJ 619; ; [1995] 1 MLJ 308 </w:t>
      </w:r>
      <w:r>
        <w:rPr>
          <w:rFonts w:ascii="arial" w:eastAsia="arial" w:hAnsi="arial" w:cs="arial"/>
          <w:b w:val="0"/>
          <w:i/>
          <w:strike w:val="0"/>
          <w:noProof w:val="0"/>
          <w:color w:val="000000"/>
          <w:position w:val="0"/>
          <w:sz w:val="18"/>
          <w:u w:val="none"/>
          <w:vertAlign w:val="baseline"/>
        </w:rPr>
        <w:t>at p. 320.</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emphasis added</w:t>
      </w:r>
      <w:r>
        <w:rPr>
          <w:rFonts w:ascii="arial" w:eastAsia="arial" w:hAnsi="arial" w:cs="arial"/>
          <w:b w:val="0"/>
          <w:i w:val="0"/>
          <w:strike w:val="0"/>
          <w:noProof w:val="0"/>
          <w:color w:val="000000"/>
          <w:position w:val="0"/>
          <w:sz w:val="18"/>
          <w:u w:val="none"/>
          <w:vertAlign w:val="baseline"/>
        </w:rPr>
        <w:t>)</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none"/>
          <w:vertAlign w:val="baseline"/>
        </w:rPr>
        <w:t>[65]</w:t>
      </w:r>
      <w:r>
        <w:rPr>
          <w:rFonts w:ascii="arial" w:eastAsia="arial" w:hAnsi="arial" w:cs="arial"/>
          <w:b w:val="0"/>
          <w:i/>
          <w:strike w:val="0"/>
          <w:noProof w:val="0"/>
          <w:color w:val="000000"/>
          <w:position w:val="0"/>
          <w:sz w:val="18"/>
          <w:u w:val="none"/>
          <w:vertAlign w:val="baseline"/>
        </w:rPr>
        <w:t xml:space="preserve"> In like vein we are reminded of the observation of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Quah Swee Khoon v. Sime Darby Bhd  </w:t>
      </w:r>
      <w:r>
        <w:rPr>
          <w:rFonts w:ascii="arial" w:eastAsia="arial" w:hAnsi="arial" w:cs="arial"/>
          <w:b w:val="0"/>
          <w:i w:val="0"/>
          <w:strike w:val="0"/>
          <w:noProof w:val="0"/>
          <w:color w:val="000000"/>
          <w:position w:val="0"/>
          <w:sz w:val="18"/>
          <w:u w:val="none"/>
          <w:vertAlign w:val="baseline"/>
        </w:rPr>
        <w:t xml:space="preserve">[2001] 1 CLJ 9 </w:t>
      </w:r>
      <w:r>
        <w:rPr>
          <w:rFonts w:ascii="arial" w:eastAsia="arial" w:hAnsi="arial" w:cs="arial"/>
          <w:b w:val="0"/>
          <w:i/>
          <w:strike w:val="0"/>
          <w:noProof w:val="0"/>
          <w:color w:val="000000"/>
          <w:position w:val="0"/>
          <w:sz w:val="18"/>
          <w:u w:val="none"/>
          <w:vertAlign w:val="baseline"/>
        </w:rPr>
        <w:t>where a failure to use the terms “constructive dismissal” in the claimant’s pleading was held not to be fatal so long as the narration of events and effect were pleaded.</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Apa yang dapat ditafsirkan daripada kes di atas adalah, perkara yang terikat di dalam plidings tidak semestinya perlu dinyatakan atau </w:t>
      </w:r>
      <w:r>
        <w:rPr>
          <w:rFonts w:ascii="arial" w:eastAsia="arial" w:hAnsi="arial" w:cs="arial"/>
          <w:b w:val="0"/>
          <w:i/>
          <w:strike w:val="0"/>
          <w:noProof w:val="0"/>
          <w:color w:val="000000"/>
          <w:position w:val="0"/>
          <w:sz w:val="24"/>
          <w:u w:val="none"/>
          <w:vertAlign w:val="baseline"/>
        </w:rPr>
        <w:t>expressly stated</w:t>
      </w:r>
      <w:r>
        <w:rPr>
          <w:rFonts w:ascii="arial" w:eastAsia="arial" w:hAnsi="arial" w:cs="arial"/>
          <w:b w:val="0"/>
          <w:i w:val="0"/>
          <w:strike w:val="0"/>
          <w:noProof w:val="0"/>
          <w:color w:val="000000"/>
          <w:position w:val="0"/>
          <w:sz w:val="24"/>
          <w:u w:val="none"/>
          <w:vertAlign w:val="baseline"/>
        </w:rPr>
        <w:t xml:space="preserve">. Sekiranya perkara yang dibangkitkan perlu merujuk kepada satu perkara yang tidak dinyatakan dengan jelas ataupun, merupakan satu perkara yang menjadi rentetan daripada satu perkara yang telah dinyatakan dan </w:t>
      </w:r>
      <w:r>
        <w:rPr>
          <w:rFonts w:ascii="arial" w:eastAsia="arial" w:hAnsi="arial" w:cs="arial"/>
          <w:b w:val="0"/>
          <w:i/>
          <w:strike w:val="0"/>
          <w:noProof w:val="0"/>
          <w:color w:val="000000"/>
          <w:position w:val="0"/>
          <w:sz w:val="24"/>
          <w:u w:val="none"/>
          <w:vertAlign w:val="baseline"/>
        </w:rPr>
        <w:t>vice versa</w:t>
      </w:r>
      <w:r>
        <w:rPr>
          <w:rFonts w:ascii="arial" w:eastAsia="arial" w:hAnsi="arial" w:cs="arial"/>
          <w:b w:val="0"/>
          <w:i w:val="0"/>
          <w:strike w:val="0"/>
          <w:noProof w:val="0"/>
          <w:color w:val="000000"/>
          <w:position w:val="0"/>
          <w:sz w:val="24"/>
          <w:u w:val="none"/>
          <w:vertAlign w:val="baseline"/>
        </w:rPr>
        <w:t>, maka ia turut dianggap sebagai telah diplidkan.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Peguamcara Syarikat telah membantah sekeras-kerasnya berkenaan rujukan kepada beberapa perjanjian yang telah ditandatangani sebelum perjanjian yang dikatakan mengakibatkan Syarikat mengalami kerugian. Menurut saksi-saksi Syarikat sendiri, perjanjian-perjanjian tersebut memang berkait. Ini sudah memadai untuk menunjukkan bahawa walaupun perjanjian-perjanjian tersebut tidak diplidkan secara nyata, namun dari sudut kes ini ia telah dinyatakan secara tidak langsung apabila membangkitkan isu perjanjian yang menjadi perkara pokok kes itu.</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Secara pemikiran orang yang munsabah, perjanjian yang dipertikaian itu hanya berlaku rentetan perjanjian-perjanjian yang lain. Dari sudut pandangan lain pula perjanjian yang dipertikaikan tidak akan digubal tanpa wujudnya atau rujukan terhadap perjanjian yang tidak diplidkan tersebut. Oleh itu, Mahkamah ini berpendirian bahawa sekiranya perlu, Mahkamah ini boleh merujuk kepada perjanjian-perjanjian yang tidak diplidkan secara nyata.</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Penamatan dibuat Tanpa Sebab atau Alasan yang Munasabah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Dalam kes-kes rujukan di bawah subseksyen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Mahkamah telah merujuk satu lagi kes utama iaitu kes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[1995] 4 CLJ 449. Dalam kes itu, Mahkamah Persekutuan telah memutuskan seperti yang berikut: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“Diputuskan: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Oleh Mohd Azmi bin Kamarudddin HMP (menyampaikan penghakiman Mahkamah):</w:t>
      </w:r>
    </w:p>
    <w:p>
      <w:pPr>
        <w:keepNext w:val="0"/>
        <w:spacing w:before="0" w:after="0" w:line="240" w:lineRule="atLeast"/>
        <w:ind w:left="800" w:right="0" w:firstLine="0"/>
        <w:jc w:val="both"/>
      </w:pPr>
      <w:r>
        <w:br/>
      </w:r>
      <w:r>
        <w:rPr>
          <w:rFonts w:ascii="arial" w:eastAsia="arial" w:hAnsi="arial" w:cs="arial"/>
          <w:b/>
          <w:i w:val="0"/>
          <w:strike w:val="0"/>
          <w:noProof w:val="0"/>
          <w:color w:val="000000"/>
          <w:position w:val="0"/>
          <w:sz w:val="18"/>
          <w:u w:val="none"/>
          <w:vertAlign w:val="baseline"/>
        </w:rPr>
        <w:t>[1]</w:t>
      </w:r>
      <w:r>
        <w:rPr>
          <w:rFonts w:ascii="arial" w:eastAsia="arial" w:hAnsi="arial" w:cs="arial"/>
          <w:b w:val="0"/>
          <w:i w:val="0"/>
          <w:strike w:val="0"/>
          <w:noProof w:val="0"/>
          <w:color w:val="000000"/>
          <w:position w:val="0"/>
          <w:sz w:val="18"/>
          <w:u w:val="none"/>
          <w:vertAlign w:val="baseline"/>
        </w:rPr>
        <w:t xml:space="preserve"> Peranan Mahkamah Perindustrian, dalam kes pemberhentian atas rujukan di bawah s. 20 adalah dua hala. Ianya </w:t>
      </w:r>
      <w:r>
        <w:rPr>
          <w:rFonts w:ascii="arial" w:eastAsia="arial" w:hAnsi="arial" w:cs="arial"/>
          <w:b/>
          <w:i w:val="0"/>
          <w:strike w:val="0"/>
          <w:noProof w:val="0"/>
          <w:color w:val="000000"/>
          <w:position w:val="0"/>
          <w:sz w:val="18"/>
          <w:u w:val="none"/>
          <w:vertAlign w:val="baseline"/>
        </w:rPr>
        <w:t>haruslah menentukan samada sa-lah-laku yang dilakukan oleh pekerja tersebut telah dibuktikan dan kedua, samada salahlaku yang terbukti itu boleh menjadi alasan-alasan atau sebab-sebab yang adil untuk pemberhentian tersebut</w:t>
      </w:r>
      <w:r>
        <w:rPr>
          <w:rFonts w:ascii="arial" w:eastAsia="arial" w:hAnsi="arial" w:cs="arial"/>
          <w:b w:val="0"/>
          <w:i w:val="0"/>
          <w:strike w:val="0"/>
          <w:noProof w:val="0"/>
          <w:color w:val="000000"/>
          <w:position w:val="0"/>
          <w:sz w:val="18"/>
          <w:u w:val="none"/>
          <w:vertAlign w:val="baseline"/>
        </w:rPr>
        <w:t xml:space="preserve">. Kegagalan unk menentukan isu-isu ini atas merit adalah merupakan kesilapan bi-dangkuasa membolehkan campurtangan Mahkamah Tinggi melalui </w:t>
      </w:r>
      <w:r>
        <w:rPr>
          <w:rFonts w:ascii="arial" w:eastAsia="arial" w:hAnsi="arial" w:cs="arial"/>
          <w:b w:val="0"/>
          <w:i/>
          <w:strike w:val="0"/>
          <w:noProof w:val="0"/>
          <w:color w:val="000000"/>
          <w:position w:val="0"/>
          <w:sz w:val="18"/>
          <w:u w:val="none"/>
          <w:vertAlign w:val="baseline"/>
        </w:rPr>
        <w:t>certiorari</w:t>
      </w:r>
      <w:r>
        <w:rPr>
          <w:rFonts w:ascii="arial" w:eastAsia="arial" w:hAnsi="arial" w:cs="arial"/>
          <w:b w:val="0"/>
          <w:i w:val="0"/>
          <w:strike w:val="0"/>
          <w:noProof w:val="0"/>
          <w:color w:val="000000"/>
          <w:position w:val="0"/>
          <w:sz w:val="18"/>
          <w:u w:val="none"/>
          <w:vertAlign w:val="baseline"/>
        </w:rPr>
        <w:t>. Selanjutnya, Mahkamah Perindustrian akan bertindak di luar bidangkuasa jika ia menukar bidang rujukan dengan menggantikan alasannya yang tersendiri, iaitu alasan yang tidak diberikan oleh majikan sebagai alasan pemberhentian tersebut.”</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Jelas dari kes diatas Mahkamah ini mempunyai peranan dua hala atau </w:t>
      </w:r>
      <w:r>
        <w:rPr>
          <w:rFonts w:ascii="arial" w:eastAsia="arial" w:hAnsi="arial" w:cs="arial"/>
          <w:b w:val="0"/>
          <w:i/>
          <w:strike w:val="0"/>
          <w:noProof w:val="0"/>
          <w:color w:val="000000"/>
          <w:position w:val="0"/>
          <w:sz w:val="24"/>
          <w:u w:val="none"/>
          <w:vertAlign w:val="baseline"/>
        </w:rPr>
        <w:t>two fold test</w:t>
      </w:r>
      <w:r>
        <w:rPr>
          <w:rFonts w:ascii="arial" w:eastAsia="arial" w:hAnsi="arial" w:cs="arial"/>
          <w:b w:val="0"/>
          <w:i w:val="0"/>
          <w:strike w:val="0"/>
          <w:noProof w:val="0"/>
          <w:color w:val="000000"/>
          <w:position w:val="0"/>
          <w:sz w:val="24"/>
          <w:u w:val="none"/>
          <w:vertAlign w:val="baseline"/>
        </w:rPr>
        <w:t>. Sepertimana yang dinyatakan di atas Mahkamah ini tidak perlu menentukan wujudnya penamatan tetapi sama ada penamatan itu dibuat tanpa sebab atau alasan yang munasabah.</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Siasatan Dalaman (DI)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Mahkamah ini pernah menghuraikan tatacara satu DI secara ringkas di dalam kes </w:t>
      </w:r>
      <w:r>
        <w:rPr>
          <w:rFonts w:ascii="arial" w:eastAsia="arial" w:hAnsi="arial" w:cs="arial"/>
          <w:b w:val="0"/>
          <w:i/>
          <w:strike w:val="0"/>
          <w:noProof w:val="0"/>
          <w:color w:val="000000"/>
          <w:position w:val="0"/>
          <w:sz w:val="24"/>
          <w:u w:val="none"/>
          <w:vertAlign w:val="baseline"/>
        </w:rPr>
        <w:t xml:space="preserve">Mohamad Suffian bin Ismail v. Seacera Group Berhad  </w:t>
      </w:r>
      <w:r>
        <w:rPr>
          <w:rFonts w:ascii="arial" w:eastAsia="arial" w:hAnsi="arial" w:cs="arial"/>
          <w:b w:val="0"/>
          <w:i w:val="0"/>
          <w:strike w:val="0"/>
          <w:noProof w:val="0"/>
          <w:color w:val="000000"/>
          <w:position w:val="0"/>
          <w:sz w:val="24"/>
          <w:u w:val="none"/>
          <w:vertAlign w:val="baseline"/>
        </w:rPr>
        <w:t>[2023] MELRU 2317 dan di dalam kes Award No 139 Tahun 2024. Mahkamah tidak akan mengulanginya dan pihak-pihak boleh merujuk kedua-dua kes tersebut sekiranya perlu.</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Ini penting memandangkan dalam kes ini, terdapat pertikaian berkenaan kesahan DI yang telah dijalankan oleh Syarikat. Mahkamah telah meneliti keseluruhan DI berkenaan Pihak Yang Menuntut dan telah memerhatikan beberapa perkara. Mahkamah berpuas hati bahawa satu DI telah dijalankan dan banyak perkiraan yang dibuat oleh Syarikat patut diberi pujian. Melantik pihak ketiga sebagai Pengerusi panel DI dan memanggil saksi untuk beri keterangan serta membacakan pertuduhan terhadap Pihak Yang Menuntut yang merupakan pekerja yang dituduh merupakan tindakan yang patut dicontohi oleh syarikat-syarikat lain.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Namun, Mahkamah ini mendapati bahawa berkemungkinan Pihak Yang Menuntut tidak mendapat nasihat yang mencukupi sebelum DI. Tidak dicatatkan sama ada Pihak Yang Menuntut dimaklumkan atau diberi peluang untuk mendapatkan wakil untuk bercakap bagi pihak beliau. Sememangnya ini satu perkara yang kecil tapi boleh memudaratkan kes Syarikat.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Walau bagaimanapun, perkiraan selanjutnya merupakan antara kesilapan yang paling berat iaitu, tidak menawarkan atau bertanya Pihak Yang Menuntut sama ada beliau ingin menyoal balas saksi Syarikat. Pengerusi DI hanya menawarkan saksi Syarikat keempat untuk disoal balas oleh Pihak Yang Menuntut, berdasarkan Minit Sidang Siasatan Dalaman yang dikemukakan di muka surat 71 sehingga 143 ekshibit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Sekiranya hanya salah satu tidak dibuat, perkara tersebut boleh dianggap remeh namun diambil kedua-duanya sekali, Mahkamah ini tidak dapat pastikan sama ada Pihak Yang Menuntut telah diberikan ruang pengadilan sebenar kerana tidak memenuhi prinsip </w:t>
      </w:r>
      <w:r>
        <w:rPr>
          <w:rFonts w:ascii="arial" w:eastAsia="arial" w:hAnsi="arial" w:cs="arial"/>
          <w:b w:val="0"/>
          <w:i/>
          <w:strike w:val="0"/>
          <w:noProof w:val="0"/>
          <w:color w:val="000000"/>
          <w:position w:val="0"/>
          <w:sz w:val="24"/>
          <w:u w:val="none"/>
          <w:vertAlign w:val="baseline"/>
        </w:rPr>
        <w:t>natural justice</w:t>
      </w:r>
      <w:r>
        <w:rPr>
          <w:rFonts w:ascii="arial" w:eastAsia="arial" w:hAnsi="arial" w:cs="arial"/>
          <w:b w:val="0"/>
          <w:i w:val="0"/>
          <w:strike w:val="0"/>
          <w:noProof w:val="0"/>
          <w:color w:val="000000"/>
          <w:position w:val="0"/>
          <w:sz w:val="24"/>
          <w:u w:val="none"/>
          <w:vertAlign w:val="baseline"/>
        </w:rPr>
        <w:t xml:space="preserve"> atau keadilan asasi/semulajadi.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Berdasarkan kes Award No. 139 Tahun 2024, Mahkamah ini telah merujuk kepada kes </w:t>
      </w:r>
      <w:r>
        <w:rPr>
          <w:rFonts w:ascii="arial" w:eastAsia="arial" w:hAnsi="arial" w:cs="arial"/>
          <w:b w:val="0"/>
          <w:i/>
          <w:strike w:val="0"/>
          <w:noProof w:val="0"/>
          <w:color w:val="000000"/>
          <w:position w:val="0"/>
          <w:sz w:val="24"/>
          <w:u w:val="none"/>
          <w:vertAlign w:val="baseline"/>
        </w:rPr>
        <w:t xml:space="preserve">Bumiputra Commerce Bank Bhd v. Mahkamah Perusahaan &amp; Anor  </w:t>
      </w:r>
      <w:r>
        <w:rPr>
          <w:rFonts w:ascii="arial" w:eastAsia="arial" w:hAnsi="arial" w:cs="arial"/>
          <w:b w:val="0"/>
          <w:i w:val="0"/>
          <w:strike w:val="0"/>
          <w:noProof w:val="0"/>
          <w:color w:val="000000"/>
          <w:position w:val="0"/>
          <w:sz w:val="24"/>
          <w:u w:val="none"/>
          <w:vertAlign w:val="baseline"/>
        </w:rPr>
        <w:t>[2004] 7 CLJ 77, YA Raus Sharif J (pada masa itu) telah memutuskan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[1]</w:t>
      </w:r>
      <w:r>
        <w:rPr>
          <w:rFonts w:ascii="arial" w:eastAsia="arial" w:hAnsi="arial" w:cs="arial"/>
          <w:b w:val="0"/>
          <w:i/>
          <w:strike w:val="0"/>
          <w:noProof w:val="0"/>
          <w:color w:val="000000"/>
          <w:position w:val="0"/>
          <w:sz w:val="18"/>
          <w:u w:val="none"/>
          <w:vertAlign w:val="baseline"/>
        </w:rPr>
        <w:t xml:space="preserve"> The Industrial Court’s jurisdiction, in instances where a domestic inquiry has been held, was limited to considering whether there was a prima facie case against an employee. Thus, in the present case</w:t>
      </w:r>
      <w:r>
        <w:rPr>
          <w:rFonts w:ascii="arial" w:eastAsia="arial" w:hAnsi="arial" w:cs="arial"/>
          <w:b/>
          <w:i/>
          <w:strike w:val="0"/>
          <w:noProof w:val="0"/>
          <w:color w:val="000000"/>
          <w:position w:val="0"/>
          <w:sz w:val="18"/>
          <w:u w:val="none"/>
          <w:vertAlign w:val="baseline"/>
        </w:rPr>
        <w:t>, the Industrial Court should have first considered whether or not the domestic inquiry was valid</w:t>
      </w:r>
      <w:r>
        <w:rPr>
          <w:rFonts w:ascii="arial" w:eastAsia="arial" w:hAnsi="arial" w:cs="arial"/>
          <w:b w:val="0"/>
          <w:i/>
          <w:strike w:val="0"/>
          <w:noProof w:val="0"/>
          <w:color w:val="000000"/>
          <w:position w:val="0"/>
          <w:sz w:val="18"/>
          <w:u w:val="none"/>
          <w:vertAlign w:val="baseline"/>
        </w:rPr>
        <w:t xml:space="preserve"> and the inquiry notes accurate. In the absence of such considerations, the Industrial Court’s action in proceeding to decide the matter without any regard to the notes of inquiry could not be described as anything more than an error of law. Accordingly, the conclusion of the Industrial Court that all charges preferred against the second respondent were not proven could not be supported and was, in fact, contrary to the clear evidence of the case. Since it was apparent from the records that the Industrial Court had misconstrued and misapplied the principles of law pertaining to the relevance of a valid domestic inquiry, this court was compelled to exercise its powers of judicial review to issue an order of certiorari to quash the award. (pp 82 gh, 83 h &amp; 85 cd)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[Penekanan ditambah]</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Mahkamah ini telah juga memerhatikan bahawa penentuan sama ada DI yang dijalankan adalah sah merupakan satu intipati utama dalam DI yang sebenar. Hakim di atas telah tersebut turut merujuk kepada satu lagi kes Mahkamah Tinggi iaitu kes </w:t>
      </w:r>
      <w:r>
        <w:rPr>
          <w:rFonts w:ascii="arial" w:eastAsia="arial" w:hAnsi="arial" w:cs="arial"/>
          <w:b w:val="0"/>
          <w:i/>
          <w:strike w:val="0"/>
          <w:noProof w:val="0"/>
          <w:color w:val="000000"/>
          <w:position w:val="0"/>
          <w:sz w:val="24"/>
          <w:u w:val="none"/>
          <w:vertAlign w:val="baseline"/>
        </w:rPr>
        <w:t xml:space="preserve">Metroplex Administration Sdn Bhd v. Mohamed Elias  </w:t>
      </w:r>
      <w:r>
        <w:rPr>
          <w:rFonts w:ascii="arial" w:eastAsia="arial" w:hAnsi="arial" w:cs="arial"/>
          <w:b w:val="0"/>
          <w:i w:val="0"/>
          <w:strike w:val="0"/>
          <w:noProof w:val="0"/>
          <w:color w:val="000000"/>
          <w:position w:val="0"/>
          <w:sz w:val="24"/>
          <w:u w:val="none"/>
          <w:vertAlign w:val="baseline"/>
        </w:rPr>
        <w:t>[1998] 5 CLJ 467. Di dalam kes itu YA Low Hop Bing J (pada masa itu) telah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Where a domestic inquiry is held and the rules of natural justice have been applied, </w:t>
      </w:r>
      <w:r>
        <w:rPr>
          <w:rFonts w:ascii="arial" w:eastAsia="arial" w:hAnsi="arial" w:cs="arial"/>
          <w:b/>
          <w:i/>
          <w:strike w:val="0"/>
          <w:noProof w:val="0"/>
          <w:color w:val="000000"/>
          <w:position w:val="0"/>
          <w:sz w:val="18"/>
          <w:u w:val="none"/>
          <w:vertAlign w:val="baseline"/>
        </w:rPr>
        <w:t>the Industrial Court should first consider the adequacy or otherwise of the procedure adopted in the proceedings for the domestic inquiry in order to determine whether the domestic inquiry has applied the correct procedure</w:t>
      </w:r>
      <w:r>
        <w:rPr>
          <w:rFonts w:ascii="arial" w:eastAsia="arial" w:hAnsi="arial" w:cs="arial"/>
          <w:b w:val="0"/>
          <w:i/>
          <w:strike w:val="0"/>
          <w:noProof w:val="0"/>
          <w:color w:val="000000"/>
          <w:position w:val="0"/>
          <w:sz w:val="18"/>
          <w:u w:val="none"/>
          <w:vertAlign w:val="baseline"/>
        </w:rPr>
        <w:t xml:space="preserve"> and reached the correct conclusion having regard to all the evidence, documentary and oral, adduced at the domestic inquiry. If at the domestic inquiry, the rules of natural justice were properly applied, the employee being given the opportunity to be heard and to present his case, and should a finding be made against the employee based on the evidence which was presented to the domestic inquiry, the Industrial Court ought to consider the finding of the domestic inquiry in order to conclude whether the employee has been dismissed without just cause or excuse. The rule that a domestic inquiry should be held is after all a rule of the court’s own devising</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[Penekanan ditambah]</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Mahkamah perlu mengambil kira kedua-dua kes di atas apabila menentukan kes ini. Setelah menimbangkan segala bukti yang dikemukakan, Mahkamah ini mendapati atas imbangan kebarangkalian DI yang dilaksanakan tidak dijalankan dengan tatacara yang kemas dan boleh memenuhi syarat-syarat yang telah ditetapkan oleh kedua-dua kes di atas.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Walaupun Mahkamah telah memutuskan seperti yang diatas, tidak semestinya kes Syarikat telah gagal secara automatik. Kini, menjadi tanggungjawab Mahkamah ini untuk menilai dan menimbang semula semua bukti yang dikemukakan untuk membuat keputusan tentang kesahan penamatan Pihak Yang Menuntut. Ini adalah kerana Mahkamah ini turut bertindak sebagai satu DI untuk menampung kepincangan yang telah berlaku semasa di Syarikat.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Perlu ditegaskan bahawa perkiraan Mahkamah ini bukannya bermaksud Mahkamah bertindak bagi pihak Syarikat. Tugas Mahkamah adalah menentukan sama ada penamatan Pihak Yang Menuntut adalah munasabah dan untuk mencapai keputusan ini Mahkamah perlu melihat sendiri bukti-bukti tersebut tanpa dipengaruhi oleh tafsiran pihak ketiga.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Pihak Yang Menuntut telah dikenakan empat pertuduhan yang dikemukakan di bawah ini:</w:t>
      </w:r>
      <w:r>
        <w:t>
</w:t>
      </w:r>
    </w:p>
    <w:p>
      <w:pPr>
        <w:keepNext w:val="0"/>
        <w:numPr>
          <w:numId w:val="1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Pada 26 Oktober 2017 telah mengeluarkan Memo Perhubungan kepada Ketua Jabatan Undang-Undang &amp; Pematuhan pada Ketika itu bagi urusan menandatangani Perjanjian Sale of Share antara Koperasi Khairat Warga YaPEIM Berhad dengan Aneka Group berserta urusan serahan Cek Pembayaran Deposit bernilai Ringgit Malaysia Safu Juta (RM1,000,000.00) afas nama JIN-NG &amp; CO. selaku Pequamcara Vendor (Syarikat Aneka Retail (M) Sdn Bhd) bagi urusan pembelian Aneka Retail Sdn Bhd. Sedangkan depcsit pembayaran fersebut perlu disalurkan kepada Tetuan Zain Megat &amp; Murad selaku Peguamcara YaPEIM:</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Pada 23 Februari 2018 telah mengeluarkan arahan kepada Tetuan Zain, Megat &amp; Murad melalui platform email untuk melepaskan pembayaran deposit bernilai Ringgit Malaysia Satu (1) Juta (RM1,000,000.00) oleh Peguamcara JIN-NGE &amp; Co kepada Pemegang Saham Aneka Retail Sdn. Bhd walaupun perjanjian projek fersebut masih belum lengkap ditandatangani dan/atau dilaksanakan;</w:t>
      </w:r>
    </w:p>
    <w:p>
      <w:pPr>
        <w:keepNext w:val="0"/>
        <w:numPr>
          <w:numId w:val="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Sekitar tahun 2017 hingga 2018 gagal untuk memberikan pandangan kepada Dato’ Abibullah bin Hj. Samsudin selaku Ketua Pengarah YaPEIM pada Ketika itu bahawa keputusan yang dibuat oleh beliau tidak mengikut arahan dan keputusan Lembaga Pemegang Amanah (LPA) YaPEIM sehingga menyebabkan YaPEIM mengalami kerugian sehingga Ringgit Malaysia Satu (1) Juta (RM1,000,000.00) dalam urusan pengambilalihan rangkaian Pasaraya Aneka;</w:t>
      </w:r>
    </w:p>
    <w:p>
      <w:pPr>
        <w:keepNext w:val="0"/>
        <w:numPr>
          <w:numId w:val="2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Dengan melakukan perkara seperti yang dinyatakan pada manamana perenggan (i) dan/atau (ii) dan/atau (iii) di atas, terlibat dalam perlakuan yang berlawanan dengan faedah dan kepentingan YaPEIM seferusnya gagal melaksanakan tanggungjawab kontraktual anda (breach of contractual obligations/duties) terhadap YaPEIM sebagai majikan anda.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Sekiranya dibaca pertuduhan pertama, kesalahan Pihak Yang Menuntut adalah mengeluarkan memo, bukannya sama ada memo tersebut tidak tepat atau tidak benar. Malah sekiranya dilihat dalam Minit DI, saksi Syarikat yang kedua semasa DI dan juga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telah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 : Puan Adawiyah, saya nak tanya, berbalik kepada dokumen ini, ini menarik juga sebab saya dahulu Timbalan Pengarah di SPRM dahulu menjalankan banyak kes-kes siasatan, jadi saya nak bertanya lebih banyak detail berkaitan dengan dokumen ini. Baik, tentang dokumen ini, tadi Puan Adawiyah ada mengatakan “Saya terima arahan daripada pihak atasan”. Siapakah pihak atasan tersebut?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SM2 : Menurut memo ini, Puan Hafizza pun telah mendapat arahan daripada Dato’ Ketua Pengarah sebab Bahagian Projek Khas di bawah seliaan Dato’ KP secara direct.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 : Jadi, maknanya dari pandangan Puan Adawiyah, arahan pengeluaran bayaran ini, adalah tidak menyalahi undang-undang, ataupun tidak menyalahi peraturan lah?</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SM2 : Ya, tidak. Ini untuk penyediaan cek sahaja.”.</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Semua keputusan dan sebab-sebab keputusan ahli panel dikemukakan di dalam muka surat 144 sehingga 157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Setelah merujuk kepada alasan ahli panel dan kenyataan saksi Syarikat, Mahkamah ini tidak nampak bukti yang mengatakan bahawa tindakan Pihak Yang Menuntut adalah satu kesalahan. Malah, saksi syarikat sendiri menyatakan bahawa pengeluaran memo bukanlah satu kesalahan.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Mahkamah berpegang kepada kes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YAA Tun Salleh Abas telah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“Burden of proof is the burden of establishing a case and this rests through-out the trial on the party who asserts the affirmative.”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Lazimnya pengeluaran satu memo bukanlah satu kesalahan namun, kesalahannya mungkin adalah mengeluarkan memo yang berniat untuk menipu atau memalsukan arahan. Perkiraan ini juga telah disangkal oleh saksi Syarikat sendiri yang menyatakan bahawa terdapat arahan KP. Dalam DI, pegawai yang membentang kes telah menyatakan tiada bukti bertulis arahan dikeluarkan. Namun, Pihak Yang Menuntut turut telah menyatakan bahawa KP tidak akan beri arahan bertulis.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Tambahan pula, pihak Syarikat sememangnya mengetahui bahawa KP itu bukanlah seorang yang akan dengar bantahan daripada pegawai bawahannya. Ini jelas dinyatakan oleh seorang ahli Lembaga Pemegang Amanah (“LPA”) yang merupakan lembaga pengarah bagi YaPEIM yang juga seorang ahli panel DI. Beliau telah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 think, we have to be careful here because Legal Department is not the accuser today. That has been dealt with. I think, the fact of the matter is, the highest authority of the organization, which is LPA, bypass all the committees and made decision without going to the governance process,. If you can see, six (6) and seven (7), they made the decision, andthen they ask the Investment and Risk Committee to endorse, which the other way around. So, the instruction came from the very top, and there’s a lot pressure to push everything down and get it done. So, that’s two side of story, to say that, En. Rashid, I have to correct you, to say Legal Department, persistently insist the money to be disburse is also not correct because, maybe Pn Rohaiza also can support me on this, because there’s have been numerous verbal discussion and WhatsApp exchanges between the Head of Legal and the KP’s. Ketua Pengarah, she was against the transaction, and I think, at the end of the day, eventually, after the money have been disburse, she was demoted due to insubordination and how she was demoted because she was against this transaction. I think, I have to put this on the right perspective instead of, you know, let be clear because the Legal Department is not the accuser today.</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Terdapat beberapa kesilapan rakaman percakapan namun, apa yang penting yang ingin Mahkamah ini ketengahkan adalah bahawa pihak Syarikat telah mengakui arahan telah datang daripada pihak teratas Syarikat iaitu LPA. Tindakan Ketua Unit Undang-Undang yang membantah turut di ambil tindakan tatatertib oleh KP yang sama atas alasan mengingkari arahan ketua. Dalam keadaan sedemikian, bagaimanakah tindakan Pihak Yang Menuntut yang tidak mengetahui undang-undang untuk melawan sesorang dan badan yang mempunyai kuasa yang nyata atau </w:t>
      </w:r>
      <w:r>
        <w:rPr>
          <w:rFonts w:ascii="arial" w:eastAsia="arial" w:hAnsi="arial" w:cs="arial"/>
          <w:b w:val="0"/>
          <w:i/>
          <w:strike w:val="0"/>
          <w:noProof w:val="0"/>
          <w:color w:val="000000"/>
          <w:position w:val="0"/>
          <w:sz w:val="24"/>
          <w:u w:val="none"/>
          <w:vertAlign w:val="baseline"/>
        </w:rPr>
        <w:t>ostensible authority</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LPA telah meluluskan projek tanpa melalui saluran yang sepatutnya tetapi sebagai pegawai atau pekerja dalam Syarikat, pekerja harus mematuhi arahan pihak atasan. Sekiranya pekerja itu tidak mematuhi arahan tersebut, pekerja tersebut boleh dikenakan tindakan seperti yang dikenakan terhadap Ketua Unit Undang-Undang tersebut. Dalam keadaan sedemikian, Pihak Yang Menuntut berada dalam keadaan yang sukar memandangkan beliau hanya melaksanakan tugas yang diarahkan. Pihak Syarikat perlu menunjukkan bahawa wujudnya arahan yang membenarkan pekerja melawan arahan LPA dengan nyata.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Beban bukti ni adalah atas bahu pihak Syarikat semata-mata memandangkan Syarikat yang memutuskan bahawa tindakan Pihak Yang Menuntut bukanlah atas kepentingan Syarikat. Walhal, ahli-ahli LPA yang lain juga tidak memberi arahan atau pandangan yang berbeza yang membolehkan wujudnya pandangan yang berbeza. Namun perkiraan tersebut tidak berlaku dan apa yang dilihat oleh pekerja Syarikat adalah urusniaga tersebut telah mendapat LPA yang sepatutnya melaksanakan tugas-tugas pengelolaan.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Berdasarkan semua fakta dan keadaan diatas Mahkamah mendapati atas imbangan kebarangkalian, pihak Syarikat telah gagal membuktikan wiujudnya satu kesalahan di dalam pertuduhan pertama di mana sukar untuk dibuktikan bahawa Pihak Yang Menuntut mengeluarkan memo dengan sengaja untuk mengingkari arahan LPA mahupun melanggar arahan lisan KP.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Pertuduhan kedua merupakan kesalahan yang berat sekiranya dapat dibuktikan. Walau bagaimanapun, Pihak Syarikat tidak menyertakan emel yang dimaksudkan untuk Mahkamah ini menimbangkan sama ada wujudnya satu kesalahan terhadap Pihak Yang Menuntut. Rujukan kepada emel hanya wujud dalam bentuk Notis Tunjuk Sebab dan jawapan kepada Notis Tunjuk Sebab, tiada bukti langsung dikemukakan.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Ini tidak membuktikan kes Syarikat sepertimana diperlukan di dalam kes </w:t>
      </w:r>
      <w:r>
        <w:rPr>
          <w:rFonts w:ascii="arial" w:eastAsia="arial" w:hAnsi="arial" w:cs="arial"/>
          <w:b/>
          <w:i/>
          <w:strike w:val="0"/>
          <w:noProof w:val="0"/>
          <w:color w:val="000000"/>
          <w:position w:val="0"/>
          <w:sz w:val="24"/>
          <w:u w:val="none"/>
          <w:vertAlign w:val="baseline"/>
        </w:rPr>
        <w:t>International Times</w:t>
      </w:r>
      <w:r>
        <w:rPr>
          <w:rFonts w:ascii="arial" w:eastAsia="arial" w:hAnsi="arial" w:cs="arial"/>
          <w:b w:val="0"/>
          <w:i w:val="0"/>
          <w:strike w:val="0"/>
          <w:noProof w:val="0"/>
          <w:color w:val="000000"/>
          <w:position w:val="0"/>
          <w:sz w:val="24"/>
          <w:u w:val="none"/>
          <w:vertAlign w:val="baseline"/>
        </w:rPr>
        <w:t xml:space="preserve"> yang dinyatakan di atas. Walaupun emel itu disebut, berulang kali semasa perbicaraan dan di dalam DI serta diakui wujud oleh Pihak Yang Menuntut, ia tidak pernah dikemukakan secara lagsung sebagai bahan bukti untuk dipertimbangkan oleh Mahkamah. Mahkamah tidak boleh menerima alasan peguamcara Syarikat yang menyatakan bahawa Mahkamah boleh merujuknya memandangkan emel tersebut telah diakui oleh Pihak Yang Menuntut.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Dalam keadaan ini, Mahkamah seharusnya memberikan faedah keraguan atau </w:t>
      </w:r>
      <w:r>
        <w:rPr>
          <w:rFonts w:ascii="arial" w:eastAsia="arial" w:hAnsi="arial" w:cs="arial"/>
          <w:b w:val="0"/>
          <w:i/>
          <w:strike w:val="0"/>
          <w:noProof w:val="0"/>
          <w:color w:val="000000"/>
          <w:position w:val="0"/>
          <w:sz w:val="24"/>
          <w:u w:val="none"/>
          <w:vertAlign w:val="baseline"/>
        </w:rPr>
        <w:t>benefit of the doubt</w:t>
      </w:r>
      <w:r>
        <w:rPr>
          <w:rFonts w:ascii="arial" w:eastAsia="arial" w:hAnsi="arial" w:cs="arial"/>
          <w:b w:val="0"/>
          <w:i w:val="0"/>
          <w:strike w:val="0"/>
          <w:noProof w:val="0"/>
          <w:color w:val="000000"/>
          <w:position w:val="0"/>
          <w:sz w:val="24"/>
          <w:u w:val="none"/>
          <w:vertAlign w:val="baseline"/>
        </w:rPr>
        <w:t xml:space="preserve"> kepada Pihak Yang Menuntut kerana beliau telah menjawab didalam dengan memberi pandangan bahawa pada hemat beliau tindakan beliau selari dengan syarat yang ditetapkan oleh peguamcara yang dilantik oleh Syarikat. Tambahan pula dengan kenyataan oleh ahli panel di atas yang mana, pihak perundangan pun diberi tekanan untuk menyelesaikan urusan ini. Oleh itu, wujud satu suasana yang perlu mematuhi arahan pihak atasan yang berleluasa di Syarikat tanpa soal. Dalam keadaan sedemikian, sesiapapun akan menghadapi kesukaran untuk menegakkan perkara yang benar.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Berdasarkan di atas, Mahkamah berpendapat bahawa atas imbangan kebarangkalian, Pihak Syarikat gagal membuktikan pertuduhan kedua terhadap Pihak Yang Menuntut kerana ketiadaan bukti untuk menyokong kes Syarikat.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Pertuduhan Ketiga dan keempat boleh dilihat bersama kerana merupakan satu pertuduhan yang agak umum atau </w:t>
      </w:r>
      <w:r>
        <w:rPr>
          <w:rFonts w:ascii="arial" w:eastAsia="arial" w:hAnsi="arial" w:cs="arial"/>
          <w:b w:val="0"/>
          <w:i/>
          <w:strike w:val="0"/>
          <w:noProof w:val="0"/>
          <w:color w:val="000000"/>
          <w:position w:val="0"/>
          <w:sz w:val="24"/>
          <w:u w:val="none"/>
          <w:vertAlign w:val="baseline"/>
        </w:rPr>
        <w:t>generic</w:t>
      </w:r>
      <w:r>
        <w:rPr>
          <w:rFonts w:ascii="arial" w:eastAsia="arial" w:hAnsi="arial" w:cs="arial"/>
          <w:b w:val="0"/>
          <w:i w:val="0"/>
          <w:strike w:val="0"/>
          <w:noProof w:val="0"/>
          <w:color w:val="000000"/>
          <w:position w:val="0"/>
          <w:sz w:val="24"/>
          <w:u w:val="none"/>
          <w:vertAlign w:val="baseline"/>
        </w:rPr>
        <w:t>. Namun daripada semua pertuduhan yang lain kedua-dua pertuduhan ini yang berkemungkinan boleh dikenakan terhadap Pihak Yang Menuntut atau pekerja. Ini adalah kerana kedua-dua pertuduhan ini berkaitan dengan tanggungjawab seorang pekerja Syarikat untuk memberi nasihat ataupun wujudnya satu andaian yang setiap pekerja bertanggungjawab untuk berbuat sedemikian serta tugas am pekerja terhadap Syarikat.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Di dalam jawapan Pihak Yang Menuntut kepada Notis Tunjuk Sebab, beliau menjelaskan bahawa telah memberi nasihat secara lisan tetapi tidak semua diterima oleh KP berkenaan Pertuduhan Ketiga. Manakala Pertuduhan Keempat, Pihak Yang Menuntut menyatakan beliau telah melaksanakan tanggungjawabnya untuk kebaikan Syarikat senantiasa.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Pihak Yang Menuntut telah mengakui bahawa beliau tidak pernah memberi apa-apa pandangan secara bertulis hanya secara lisan. Oleh itu, tiada bukti yang Pihak Yang Menuntut boleh beri untuk membuktikan wujudnya nasihat dikemukakan kepada KP. Apa yang nyatakan oleh Pihak Yang Menuntut hanyalah penafian semata-mata untuk kedua-dua Pertuduhan.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Namun Pertuduhan Ketiga dan Keempat tidaklah seberat Pertuduhan Pertama dan Kedua. Mahkamah bersetuju bahawa kesalahan tetap kesalahan, tetapi dari segi perkadaran ia berbeza. Oleh itu, Mahkamah berpandangan bahawa walaupun Pihak yang Menuntut bersalah untuk Pertuduhan Ketiga dan Keempat tetapi hukuman yang dikenakan tidak setimpal malah boleh dikatakan keterlaluan berdasarkan doktrin keseimbangan atau </w:t>
      </w:r>
      <w:r>
        <w:rPr>
          <w:rFonts w:ascii="arial" w:eastAsia="arial" w:hAnsi="arial" w:cs="arial"/>
          <w:b w:val="0"/>
          <w:i/>
          <w:strike w:val="0"/>
          <w:noProof w:val="0"/>
          <w:color w:val="000000"/>
          <w:position w:val="0"/>
          <w:sz w:val="24"/>
          <w:u w:val="none"/>
          <w:vertAlign w:val="baseline"/>
        </w:rPr>
        <w:t>doctrine of proportionality</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Doktrin Keseimbangan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Selanjutnya, Mahkamah turut melihat secara keseluruhan kes ini dan mendapati Pihak Yang Menuntut turut mempunyai tanggungjawab tertentu di dalam kes ini. Mahkamah bersetuju bahawa tindakan Pihak Yang Menuntut yang melepaskan segala tanggungjawab kepada pihak perundangan bukanlah satu perkara yang boleh dicontohi. Persoalannya sama ada kepincangan itu merupakan satu perkiraan yang Mahkamah boleh diambil tindakan walaupun wujudnya suasana yang tidak tenteram harus dijawab dalam afirmatif.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Pihak Yang Menuntut merupakan seorang pegawai atau kakitangan kanan yang berpengalaman dan seharusnya tindakan beliau lebih bertanggungjawab untuk memastikan terdapat usaha yang lebih untuk menunjukkan bahawa segala yang boleh dibuat telah dibuat. Oleh itu, Mahkamah mendapati bahawa Pihak Yang Menuntut turut menyumbang kepada keadaan ini berdasarkan doktrin keseimbangan.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xml:space="preserve">  Duluan untuk doktrin keseimbangan yang dirujuk oleh Mahkamah ini adalah kes </w:t>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 Menurut kes ini, Mahkamah ini mempunyai tanggungjawab tseperti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[36]</w:t>
      </w:r>
      <w:r>
        <w:rPr>
          <w:rFonts w:ascii="arial" w:eastAsia="arial" w:hAnsi="arial" w:cs="arial"/>
          <w:b w:val="0"/>
          <w:i w:val="0"/>
          <w:strike w:val="0"/>
          <w:noProof w:val="0"/>
          <w:color w:val="000000"/>
          <w:position w:val="0"/>
          <w:sz w:val="18"/>
          <w:u w:val="none"/>
          <w:vertAlign w:val="baseline"/>
        </w:rPr>
        <w:t xml:space="preserve"> Thus, in reference to the questions posed to us, we are of the view that </w:t>
      </w:r>
      <w:r>
        <w:rPr>
          <w:rFonts w:ascii="arial" w:eastAsia="arial" w:hAnsi="arial" w:cs="arial"/>
          <w:b/>
          <w:i w:val="0"/>
          <w:strike w:val="0"/>
          <w:noProof w:val="0"/>
          <w:color w:val="000000"/>
          <w:position w:val="0"/>
          <w:sz w:val="18"/>
          <w:u w:val="none"/>
          <w:vertAlign w:val="baseline"/>
        </w:rPr>
        <w:t>the Industrial Court has the jurisdiction to decide that the dismissal of the appellant was without just cause or excuse by using the doctrine of proportionality of punishment and also to decide whether the punishment of dismissal was too harsh in the circumstances when</w:t>
      </w:r>
      <w:r>
        <w:rPr>
          <w:rFonts w:ascii="arial" w:eastAsia="arial" w:hAnsi="arial" w:cs="arial"/>
          <w:b w:val="0"/>
          <w:i w:val="0"/>
          <w:strike w:val="0"/>
          <w:noProof w:val="0"/>
          <w:color w:val="000000"/>
          <w:position w:val="0"/>
          <w:sz w:val="18"/>
          <w:u w:val="none"/>
          <w:vertAlign w:val="baseline"/>
        </w:rPr>
        <w:t xml:space="preserve"> ascertaining the award under s. 20(3) of the  IRA. We are further of the view that the Industrial Court in exercising the aforesaid functions can rely to its powers under s. 30(5) of the  IRA based on the principle of equity, good conscience and substantial merit of the case.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[37]</w:t>
      </w:r>
      <w:r>
        <w:rPr>
          <w:rFonts w:ascii="arial" w:eastAsia="arial" w:hAnsi="arial" w:cs="arial"/>
          <w:b w:val="0"/>
          <w:i w:val="0"/>
          <w:strike w:val="0"/>
          <w:noProof w:val="0"/>
          <w:color w:val="000000"/>
          <w:position w:val="0"/>
          <w:sz w:val="18"/>
          <w:u w:val="none"/>
          <w:vertAlign w:val="baseline"/>
        </w:rPr>
        <w:t xml:space="preserve"> Clearly, the reference by the Federal Court in </w:t>
      </w:r>
      <w:r>
        <w:rPr>
          <w:rFonts w:ascii="arial" w:eastAsia="arial" w:hAnsi="arial" w:cs="arial"/>
          <w:b w:val="0"/>
          <w:i/>
          <w:strike w:val="0"/>
          <w:noProof w:val="0"/>
          <w:color w:val="000000"/>
          <w:position w:val="0"/>
          <w:sz w:val="18"/>
          <w:u w:val="none"/>
          <w:vertAlign w:val="baseline"/>
        </w:rPr>
        <w:t>Milan Auto</w:t>
      </w:r>
      <w:r>
        <w:rPr>
          <w:rFonts w:ascii="arial" w:eastAsia="arial" w:hAnsi="arial" w:cs="arial"/>
          <w:b w:val="0"/>
          <w:i w:val="0"/>
          <w:strike w:val="0"/>
          <w:noProof w:val="0"/>
          <w:color w:val="000000"/>
          <w:position w:val="0"/>
          <w:sz w:val="18"/>
          <w:u w:val="none"/>
          <w:vertAlign w:val="baseline"/>
        </w:rPr>
        <w:t xml:space="preserve"> ‘s decision to the “two fold” test, especially the second fold where the Industrial Court has to decide whether the proven misconduct constitutes just cause or excuse for the dismissal is clear reference to the duty of the Industrial Court to apply the doctrine of proportionality of punishment. This is consistent to what is required of the Industrial Court under s. 30(6) in making an award which provides: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(6) In making its award, the Court shall not be restricted to the specific relief claimed by the parties or to the demands made by the parties in the course of the trade dispute or in the matter of the reference to it under section 20(3) but may include in the award any matter or thing which it thinks necessary or expedient for the purpose of settling the trade dispute or the reference to it under section 20(3).</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[38]</w:t>
      </w:r>
      <w:r>
        <w:rPr>
          <w:rFonts w:ascii="arial" w:eastAsia="arial" w:hAnsi="arial" w:cs="arial"/>
          <w:b w:val="0"/>
          <w:i w:val="0"/>
          <w:strike w:val="0"/>
          <w:noProof w:val="0"/>
          <w:color w:val="000000"/>
          <w:position w:val="0"/>
          <w:sz w:val="18"/>
          <w:u w:val="none"/>
          <w:vertAlign w:val="baseline"/>
        </w:rPr>
        <w:t xml:space="preserve"> Pertinent to note that, under the IRA itself there is an inbuilt mechanism through Item 5 of the Second Schedule to consider the doctrine of proportionality of punishment. Item 5 provides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Any relief given shall take into account contributory misconduct of the workman.</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[39]</w:t>
      </w:r>
      <w:r>
        <w:rPr>
          <w:rFonts w:ascii="arial" w:eastAsia="arial" w:hAnsi="arial" w:cs="arial"/>
          <w:b w:val="0"/>
          <w:i w:val="0"/>
          <w:strike w:val="0"/>
          <w:noProof w:val="0"/>
          <w:color w:val="000000"/>
          <w:position w:val="0"/>
          <w:sz w:val="18"/>
          <w:u w:val="none"/>
          <w:vertAlign w:val="baseline"/>
        </w:rPr>
        <w:t xml:space="preserve"> Based on the above, it is clear that the Industrial Court can go on to decide on the relief to be granted by taking into account of contributory misconduct and as such we are of the view that </w:t>
      </w:r>
      <w:r>
        <w:rPr>
          <w:rFonts w:ascii="arial" w:eastAsia="arial" w:hAnsi="arial" w:cs="arial"/>
          <w:b/>
          <w:i w:val="0"/>
          <w:strike w:val="0"/>
          <w:noProof w:val="0"/>
          <w:color w:val="000000"/>
          <w:position w:val="0"/>
          <w:sz w:val="18"/>
          <w:u w:val="none"/>
          <w:vertAlign w:val="baseline"/>
        </w:rPr>
        <w:t>the doctrine of proportionality of punishment is already inbuilt into the IRA</w:t>
      </w:r>
      <w:r>
        <w:rPr>
          <w:rFonts w:ascii="arial" w:eastAsia="arial" w:hAnsi="arial" w:cs="arial"/>
          <w:b w:val="0"/>
          <w:i w:val="0"/>
          <w:strike w:val="0"/>
          <w:noProof w:val="0"/>
          <w:color w:val="000000"/>
          <w:position w:val="0"/>
          <w:sz w:val="18"/>
          <w:u w:val="none"/>
          <w:vertAlign w:val="baseline"/>
        </w:rPr>
        <w:t>. Thus, the Industrial Court can substitute its own view as to what is the appropriate penalty for the employee’s misconduct, for the view of the employer concerned.”.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[Penekanan ditambah]</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Berdasarkan semua keterangan dan kes-kes di atas, Mahkamah ini berpendapat bahawa atas imbangan kebarangkalian pihak Syarikat telah gagal membuktikan bahawa Pihak Yang Menuntut telah dipecat tanpa sebab atau alasan yang munasabah seperti keperluan di dalam subseksyen 20(1)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Walau bagaimanapun, Mahkamah turut memutuskan bahawa Pihak Yang Menuntut telah menyumbang kepada keadaan ini dan atas dasar doktrin keseimbangan perlu menanggung sebahagian daripada kekhilafan ini.</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xml:space="preserve">  Seterusnya Mahkamah akan menetapkan kadar dan bayaran yang perlu dibuat oleh pihak Syarikat kepada Pihak Yang Menuntut. Mahkamah ini tidak menafikan bahawa Pihak Yang Menuntut telah menyumbang kepada keadaan di atas. Mahkamah telah mendapati bahawa Pihak Yang Menuntut bersalah untuk Pertuduhan Ketiga dan Keempat. Kesalahan-kesalahan Pihak Yang Menuntut itu tidak mewajarkan pemecatan beliau dan sepatutnya penurunan pangkat adalah memadai. Ini adalah sejajar dengan kes Mahkamah ini iaitu kes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yang telah dinyatakan di atas.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 Pampasan Mengganti Pemulihan Semula Jawatan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Lazimnya, pendirian Mahkamah ini adalah pemulihan semula ke jawatan asal agak sukar dilaksanakan memandangkan wujudnya satu situasi yang tidak harmoni antara Pihak Yang Menuntut dan Syarikat sekarang ini. Tambahan pula, Pihak Yang Menuntut telah pun memperolehi pekerjaan yang lain dan pemulihan semula jawatan langsung tidak sesuai dalam keadaan sedemikian.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Pihak Syarikat tidak mengemukakan rekod kerja Pihak Yang Menuntut untuk sepanjang perkhidmatan beliau selama sembilan tahun. Mahkamah menganggap bahawa beliau mempunyai rekod kerja yang telah bersih. Pada masa penamatan gaji keseluruhan Pihak Yang Menuntut adalah RM12,584.00 dan jumlah ini akan digunakan untuk pengiraan jumlah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xml:space="preserve">  Lazimnya, Mahkamah akan memberi pampasan sebagai ganti pemulihan semula jawatan atau </w:t>
      </w:r>
      <w:r>
        <w:rPr>
          <w:rFonts w:ascii="arial" w:eastAsia="arial" w:hAnsi="arial" w:cs="arial"/>
          <w:b w:val="0"/>
          <w:i/>
          <w:strike w:val="0"/>
          <w:noProof w:val="0"/>
          <w:color w:val="000000"/>
          <w:position w:val="0"/>
          <w:sz w:val="24"/>
          <w:u w:val="none"/>
          <w:vertAlign w:val="baseline"/>
        </w:rPr>
        <w:t>compensation in lieu of reinstatement</w:t>
      </w:r>
      <w:r>
        <w:rPr>
          <w:rFonts w:ascii="arial" w:eastAsia="arial" w:hAnsi="arial" w:cs="arial"/>
          <w:b w:val="0"/>
          <w:i w:val="0"/>
          <w:strike w:val="0"/>
          <w:noProof w:val="0"/>
          <w:color w:val="000000"/>
          <w:position w:val="0"/>
          <w:sz w:val="24"/>
          <w:u w:val="none"/>
          <w:vertAlign w:val="baseline"/>
        </w:rPr>
        <w:t xml:space="preserve">. Tambahan pula, Pihak Yang Menuntut telah berkhidmat dengan Syarikat selama Sembilan tahun. Ini bermaksud Pihak Yang Menuntut layak mendapat pampasan sepertimana dinyatakan di dalam subperaturan 3(1) </w:t>
      </w:r>
      <w:r>
        <w:rPr>
          <w:rFonts w:ascii="arial" w:eastAsia="arial" w:hAnsi="arial" w:cs="arial"/>
          <w:b w:val="0"/>
          <w:i/>
          <w:strike w:val="0"/>
          <w:noProof w:val="0"/>
          <w:color w:val="000000"/>
          <w:position w:val="0"/>
          <w:sz w:val="24"/>
          <w:u w:val="none"/>
          <w:vertAlign w:val="baseline"/>
        </w:rPr>
        <w:t>Employment (Termination and Lay-Off Bene-fits) Regulations 1980</w:t>
      </w:r>
      <w:r>
        <w:rPr>
          <w:rFonts w:ascii="arial" w:eastAsia="arial" w:hAnsi="arial" w:cs="arial"/>
          <w:b w:val="0"/>
          <w:i w:val="0"/>
          <w:strike w:val="0"/>
          <w:noProof w:val="0"/>
          <w:color w:val="000000"/>
          <w:position w:val="0"/>
          <w:sz w:val="24"/>
          <w:u w:val="none"/>
          <w:vertAlign w:val="baseline"/>
        </w:rPr>
        <w:t xml:space="preserve"> (“PU (A) 278/80”). Peruntukan tersebut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3. (1) Subject to these Regulations, an employer shall be liable to pay termination or lay-off benefits payment calculated in accordance with regula-tion 6 to an employee who has been employed under a continuous contract of service for a period of not less than twelve months ending with the rele-vant date if-</w:t>
      </w:r>
      <w:r>
        <w:t>
</w:t>
      </w:r>
    </w:p>
    <w:p>
      <w:pPr>
        <w:keepNext w:val="0"/>
        <w:numPr>
          <w:numId w:val="21"/>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contract of service of the employee is terminated; or</w:t>
      </w:r>
    </w:p>
    <w:p>
      <w:pPr>
        <w:keepNext w:val="0"/>
        <w:numPr>
          <w:numId w:val="21"/>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employee is laid-off within the meaning of regulation 5.</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Di samping itu juga, Mahkamah perlu merujuk kepada perenggan 6(1)(c) PU (A) 278/80 yang menyatakan seperti yang berikut: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6. (1) Subject to the provisions of these Regulations, the amount of termination or lay-off benefits payment to which an employee is entitled in any case shall not be less than-</w:t>
      </w:r>
      <w:r>
        <w:t>
</w:t>
      </w:r>
    </w:p>
    <w:p>
      <w:pPr>
        <w:keepNext w:val="0"/>
        <w:numPr>
          <w:numId w:val="22"/>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w:t>
      </w:r>
    </w:p>
    <w:p>
      <w:pPr>
        <w:keepNext w:val="0"/>
        <w:numPr>
          <w:numId w:val="22"/>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w:t>
      </w:r>
    </w:p>
    <w:p>
      <w:pPr>
        <w:keepNext w:val="0"/>
        <w:numPr>
          <w:numId w:val="22"/>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Twenty days’ wages for every year of employment under a continu-ous contract of service with the employer if he has been employed by the employer for five years or more.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and pro-rata as respect an incomplete year, calculated to the nearest month.</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Berdasarkan di atas, Pihak Yang Menuntut telah ditamatkan menurut perenggan 3(1)(a) PU (A) 278/80 dan layak mendapat pampasan sepertimana inyatakan di dalam perenggan 6(1)(c) PU (A) 278/80. Dengan itu, Pihak Yang Menuntut perlu dibayar pampasan menurut kiraan yang akan dinyatakan di bawah.</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(ii) Upah Tangguhan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xml:space="preserve">  Memandangkan Mahkamah telah membuat penentuan bahawa Pihak Yang Menuntut dipecat tanpa sebab atau alasan munasabah, Pihak Yang Menuntut sepatutnya layak menerima upah tangguhan seperti dinyatakan di dalam subseksyen 30 (6A)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Walau bagaimanapun, Pihak Yang Menuntut telah mengakui bahawa beliau mendapat pekerjaan pada November 2021 iaitu hanya sebulan selepas ditamatkan. Oleh itu, Mahkamah keberatan untuk memberi apa-apa Award tambahan.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(iii) Tanggungan Kontraktual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xml:space="preserve">  Di dalam </w:t>
      </w:r>
      <w:r>
        <w:rPr>
          <w:rFonts w:ascii="arial" w:eastAsia="arial" w:hAnsi="arial" w:cs="arial"/>
          <w:b w:val="0"/>
          <w:i/>
          <w:strike w:val="0"/>
          <w:noProof w:val="0"/>
          <w:color w:val="000000"/>
          <w:position w:val="0"/>
          <w:sz w:val="24"/>
          <w:u w:val="none"/>
          <w:vertAlign w:val="baseline"/>
        </w:rPr>
        <w:t>Statement of Case</w:t>
      </w:r>
      <w:r>
        <w:rPr>
          <w:rFonts w:ascii="arial" w:eastAsia="arial" w:hAnsi="arial" w:cs="arial"/>
          <w:b w:val="0"/>
          <w:i w:val="0"/>
          <w:strike w:val="0"/>
          <w:noProof w:val="0"/>
          <w:color w:val="000000"/>
          <w:position w:val="0"/>
          <w:sz w:val="24"/>
          <w:u w:val="none"/>
          <w:vertAlign w:val="baseline"/>
        </w:rPr>
        <w:t xml:space="preserve"> Pihak Yang Menuntut ada menyatakan tentang bayaran gratuiti yang beliau layak tetapi tidak diberi oleh Syarikat. Semasa Pemeriksaan balas oleh peguamcara Syarikat, Pihak Yang Menuntut mengakui bahawa langsung tidak membangkitkannya di dalam </w:t>
      </w:r>
      <w:r>
        <w:rPr>
          <w:rFonts w:ascii="arial" w:eastAsia="arial" w:hAnsi="arial" w:cs="arial"/>
          <w:b w:val="0"/>
          <w:i/>
          <w:strike w:val="0"/>
          <w:noProof w:val="0"/>
          <w:color w:val="000000"/>
          <w:position w:val="0"/>
          <w:sz w:val="24"/>
          <w:u w:val="none"/>
          <w:vertAlign w:val="baseline"/>
        </w:rPr>
        <w:t>CLWS</w:t>
      </w:r>
      <w:r>
        <w:rPr>
          <w:rFonts w:ascii="arial" w:eastAsia="arial" w:hAnsi="arial" w:cs="arial"/>
          <w:b w:val="0"/>
          <w:i w:val="0"/>
          <w:strike w:val="0"/>
          <w:noProof w:val="0"/>
          <w:color w:val="000000"/>
          <w:position w:val="0"/>
          <w:sz w:val="24"/>
          <w:u w:val="none"/>
          <w:vertAlign w:val="baseline"/>
        </w:rPr>
        <w:t>. Ini menyukarkan Mahkamah untuk memberi apa-apa pertimbangan kerana tidak mendapat cukup maklumat tentang tuntutan ini.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Walau bagaimanapun, Mahkamah telah menyatakan bahawa Pihak Yang Menuntut telah menyumbang kepada kes ini dan berdasarkan doktrin keseimbangan perlu menanggung sebahagian tuntutan. Oleh itu, Mahkamah memutuskan bahawa atas doktrin keseimbangan bahawa tiada perintah lain berkenaan dengan Award hanya sekadar pampasan mengganti pemulihan semula jawatan sahaja diberikan.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Jumlah perhitungan dibuat di dalam jadual di bawah dan digabungkan dengan semua Award yang dinyatakan sebelum ini. Pemecahan adalah seperti yang berikut:</w:t>
      </w:r>
    </w:p>
    <w:p>
      <w:pPr>
        <w:keepNext w:val="0"/>
        <w:spacing w:before="0" w:after="0" w:line="300" w:lineRule="atLeast"/>
        <w:ind w:left="0" w:right="0" w:firstLine="0"/>
        <w:jc w:val="both"/>
      </w:pPr>
      <w:r>
        <w:br/>
      </w:r>
      <w:r>
        <w:rPr>
          <w:rFonts w:ascii="arial" w:eastAsia="arial" w:hAnsi="arial" w:cs="arial"/>
          <w:b w:val="0"/>
          <w:i/>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single"/>
          <w:vertAlign w:val="baseline"/>
        </w:rPr>
        <w:t>Pampasan Mengganti Pemulihan Semula Jawatan</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5228"/>
        <w:gridCol w:w="5228"/>
      </w:tblGrid>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RM12,584.00 / 30 hari</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RM419.47 Gaji sehari</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RM419.47 gaji sehari x 20 hari x 9 tahun</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RM75,504.60</w:t>
            </w:r>
          </w:p>
        </w:tc>
      </w:tr>
      <w:tr>
        <w:tblPrEx>
          <w:tblW w:w="5000" w:type="pct"/>
          <w:tblLayout w:type="fixed"/>
        </w:tblPrEx>
        <w:tc>
          <w:tcPr>
            <w:tcW w:w="5120"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Jumlah Award</w:t>
            </w:r>
          </w:p>
        </w:tc>
        <w:tc>
          <w:tcPr>
            <w:tcW w:w="5120"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RM75,504.60</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Berdasarkan kesemua di atas, Mahkamah ini mempercayai atas dasar imbangan kebarangkalian Mahkamah ini mendapati Pihak Yang Menuntut dipecat tanpa alasan yang munasabah. Oleh itu Mahkamah memberi award ini kepada Pihak Yang Menuntut dengan jumlah Ringgit Malaysia Tujuh puluh lima ribu lima ratus empat dan sen enam puluh (RM75,504.60) sahaja.</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Nor Hafizza bt Abdul Manan lwn Yayasan Pembangunan Ekonomi Islam Malaysia (YAPEIM)  [2024] ILJU 60</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Roman"/>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18"/>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 Hafizza bt Abdul Manan lwn Yayasan Pembangunan Ekonomi Islam Malaysia (YAPEIM)  [2024] ILJU 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P5-D3F3-MBWW-444Y-00000-00">
    <vt:lpwstr>Doc::/shared/document|contextualFeaturePermID::1522468</vt:lpwstr>
  </property>
  <property fmtid="{D5CDD505-2E9C-101B-9397-08002B2CF9AE}" pid="4" name="LNDeliveryID">
    <vt:lpwstr>286221640</vt:lpwstr>
  </property>
  <property fmtid="{D5CDD505-2E9C-101B-9397-08002B2CF9AE}" pid="5" name="UserPermID">
    <vt:lpwstr>urn:user:PA196491919</vt:lpwstr>
  </property>
</Properties>
</file>