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Ooi Lay Khuan v Inti International Education Sdn Bhd  [2024] ILJU 67</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Unreported  (ILJU)</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SALAHUDIN HIDAYAT SHARIFF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186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29 January 2024</w:t>
      </w:r>
      <w:bookmarkStart w:id="0" w:name="Representation"/>
      <w:bookmarkEnd w:id="0"/>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Pua Jun Wen (with Leonard Yeoh) (Tay &amp; Partners)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Tan Mei Fang (with Jasmine Goh) (Rahmat Lim &amp; Partners) for the company.</w:t>
      </w:r>
    </w:p>
    <w:p>
      <w:pPr>
        <w:spacing w:line="200" w:lineRule="exact"/>
      </w:pP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1" w:name="Salahudin Hidayat Shariff C"/>
            <w:bookmarkEnd w:id="1"/>
            <w:r>
              <w:rPr>
                <w:rFonts w:ascii="arial" w:eastAsia="arial" w:hAnsi="arial" w:cs="arial"/>
                <w:b/>
                <w:i w:val="0"/>
                <w:strike w:val="0"/>
                <w:noProof w:val="0"/>
                <w:color w:val="000000"/>
                <w:position w:val="0"/>
                <w:sz w:val="30"/>
                <w:u w:val="none"/>
                <w:vertAlign w:val="baseline"/>
              </w:rPr>
              <w:t>Salahudin Hidayat Shariff C:</w:t>
            </w:r>
          </w:p>
        </w:tc>
      </w:tr>
    </w:tbl>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19 November 2021 made by the Director General of Industrial Relations pursuant to subsection 20(3) of the  Industrial Relations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1967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arising out of the dismissal of </w:t>
      </w:r>
      <w:r>
        <w:rPr>
          <w:rFonts w:ascii="arial" w:eastAsia="arial" w:hAnsi="arial" w:cs="arial"/>
          <w:b/>
          <w:i w:val="0"/>
          <w:strike w:val="0"/>
          <w:noProof w:val="0"/>
          <w:color w:val="000000"/>
          <w:position w:val="0"/>
          <w:sz w:val="24"/>
          <w:u w:val="none"/>
          <w:vertAlign w:val="baseline"/>
        </w:rPr>
        <w:t>Ooi Lay Khuan</w:t>
      </w:r>
      <w:r>
        <w:rPr>
          <w:rFonts w:ascii="arial" w:eastAsia="arial" w:hAnsi="arial" w:cs="arial"/>
          <w:b w:val="0"/>
          <w:i w:val="0"/>
          <w:strike w:val="0"/>
          <w:noProof w:val="0"/>
          <w:color w:val="000000"/>
          <w:position w:val="0"/>
          <w:sz w:val="24"/>
          <w:u w:val="none"/>
          <w:vertAlign w:val="baseline"/>
        </w:rPr>
        <w:t xml:space="preserve"> (“the Claimant”) by </w:t>
      </w:r>
      <w:r>
        <w:rPr>
          <w:rFonts w:ascii="arial" w:eastAsia="arial" w:hAnsi="arial" w:cs="arial"/>
          <w:b/>
          <w:i w:val="0"/>
          <w:strike w:val="0"/>
          <w:noProof w:val="0"/>
          <w:color w:val="000000"/>
          <w:position w:val="0"/>
          <w:sz w:val="24"/>
          <w:u w:val="none"/>
          <w:vertAlign w:val="baseline"/>
        </w:rPr>
        <w:t>Inti International Education Sdn. Bhd.</w:t>
      </w:r>
      <w:r>
        <w:rPr>
          <w:rFonts w:ascii="arial" w:eastAsia="arial" w:hAnsi="arial" w:cs="arial"/>
          <w:b w:val="0"/>
          <w:i w:val="0"/>
          <w:strike w:val="0"/>
          <w:noProof w:val="0"/>
          <w:color w:val="000000"/>
          <w:position w:val="0"/>
          <w:sz w:val="24"/>
          <w:u w:val="none"/>
          <w:vertAlign w:val="baseline"/>
        </w:rPr>
        <w:t xml:space="preserve"> (“the Company”) on 30 April 2021.</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Award</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Brief Facts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The Claimant was appointed as the Company’s Project Manager – group President’s Office from 16 July 2007 to 31 August 2008 on a contract dated 9 May 2007. Subsequently in a contract dated 24 July 2008, the Claimant was permanently appointed as the Special Project Manager – Group President Office effective 1 August 2008. Later on 1 February 2011, the Claimant was appointed as the Centre Manager of the Centre of Traditional Chinese Medicine.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Before the Claimant’s retrenchment, she was the Director of Operations of the Traditional Chinese Medicine School under the Faculty of Health and Life Sciences. According to the Claimant, she was also instrumental in setting up of other facilities within the Company, such as the traditional Chinese clinics and the faculty itself. The Claimant also received other accolades from the Company, which the Court notes.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Company issued a notice of Retrenchment to the Claimant on 1 April 2021 with an effective date of 30 April 2021. In the said notice, the Company also awarded compensation in lieu of notice for the two months being the remainder of the contractual sum as per the Offer of Contract of Service. The Claimant argued that the notice was not enough due to the notice being given to her receiving the notice late. Although her acceptance of the notice was signed on 1 April 2021, being the same date of the notice of Retrenchment.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Company, in turn, runs several institutions of higher learning within Malaysia and overseas. Prior to September 2020, the Company was initially under the Laureate Education, Inc. an overseas education group of companies. After that date, the Company was acquired by Hope Education Group (Hong Kong) Co., Ltd. According to the Claimant, this is where the events began until her retrenchment on 30 April 2021.</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Company denies this and says the main reason for the retrenchment exercise was the pandemic and the Movement Control Order (“MCO”) declared in Malaysia which prevented from the university and the Company being able to operate physically for a certain period of time. This in turn affected the general enrolment of the University, which is essentially the main source of income for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and 13 others were retrenched by the Company. However, all the others have been either reinstated or their cases settling out of Court. This was not the case here where the Company has not made any form of settlement offer to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There were other issues raised by the Claimant as grounds justifying that that her retrenchment was wrongful, unfair and amounts to a breach of natural justice and/or unfair labour practice, which will discussed in detail later in the Award. The Claimant is seeking an award for reinstatement without loss of wages, seniority and other benefits or an appropriate award of back wages from the date of the Claimant’s dismissal or any other reliefs that this Honourable Court deems fit and just, as well as an interest of 8% per annum commencing after the 31</w:t>
      </w:r>
      <w:r>
        <w:rPr>
          <w:rFonts w:ascii="arial" w:eastAsia="arial" w:hAnsi="arial" w:cs="arial"/>
          <w:b w:val="0"/>
          <w:i w:val="0"/>
          <w:strike w:val="0"/>
          <w:noProof w:val="0"/>
          <w:color w:val="000000"/>
          <w:position w:val="0"/>
          <w:sz w:val="24"/>
          <w:u w:val="none"/>
          <w:vertAlign w:val="superscript"/>
        </w:rPr>
        <w:t>st</w:t>
      </w:r>
      <w:r>
        <w:rPr>
          <w:rFonts w:ascii="arial" w:eastAsia="arial" w:hAnsi="arial" w:cs="arial"/>
          <w:b w:val="0"/>
          <w:i w:val="0"/>
          <w:strike w:val="0"/>
          <w:noProof w:val="0"/>
          <w:color w:val="000000"/>
          <w:position w:val="0"/>
          <w:sz w:val="24"/>
          <w:u w:val="none"/>
          <w:vertAlign w:val="baseline"/>
        </w:rPr>
        <w:t xml:space="preserve"> day of the Award. Whilst the Company is seeking to quash the Claimant’s claims totally without any other alternatives offered.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Court has gone through the evidence as given through testimony in Court, as well as the documents and submission that have been filed. Those documents and submissions are listed for ease of reference as follows:</w:t>
      </w:r>
    </w:p>
    <w:p>
      <w:pPr>
        <w:keepNext w:val="0"/>
        <w:numPr>
          <w:numId w:val="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of Case dated 25 January 2022;</w:t>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Statement in Reply dated 25 February 2022;</w:t>
      </w:r>
    </w:p>
    <w:p>
      <w:pPr>
        <w:keepNext w:val="0"/>
        <w:numPr>
          <w:numId w:val="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Rejoinder dated 23 March 2022;</w:t>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Claimant’s Bundle of Documents filed on 25 October 2022 marked as exhibit </w:t>
      </w:r>
      <w:r>
        <w:rPr>
          <w:rFonts w:ascii="arial" w:eastAsia="arial" w:hAnsi="arial" w:cs="arial"/>
          <w:b w:val="0"/>
          <w:i/>
          <w:strike w:val="0"/>
          <w:noProof w:val="0"/>
          <w:color w:val="000000"/>
          <w:position w:val="0"/>
          <w:sz w:val="24"/>
          <w:u w:val="none"/>
          <w:vertAlign w:val="baseline"/>
        </w:rPr>
        <w:t>CLB-1</w:t>
      </w:r>
      <w:r>
        <w:rPr>
          <w:rFonts w:ascii="arial" w:eastAsia="arial" w:hAnsi="arial" w:cs="arial"/>
          <w:b w:val="0"/>
          <w:i w:val="0"/>
          <w:strike w:val="0"/>
          <w:noProof w:val="0"/>
          <w:color w:val="000000"/>
          <w:position w:val="0"/>
          <w:sz w:val="24"/>
          <w:u w:val="none"/>
          <w:vertAlign w:val="baseline"/>
        </w:rPr>
        <w:t>;</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filed on 25 February 2022 marked as exhibit </w:t>
      </w:r>
      <w:r>
        <w:rPr>
          <w:rFonts w:ascii="arial" w:eastAsia="arial" w:hAnsi="arial" w:cs="arial"/>
          <w:b w:val="0"/>
          <w:i/>
          <w:strike w:val="0"/>
          <w:noProof w:val="0"/>
          <w:color w:val="000000"/>
          <w:position w:val="0"/>
          <w:sz w:val="24"/>
          <w:u w:val="none"/>
          <w:vertAlign w:val="baseline"/>
        </w:rPr>
        <w:t>COB-1</w:t>
      </w:r>
      <w:r>
        <w:rPr>
          <w:rFonts w:ascii="arial" w:eastAsia="arial" w:hAnsi="arial" w:cs="arial"/>
          <w:b w:val="0"/>
          <w:i w:val="0"/>
          <w:strike w:val="0"/>
          <w:noProof w:val="0"/>
          <w:color w:val="000000"/>
          <w:position w:val="0"/>
          <w:sz w:val="24"/>
          <w:u w:val="none"/>
          <w:vertAlign w:val="baseline"/>
        </w:rPr>
        <w:t>;</w:t>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- 2 filed on 25 February 2022 marked as exhibit </w:t>
      </w:r>
      <w:r>
        <w:rPr>
          <w:rFonts w:ascii="arial" w:eastAsia="arial" w:hAnsi="arial" w:cs="arial"/>
          <w:b w:val="0"/>
          <w:i/>
          <w:strike w:val="0"/>
          <w:noProof w:val="0"/>
          <w:color w:val="000000"/>
          <w:position w:val="0"/>
          <w:sz w:val="24"/>
          <w:u w:val="none"/>
          <w:vertAlign w:val="baseline"/>
        </w:rPr>
        <w:t>COB-2</w:t>
      </w:r>
      <w:r>
        <w:rPr>
          <w:rFonts w:ascii="arial" w:eastAsia="arial" w:hAnsi="arial" w:cs="arial"/>
          <w:b w:val="0"/>
          <w:i w:val="0"/>
          <w:strike w:val="0"/>
          <w:noProof w:val="0"/>
          <w:color w:val="000000"/>
          <w:position w:val="0"/>
          <w:sz w:val="24"/>
          <w:u w:val="none"/>
          <w:vertAlign w:val="baseline"/>
        </w:rPr>
        <w:t>;</w:t>
      </w:r>
    </w:p>
    <w:p>
      <w:pPr>
        <w:keepNext w:val="0"/>
        <w:numPr>
          <w:numId w:val="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Bundle of Documents (3) filed on 14 November 2022 marked as exhibit </w:t>
      </w:r>
      <w:r>
        <w:rPr>
          <w:rFonts w:ascii="arial" w:eastAsia="arial" w:hAnsi="arial" w:cs="arial"/>
          <w:b w:val="0"/>
          <w:i/>
          <w:strike w:val="0"/>
          <w:noProof w:val="0"/>
          <w:color w:val="000000"/>
          <w:position w:val="0"/>
          <w:sz w:val="24"/>
          <w:u w:val="none"/>
          <w:vertAlign w:val="baseline"/>
        </w:rPr>
        <w:t>COB-3</w:t>
      </w:r>
      <w:r>
        <w:rPr>
          <w:rFonts w:ascii="arial" w:eastAsia="arial" w:hAnsi="arial" w:cs="arial"/>
          <w:b w:val="0"/>
          <w:i w:val="0"/>
          <w:strike w:val="0"/>
          <w:noProof w:val="0"/>
          <w:color w:val="000000"/>
          <w:position w:val="0"/>
          <w:sz w:val="24"/>
          <w:u w:val="none"/>
          <w:vertAlign w:val="baseline"/>
        </w:rPr>
        <w:t>;</w:t>
      </w:r>
    </w:p>
    <w:p>
      <w:pPr>
        <w:keepNext w:val="0"/>
        <w:numPr>
          <w:numId w:val="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Chong Kok Wai signed on 16 November 2022 marked as exhibit </w:t>
      </w:r>
      <w:r>
        <w:rPr>
          <w:rFonts w:ascii="arial" w:eastAsia="arial" w:hAnsi="arial" w:cs="arial"/>
          <w:b w:val="0"/>
          <w:i/>
          <w:strike w:val="0"/>
          <w:noProof w:val="0"/>
          <w:color w:val="000000"/>
          <w:position w:val="0"/>
          <w:sz w:val="24"/>
          <w:u w:val="none"/>
          <w:vertAlign w:val="baseline"/>
        </w:rPr>
        <w:t>COWS-1A</w:t>
      </w:r>
      <w:r>
        <w:rPr>
          <w:rFonts w:ascii="arial" w:eastAsia="arial" w:hAnsi="arial" w:cs="arial"/>
          <w:b w:val="0"/>
          <w:i w:val="0"/>
          <w:strike w:val="0"/>
          <w:noProof w:val="0"/>
          <w:color w:val="000000"/>
          <w:position w:val="0"/>
          <w:sz w:val="24"/>
          <w:u w:val="none"/>
          <w:vertAlign w:val="baseline"/>
        </w:rPr>
        <w:t>;</w:t>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Supplementary Witness Statement of Chong Kok Wai signed on 16 November 2022 marked as exhibit </w:t>
      </w:r>
      <w:r>
        <w:rPr>
          <w:rFonts w:ascii="arial" w:eastAsia="arial" w:hAnsi="arial" w:cs="arial"/>
          <w:b w:val="0"/>
          <w:i/>
          <w:strike w:val="0"/>
          <w:noProof w:val="0"/>
          <w:color w:val="000000"/>
          <w:position w:val="0"/>
          <w:sz w:val="24"/>
          <w:u w:val="none"/>
          <w:vertAlign w:val="baseline"/>
        </w:rPr>
        <w:t>COWS-1B</w:t>
      </w:r>
      <w:r>
        <w:rPr>
          <w:rFonts w:ascii="arial" w:eastAsia="arial" w:hAnsi="arial" w:cs="arial"/>
          <w:b w:val="0"/>
          <w:i w:val="0"/>
          <w:strike w:val="0"/>
          <w:noProof w:val="0"/>
          <w:color w:val="000000"/>
          <w:position w:val="0"/>
          <w:sz w:val="24"/>
          <w:u w:val="none"/>
          <w:vertAlign w:val="baseline"/>
        </w:rPr>
        <w:t>;</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Lee Yu Kuang signed on 17 November 2022 marked as exhibit </w:t>
      </w:r>
      <w:r>
        <w:rPr>
          <w:rFonts w:ascii="arial" w:eastAsia="arial" w:hAnsi="arial" w:cs="arial"/>
          <w:b w:val="0"/>
          <w:i/>
          <w:strike w:val="0"/>
          <w:noProof w:val="0"/>
          <w:color w:val="000000"/>
          <w:position w:val="0"/>
          <w:sz w:val="24"/>
          <w:u w:val="none"/>
          <w:vertAlign w:val="baseline"/>
        </w:rPr>
        <w:t>COWS-2</w:t>
      </w:r>
      <w:r>
        <w:rPr>
          <w:rFonts w:ascii="arial" w:eastAsia="arial" w:hAnsi="arial" w:cs="arial"/>
          <w:b w:val="0"/>
          <w:i w:val="0"/>
          <w:strike w:val="0"/>
          <w:noProof w:val="0"/>
          <w:color w:val="000000"/>
          <w:position w:val="0"/>
          <w:sz w:val="24"/>
          <w:u w:val="none"/>
          <w:vertAlign w:val="baseline"/>
        </w:rPr>
        <w:t>;</w:t>
      </w:r>
    </w:p>
    <w:p>
      <w:pPr>
        <w:keepNext w:val="0"/>
        <w:numPr>
          <w:numId w:val="1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Witness Statement of Chu Shet Vui signed on 17 November 2022 marked as exhibit </w:t>
      </w:r>
      <w:r>
        <w:rPr>
          <w:rFonts w:ascii="arial" w:eastAsia="arial" w:hAnsi="arial" w:cs="arial"/>
          <w:b w:val="0"/>
          <w:i/>
          <w:strike w:val="0"/>
          <w:noProof w:val="0"/>
          <w:color w:val="000000"/>
          <w:position w:val="0"/>
          <w:sz w:val="24"/>
          <w:u w:val="none"/>
          <w:vertAlign w:val="baseline"/>
        </w:rPr>
        <w:t>COWS-3A</w:t>
      </w:r>
      <w:r>
        <w:rPr>
          <w:rFonts w:ascii="arial" w:eastAsia="arial" w:hAnsi="arial" w:cs="arial"/>
          <w:b w:val="0"/>
          <w:i w:val="0"/>
          <w:strike w:val="0"/>
          <w:noProof w:val="0"/>
          <w:color w:val="000000"/>
          <w:position w:val="0"/>
          <w:sz w:val="24"/>
          <w:u w:val="none"/>
          <w:vertAlign w:val="baseline"/>
        </w:rPr>
        <w:t>;</w:t>
      </w:r>
    </w:p>
    <w:p>
      <w:pPr>
        <w:keepNext w:val="0"/>
        <w:numPr>
          <w:numId w:val="1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Company’s Supplementary Witness Statement of Chu Shet Vui signed on 17 November 2022 marked as exhibit </w:t>
      </w:r>
      <w:r>
        <w:rPr>
          <w:rFonts w:ascii="arial" w:eastAsia="arial" w:hAnsi="arial" w:cs="arial"/>
          <w:b w:val="0"/>
          <w:i/>
          <w:strike w:val="0"/>
          <w:noProof w:val="0"/>
          <w:color w:val="000000"/>
          <w:position w:val="0"/>
          <w:sz w:val="24"/>
          <w:u w:val="none"/>
          <w:vertAlign w:val="baseline"/>
        </w:rPr>
        <w:t>COWS-3B</w:t>
      </w:r>
      <w:r>
        <w:rPr>
          <w:rFonts w:ascii="arial" w:eastAsia="arial" w:hAnsi="arial" w:cs="arial"/>
          <w:b w:val="0"/>
          <w:i w:val="0"/>
          <w:strike w:val="0"/>
          <w:noProof w:val="0"/>
          <w:color w:val="000000"/>
          <w:position w:val="0"/>
          <w:sz w:val="24"/>
          <w:u w:val="none"/>
          <w:vertAlign w:val="baseline"/>
        </w:rPr>
        <w:t>;</w:t>
      </w:r>
    </w:p>
    <w:p>
      <w:pPr>
        <w:keepNext w:val="0"/>
        <w:numPr>
          <w:numId w:val="1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Dr Yong Kian Fui signed on 29 March 2023 marked as exhibit </w:t>
      </w:r>
      <w:r>
        <w:rPr>
          <w:rFonts w:ascii="arial" w:eastAsia="arial" w:hAnsi="arial" w:cs="arial"/>
          <w:b w:val="0"/>
          <w:i/>
          <w:strike w:val="0"/>
          <w:noProof w:val="0"/>
          <w:color w:val="000000"/>
          <w:position w:val="0"/>
          <w:sz w:val="24"/>
          <w:u w:val="none"/>
          <w:vertAlign w:val="baseline"/>
        </w:rPr>
        <w:t>CLWS-1</w:t>
      </w:r>
      <w:r>
        <w:rPr>
          <w:rFonts w:ascii="arial" w:eastAsia="arial" w:hAnsi="arial" w:cs="arial"/>
          <w:b w:val="0"/>
          <w:i w:val="0"/>
          <w:strike w:val="0"/>
          <w:noProof w:val="0"/>
          <w:color w:val="000000"/>
          <w:position w:val="0"/>
          <w:sz w:val="24"/>
          <w:u w:val="none"/>
          <w:vertAlign w:val="baseline"/>
        </w:rPr>
        <w:t>;</w:t>
      </w:r>
    </w:p>
    <w:p>
      <w:pPr>
        <w:keepNext w:val="0"/>
        <w:numPr>
          <w:numId w:val="1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Witness Statement of Ooi Lay Khuan signed on 22 March 2023 marked as exhibit </w:t>
      </w:r>
      <w:r>
        <w:rPr>
          <w:rFonts w:ascii="arial" w:eastAsia="arial" w:hAnsi="arial" w:cs="arial"/>
          <w:b w:val="0"/>
          <w:i/>
          <w:strike w:val="0"/>
          <w:noProof w:val="0"/>
          <w:color w:val="000000"/>
          <w:position w:val="0"/>
          <w:sz w:val="24"/>
          <w:u w:val="none"/>
          <w:vertAlign w:val="baseline"/>
        </w:rPr>
        <w:t>CLWS-2</w:t>
      </w:r>
      <w:r>
        <w:rPr>
          <w:rFonts w:ascii="arial" w:eastAsia="arial" w:hAnsi="arial" w:cs="arial"/>
          <w:b w:val="0"/>
          <w:i w:val="0"/>
          <w:strike w:val="0"/>
          <w:noProof w:val="0"/>
          <w:color w:val="000000"/>
          <w:position w:val="0"/>
          <w:sz w:val="24"/>
          <w:u w:val="none"/>
          <w:vertAlign w:val="baseline"/>
        </w:rPr>
        <w:t>;</w:t>
      </w:r>
    </w:p>
    <w:p>
      <w:pPr>
        <w:keepNext w:val="0"/>
        <w:numPr>
          <w:numId w:val="1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Written Submissions dated 8 September 2023;</w:t>
      </w:r>
    </w:p>
    <w:p>
      <w:pPr>
        <w:keepNext w:val="0"/>
        <w:numPr>
          <w:numId w:val="1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filed on 11 September 2023;</w:t>
      </w:r>
    </w:p>
    <w:p>
      <w:pPr>
        <w:keepNext w:val="0"/>
        <w:numPr>
          <w:numId w:val="1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dated 8 September 2023;</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8 September 2023;</w:t>
      </w:r>
    </w:p>
    <w:p>
      <w:pPr>
        <w:keepNext w:val="0"/>
        <w:numPr>
          <w:numId w:val="1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Submissions in Reply dated 13 October 2023;</w:t>
      </w:r>
    </w:p>
    <w:p>
      <w:pPr>
        <w:keepNext w:val="0"/>
        <w:numPr>
          <w:numId w:val="2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Bundle of Authorities No. 2 filed on 18 October 2023;</w:t>
      </w:r>
    </w:p>
    <w:p>
      <w:pPr>
        <w:keepNext w:val="0"/>
        <w:numPr>
          <w:numId w:val="2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Submissions in Reply dated 13 October 2023; and</w:t>
      </w:r>
    </w:p>
    <w:p>
      <w:pPr>
        <w:keepNext w:val="0"/>
        <w:numPr>
          <w:numId w:val="2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Claimant’s Bundle of Authorities filed on 16 October 2023.</w:t>
      </w:r>
    </w:p>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DECISION</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Chair and the Role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xml:space="preserve">  Before proceeding with the full award, it should be expressly stated that the original Chairperson of the Court has been transferred. The new Chair took over the case at the penultimate stage of the case and proceeded to give this award. This Court has already decided in earlier cases its position regarding the issue of taking over from another Chair, some of those cases are the cases of </w:t>
      </w:r>
      <w:r>
        <w:rPr>
          <w:rFonts w:ascii="arial" w:eastAsia="arial" w:hAnsi="arial" w:cs="arial"/>
          <w:b w:val="0"/>
          <w:i/>
          <w:strike w:val="0"/>
          <w:noProof w:val="0"/>
          <w:color w:val="000000"/>
          <w:position w:val="0"/>
          <w:sz w:val="24"/>
          <w:u w:val="none"/>
          <w:vertAlign w:val="baseline"/>
        </w:rPr>
        <w:t xml:space="preserve">Badariah Abdullah lwn. Malaysia Airports (Sepang) Sdn Bhd  </w:t>
      </w:r>
      <w:r>
        <w:rPr>
          <w:rFonts w:ascii="arial" w:eastAsia="arial" w:hAnsi="arial" w:cs="arial"/>
          <w:b w:val="0"/>
          <w:i w:val="0"/>
          <w:strike w:val="0"/>
          <w:noProof w:val="0"/>
          <w:color w:val="000000"/>
          <w:position w:val="0"/>
          <w:sz w:val="24"/>
          <w:u w:val="none"/>
          <w:vertAlign w:val="baseline"/>
        </w:rPr>
        <w:t xml:space="preserve">[2023] 2 LNS 1546, </w:t>
      </w:r>
      <w:r>
        <w:rPr>
          <w:rFonts w:ascii="arial" w:eastAsia="arial" w:hAnsi="arial" w:cs="arial"/>
          <w:b w:val="0"/>
          <w:i/>
          <w:strike w:val="0"/>
          <w:noProof w:val="0"/>
          <w:color w:val="000000"/>
          <w:position w:val="0"/>
          <w:sz w:val="24"/>
          <w:u w:val="none"/>
          <w:vertAlign w:val="baseline"/>
        </w:rPr>
        <w:t xml:space="preserve">Nor Azlina Abd Rahim lwn. Jurukur Perunding Services Sdn Bhd  </w:t>
      </w:r>
      <w:r>
        <w:rPr>
          <w:rFonts w:ascii="arial" w:eastAsia="arial" w:hAnsi="arial" w:cs="arial"/>
          <w:b w:val="0"/>
          <w:i w:val="0"/>
          <w:strike w:val="0"/>
          <w:noProof w:val="0"/>
          <w:color w:val="000000"/>
          <w:position w:val="0"/>
          <w:sz w:val="24"/>
          <w:u w:val="none"/>
          <w:vertAlign w:val="baseline"/>
        </w:rPr>
        <w:t xml:space="preserve">[2023] MELRU 1728 and </w:t>
      </w:r>
      <w:r>
        <w:rPr>
          <w:rFonts w:ascii="arial" w:eastAsia="arial" w:hAnsi="arial" w:cs="arial"/>
          <w:b w:val="0"/>
          <w:i/>
          <w:strike w:val="0"/>
          <w:noProof w:val="0"/>
          <w:color w:val="000000"/>
          <w:position w:val="0"/>
          <w:sz w:val="24"/>
          <w:u w:val="none"/>
          <w:vertAlign w:val="baseline"/>
        </w:rPr>
        <w:t xml:space="preserve">Chong Jee Fatt v. Tee E &amp; C (Malaysia) Sdn. Bhd.  </w:t>
      </w:r>
      <w:r>
        <w:rPr>
          <w:rFonts w:ascii="arial" w:eastAsia="arial" w:hAnsi="arial" w:cs="arial"/>
          <w:b w:val="0"/>
          <w:i w:val="0"/>
          <w:strike w:val="0"/>
          <w:noProof w:val="0"/>
          <w:color w:val="000000"/>
          <w:position w:val="0"/>
          <w:sz w:val="24"/>
          <w:u w:val="none"/>
          <w:vertAlign w:val="baseline"/>
        </w:rPr>
        <w:t>[2023] 3 ILR 204</w:t>
      </w:r>
      <w:r>
        <w:rPr>
          <w:rFonts w:ascii="arial" w:eastAsia="arial" w:hAnsi="arial" w:cs="arial"/>
          <w:b w:val="0"/>
          <w:i/>
          <w:strike w:val="0"/>
          <w:noProof w:val="0"/>
          <w:color w:val="000000"/>
          <w:position w:val="0"/>
          <w:sz w:val="24"/>
          <w:u w:val="none"/>
          <w:vertAlign w:val="baseline"/>
        </w:rPr>
        <w:t>.</w:t>
      </w:r>
      <w:r>
        <w:rPr>
          <w:rFonts w:ascii="arial" w:eastAsia="arial" w:hAnsi="arial" w:cs="arial"/>
          <w:b w:val="0"/>
          <w:i w:val="0"/>
          <w:strike w:val="0"/>
          <w:noProof w:val="0"/>
          <w:color w:val="000000"/>
          <w:position w:val="0"/>
          <w:sz w:val="24"/>
          <w:u w:val="none"/>
          <w:vertAlign w:val="baseline"/>
        </w:rPr>
        <w:t xml:space="preserve"> In those awards this Court referred to the case of </w:t>
      </w:r>
      <w:r>
        <w:rPr>
          <w:rFonts w:ascii="arial" w:eastAsia="arial" w:hAnsi="arial" w:cs="arial"/>
          <w:b w:val="0"/>
          <w:i/>
          <w:strike w:val="0"/>
          <w:noProof w:val="0"/>
          <w:color w:val="000000"/>
          <w:position w:val="0"/>
          <w:sz w:val="24"/>
          <w:u w:val="none"/>
          <w:vertAlign w:val="baseline"/>
        </w:rPr>
        <w:t xml:space="preserve">Bax Global (Malaysia) Sdn Bhd V. Sukhdev Singh Pritam Singh &amp; Anor  </w:t>
      </w:r>
      <w:r>
        <w:rPr>
          <w:rFonts w:ascii="arial" w:eastAsia="arial" w:hAnsi="arial" w:cs="arial"/>
          <w:b w:val="0"/>
          <w:i w:val="0"/>
          <w:strike w:val="0"/>
          <w:noProof w:val="0"/>
          <w:color w:val="000000"/>
          <w:position w:val="0"/>
          <w:sz w:val="24"/>
          <w:u w:val="none"/>
          <w:vertAlign w:val="baseline"/>
        </w:rPr>
        <w:t xml:space="preserve">[2011] 2 CLJ 534 and subsection 23(6)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It would not be prudent to repeat the same and as such, parties are welcome to view the said cases for an explanation why the Chair proceeded in completing this case. Suffice that the Chair was confident in the belief that the Award would not be prejudiced by the change of the chairman of the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Similarly, the Court reiterates its stand in all three of the above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strike w:val="0"/>
          <w:noProof w:val="0"/>
          <w:color w:val="000000"/>
          <w:position w:val="0"/>
          <w:sz w:val="24"/>
          <w:u w:val="none"/>
          <w:vertAlign w:val="baseline"/>
        </w:rPr>
        <w:t>Nor Azlina</w:t>
      </w:r>
      <w:r>
        <w:rPr>
          <w:rFonts w:ascii="arial" w:eastAsia="arial" w:hAnsi="arial" w:cs="arial"/>
          <w:b w:val="0"/>
          <w:i w:val="0"/>
          <w:strike w:val="0"/>
          <w:noProof w:val="0"/>
          <w:color w:val="000000"/>
          <w:position w:val="0"/>
          <w:sz w:val="24"/>
          <w:u w:val="none"/>
          <w:vertAlign w:val="baseline"/>
        </w:rPr>
        <w:t xml:space="preserve"> and </w:t>
      </w:r>
      <w:r>
        <w:rPr>
          <w:rFonts w:ascii="arial" w:eastAsia="arial" w:hAnsi="arial" w:cs="arial"/>
          <w:b/>
          <w:i/>
          <w:strike w:val="0"/>
          <w:noProof w:val="0"/>
          <w:color w:val="000000"/>
          <w:position w:val="0"/>
          <w:sz w:val="24"/>
          <w:u w:val="none"/>
          <w:vertAlign w:val="baseline"/>
        </w:rPr>
        <w:t>Chong Jee Fatt</w:t>
      </w:r>
      <w:r>
        <w:rPr>
          <w:rFonts w:ascii="arial" w:eastAsia="arial" w:hAnsi="arial" w:cs="arial"/>
          <w:b w:val="0"/>
          <w:i w:val="0"/>
          <w:strike w:val="0"/>
          <w:noProof w:val="0"/>
          <w:color w:val="000000"/>
          <w:position w:val="0"/>
          <w:sz w:val="24"/>
          <w:u w:val="none"/>
          <w:vertAlign w:val="baseline"/>
        </w:rPr>
        <w:t xml:space="preserve"> regarding the role of the Court in a matter referred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where the Court refers to the oft- cited Supreme Court case of </w:t>
      </w:r>
      <w:r>
        <w:rPr>
          <w:rFonts w:ascii="arial" w:eastAsia="arial" w:hAnsi="arial" w:cs="arial"/>
          <w:b w:val="0"/>
          <w:i/>
          <w:strike w:val="0"/>
          <w:noProof w:val="0"/>
          <w:color w:val="000000"/>
          <w:position w:val="0"/>
          <w:sz w:val="24"/>
          <w:u w:val="none"/>
          <w:vertAlign w:val="baseline"/>
        </w:rPr>
        <w:t xml:space="preserve">Wong Chee Hong v. Cathay Organisation Malaysia Sdn Bhd.  </w:t>
      </w:r>
      <w:r>
        <w:rPr>
          <w:rFonts w:ascii="arial" w:eastAsia="arial" w:hAnsi="arial" w:cs="arial"/>
          <w:b w:val="0"/>
          <w:i w:val="0"/>
          <w:strike w:val="0"/>
          <w:noProof w:val="0"/>
          <w:color w:val="000000"/>
          <w:position w:val="0"/>
          <w:sz w:val="24"/>
          <w:u w:val="none"/>
          <w:vertAlign w:val="baseline"/>
        </w:rPr>
        <w:t xml:space="preserve">[1988] 1 CLJ 45 and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[1981] 2 MLJ 129. The accepted principles in those cases are clear and needs no further elaboration.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The case at hand is an application under subsection 20(3)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as mentioned earlier and above as well as in this case specifically it is a clear case of retrenchment due to redundancy. It has been this Court’s norm that in cases of retrenchment, that both retrenchment and redundancy are used interchangeably. As in today’s case, the retrenchment was due to the so-called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Nonetheless, before going into the issue of retrenchment or redundancy, another of the Court’s duty is to emphasis the level of proof required in cases in the Industrial Court.</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Burden and Onus of Proof</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Court also refers to its previous cases with regards the burden of proof as well as adducing evidence in a case. The specific case referred is the case of </w:t>
      </w:r>
      <w:r>
        <w:rPr>
          <w:rFonts w:ascii="arial" w:eastAsia="arial" w:hAnsi="arial" w:cs="arial"/>
          <w:b w:val="0"/>
          <w:i/>
          <w:strike w:val="0"/>
          <w:noProof w:val="0"/>
          <w:color w:val="000000"/>
          <w:position w:val="0"/>
          <w:sz w:val="24"/>
          <w:u w:val="none"/>
          <w:vertAlign w:val="baseline"/>
        </w:rPr>
        <w:t xml:space="preserve">Mohamad Suffian Ismail v. Seacera Group Berhad  </w:t>
      </w:r>
      <w:r>
        <w:rPr>
          <w:rFonts w:ascii="arial" w:eastAsia="arial" w:hAnsi="arial" w:cs="arial"/>
          <w:b w:val="0"/>
          <w:i w:val="0"/>
          <w:strike w:val="0"/>
          <w:noProof w:val="0"/>
          <w:color w:val="000000"/>
          <w:position w:val="0"/>
          <w:sz w:val="24"/>
          <w:u w:val="none"/>
          <w:vertAlign w:val="baseline"/>
        </w:rPr>
        <w:t xml:space="preserve">[2023] MELRU 2317 whereby this Court had referred to the Court of Appeal case of </w:t>
      </w:r>
      <w:r>
        <w:rPr>
          <w:rFonts w:ascii="arial" w:eastAsia="arial" w:hAnsi="arial" w:cs="arial"/>
          <w:b w:val="0"/>
          <w:i/>
          <w:strike w:val="0"/>
          <w:noProof w:val="0"/>
          <w:color w:val="000000"/>
          <w:position w:val="0"/>
          <w:sz w:val="24"/>
          <w:u w:val="none"/>
          <w:vertAlign w:val="baseline"/>
        </w:rPr>
        <w:t xml:space="preserve">Telekom Malaysia Kawasan Utara v. Krishnan Kutty Sanguni Nair &amp; Anor  </w:t>
      </w:r>
      <w:r>
        <w:rPr>
          <w:rFonts w:ascii="arial" w:eastAsia="arial" w:hAnsi="arial" w:cs="arial"/>
          <w:b w:val="0"/>
          <w:i w:val="0"/>
          <w:strike w:val="0"/>
          <w:noProof w:val="0"/>
          <w:color w:val="000000"/>
          <w:position w:val="0"/>
          <w:sz w:val="24"/>
          <w:u w:val="none"/>
          <w:vertAlign w:val="baseline"/>
        </w:rPr>
        <w:t xml:space="preserve">[2002] 3 CLJ 314 and the case of </w:t>
      </w:r>
      <w:r>
        <w:rPr>
          <w:rFonts w:ascii="arial" w:eastAsia="arial" w:hAnsi="arial" w:cs="arial"/>
          <w:b w:val="0"/>
          <w:i/>
          <w:strike w:val="0"/>
          <w:noProof w:val="0"/>
          <w:color w:val="000000"/>
          <w:position w:val="0"/>
          <w:sz w:val="24"/>
          <w:u w:val="none"/>
          <w:vertAlign w:val="baseline"/>
        </w:rPr>
        <w:t xml:space="preserve">International Times &amp; Ors v. Leong Ho Yuen  </w:t>
      </w:r>
      <w:r>
        <w:rPr>
          <w:rFonts w:ascii="arial" w:eastAsia="arial" w:hAnsi="arial" w:cs="arial"/>
          <w:b w:val="0"/>
          <w:i w:val="0"/>
          <w:strike w:val="0"/>
          <w:noProof w:val="0"/>
          <w:color w:val="000000"/>
          <w:position w:val="0"/>
          <w:sz w:val="24"/>
          <w:u w:val="none"/>
          <w:vertAlign w:val="baseline"/>
        </w:rPr>
        <w:t>[1980] 1 MLJ 86</w:t>
      </w:r>
      <w:r>
        <w:rPr>
          <w:rFonts w:ascii="arial" w:eastAsia="arial" w:hAnsi="arial" w:cs="arial"/>
          <w:b/>
          <w:i/>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xml:space="preserve">  Both the cases cited in the </w:t>
      </w:r>
      <w:r>
        <w:rPr>
          <w:rFonts w:ascii="arial" w:eastAsia="arial" w:hAnsi="arial" w:cs="arial"/>
          <w:b/>
          <w:i/>
          <w:strike w:val="0"/>
          <w:noProof w:val="0"/>
          <w:color w:val="000000"/>
          <w:position w:val="0"/>
          <w:sz w:val="24"/>
          <w:u w:val="none"/>
          <w:vertAlign w:val="baseline"/>
        </w:rPr>
        <w:t>Mohamad Suffian</w:t>
      </w:r>
      <w:r>
        <w:rPr>
          <w:rFonts w:ascii="arial" w:eastAsia="arial" w:hAnsi="arial" w:cs="arial"/>
          <w:b w:val="0"/>
          <w:i w:val="0"/>
          <w:strike w:val="0"/>
          <w:noProof w:val="0"/>
          <w:color w:val="000000"/>
          <w:position w:val="0"/>
          <w:sz w:val="24"/>
          <w:u w:val="none"/>
          <w:vertAlign w:val="baseline"/>
        </w:rPr>
        <w:t xml:space="preserve"> case above are the standard and burden of proof required by the Court and will be used when scrutinising this case. It is important to emphasise these factors because the entire case is beholden to adjudicate the evidence submitted based on the burden and standard of the proof of cases cited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In is encumbered on the parties asserting the facts that it must be proven based on the balance of probabilities. This obligation has to be proven by both parties. So now, the Court will look into the crux of the case today, which is the issue of retrenchment and redundancy.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Retrenchment and Redundancy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Earlier, the Court has taken the position on both retrenchment and redundancy but let us look at the definition of each first. On retrenchment, this Court has always referred to the Court of Appeal case of </w:t>
      </w:r>
      <w:r>
        <w:rPr>
          <w:rFonts w:ascii="arial" w:eastAsia="arial" w:hAnsi="arial" w:cs="arial"/>
          <w:b w:val="0"/>
          <w:i/>
          <w:strike w:val="0"/>
          <w:noProof w:val="0"/>
          <w:color w:val="000000"/>
          <w:position w:val="0"/>
          <w:sz w:val="24"/>
          <w:u w:val="none"/>
          <w:vertAlign w:val="baseline"/>
        </w:rPr>
        <w:t xml:space="preserve">William Jacks &amp; Co. (M) Sdn. Bhd. v. S. Balasingam  </w:t>
      </w:r>
      <w:r>
        <w:rPr>
          <w:rFonts w:ascii="arial" w:eastAsia="arial" w:hAnsi="arial" w:cs="arial"/>
          <w:b w:val="0"/>
          <w:i w:val="0"/>
          <w:strike w:val="0"/>
          <w:noProof w:val="0"/>
          <w:color w:val="000000"/>
          <w:position w:val="0"/>
          <w:sz w:val="24"/>
          <w:u w:val="none"/>
          <w:vertAlign w:val="baseline"/>
        </w:rPr>
        <w:t>[1997] 3 CLJ 235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[4]</w:t>
      </w:r>
      <w:r>
        <w:rPr>
          <w:rFonts w:ascii="arial" w:eastAsia="arial" w:hAnsi="arial" w:cs="arial"/>
          <w:b w:val="0"/>
          <w:i w:val="0"/>
          <w:strike w:val="0"/>
          <w:noProof w:val="0"/>
          <w:color w:val="000000"/>
          <w:position w:val="0"/>
          <w:sz w:val="18"/>
          <w:u w:val="none"/>
          <w:vertAlign w:val="baseline"/>
        </w:rPr>
        <w:t xml:space="preserve"> ‘Retrenchment’ has been defined as the discharge of surplus labour or staff by an employer for any reason whatsoever otherwise than as a punishment inflicted by way of disciplinary action. </w:t>
      </w:r>
      <w:r>
        <w:rPr>
          <w:rFonts w:ascii="arial" w:eastAsia="arial" w:hAnsi="arial" w:cs="arial"/>
          <w:b/>
          <w:i w:val="0"/>
          <w:strike w:val="0"/>
          <w:noProof w:val="0"/>
          <w:color w:val="000000"/>
          <w:position w:val="0"/>
          <w:sz w:val="18"/>
          <w:u w:val="none"/>
          <w:vertAlign w:val="baseline"/>
        </w:rPr>
        <w:t>Whether the retrenchment exercise in a particular case is</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or otherwise is a question of fact and of degree depending on the peculiar circumstances of the case</w:t>
      </w:r>
      <w:r>
        <w:rPr>
          <w:rFonts w:ascii="arial" w:eastAsia="arial" w:hAnsi="arial" w:cs="arial"/>
          <w:b w:val="0"/>
          <w:i w:val="0"/>
          <w:strike w:val="0"/>
          <w:noProof w:val="0"/>
          <w:color w:val="000000"/>
          <w:position w:val="0"/>
          <w:sz w:val="18"/>
          <w:u w:val="none"/>
          <w:vertAlign w:val="baseline"/>
        </w:rPr>
        <w:t xml:space="preserve">. It is well-settled that </w:t>
      </w:r>
      <w:r>
        <w:rPr>
          <w:rFonts w:ascii="arial" w:eastAsia="arial" w:hAnsi="arial" w:cs="arial"/>
          <w:b/>
          <w:i w:val="0"/>
          <w:strike w:val="0"/>
          <w:noProof w:val="0"/>
          <w:color w:val="000000"/>
          <w:position w:val="0"/>
          <w:sz w:val="18"/>
          <w:u w:val="none"/>
          <w:vertAlign w:val="baseline"/>
        </w:rPr>
        <w:t>the employer is entitled to organise his business in the manner he considers best</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So long as the managerial power is exercised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bona fide</w:t>
      </w:r>
      <w:r>
        <w:rPr>
          <w:rFonts w:ascii="arial" w:eastAsia="arial" w:hAnsi="arial" w:cs="arial"/>
          <w:b/>
          <w:i w:val="0"/>
          <w:strike w:val="0"/>
          <w:noProof w:val="0"/>
          <w:color w:val="000000"/>
          <w:position w:val="0"/>
          <w:sz w:val="18"/>
          <w:u w:val="none"/>
          <w:vertAlign w:val="baseline"/>
        </w:rPr>
        <w:t>, the decision is immune from examination even by the Industrial Court</w:t>
      </w:r>
      <w:r>
        <w:rPr>
          <w:rFonts w:ascii="arial" w:eastAsia="arial" w:hAnsi="arial" w:cs="arial"/>
          <w:b w:val="0"/>
          <w:i w:val="0"/>
          <w:strike w:val="0"/>
          <w:noProof w:val="0"/>
          <w:color w:val="000000"/>
          <w:position w:val="0"/>
          <w:sz w:val="18"/>
          <w:u w:val="none"/>
          <w:vertAlign w:val="baseline"/>
        </w:rPr>
        <w:t xml:space="preserve">. However, the Industrial Court is empowered, and indeed duty-bound, to investigate the facts and circumstances of the case to determine whether the exercise of power is in fact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xml:space="preserve">  On the issue of redundancy, the Court has always referred to the High Court case of </w:t>
      </w:r>
      <w:r>
        <w:rPr>
          <w:rFonts w:ascii="arial" w:eastAsia="arial" w:hAnsi="arial" w:cs="arial"/>
          <w:b w:val="0"/>
          <w:i/>
          <w:strike w:val="0"/>
          <w:noProof w:val="0"/>
          <w:color w:val="000000"/>
          <w:position w:val="0"/>
          <w:sz w:val="24"/>
          <w:u w:val="none"/>
          <w:vertAlign w:val="baseline"/>
        </w:rPr>
        <w:t xml:space="preserve">Stephen Bong v. FCB (M) Sdn Bhd &amp; Anor  </w:t>
      </w:r>
      <w:r>
        <w:rPr>
          <w:rFonts w:ascii="arial" w:eastAsia="arial" w:hAnsi="arial" w:cs="arial"/>
          <w:b w:val="0"/>
          <w:i w:val="0"/>
          <w:strike w:val="0"/>
          <w:noProof w:val="0"/>
          <w:color w:val="000000"/>
          <w:position w:val="0"/>
          <w:sz w:val="24"/>
          <w:u w:val="none"/>
          <w:vertAlign w:val="baseline"/>
        </w:rPr>
        <w:t>[1999] 3 MLJ 411 where it was held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“It is not the law that redundancy means the job or work no longer exists. </w:t>
      </w:r>
      <w:r>
        <w:rPr>
          <w:rFonts w:ascii="arial" w:eastAsia="arial" w:hAnsi="arial" w:cs="arial"/>
          <w:b/>
          <w:i w:val="0"/>
          <w:strike w:val="0"/>
          <w:noProof w:val="0"/>
          <w:color w:val="000000"/>
          <w:position w:val="0"/>
          <w:sz w:val="18"/>
          <w:u w:val="none"/>
          <w:vertAlign w:val="baseline"/>
        </w:rPr>
        <w:t>Redundancy situations arise where the business requires fewer employees of whatever kind</w:t>
      </w:r>
      <w:r>
        <w:rPr>
          <w:rFonts w:ascii="arial" w:eastAsia="arial" w:hAnsi="arial" w:cs="arial"/>
          <w:b w:val="0"/>
          <w:i w:val="0"/>
          <w:strike w:val="0"/>
          <w:noProof w:val="0"/>
          <w:color w:val="000000"/>
          <w:position w:val="0"/>
          <w:sz w:val="18"/>
          <w:u w:val="none"/>
          <w:vertAlign w:val="baseline"/>
        </w:rPr>
        <w:t xml:space="preserve">. The Industrial Court was right when it held that the applicant was </w:t>
      </w:r>
      <w:r>
        <w:rPr>
          <w:rFonts w:ascii="arial" w:eastAsia="arial" w:hAnsi="arial" w:cs="arial"/>
          <w:b/>
          <w:i w:val="0"/>
          <w:strike w:val="0"/>
          <w:noProof w:val="0"/>
          <w:color w:val="000000"/>
          <w:position w:val="0"/>
          <w:sz w:val="18"/>
          <w:u w:val="none"/>
          <w:vertAlign w:val="baseline"/>
        </w:rPr>
        <w:t>redundant as there was reduced work and reduced business within the Company</w:t>
      </w:r>
      <w:r>
        <w:rPr>
          <w:rFonts w:ascii="arial" w:eastAsia="arial" w:hAnsi="arial" w:cs="arial"/>
          <w:b w:val="0"/>
          <w:i w:val="0"/>
          <w:strike w:val="0"/>
          <w:noProof w:val="0"/>
          <w:color w:val="000000"/>
          <w:position w:val="0"/>
          <w:sz w:val="18"/>
          <w:u w:val="none"/>
          <w:vertAlign w:val="baseline"/>
        </w:rPr>
        <w:t xml:space="preserve"> which made the applicant’s position as an executive director in charge of one of the groups redundant.”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xml:space="preserve">  Based on the two cases mentioned above, the term redundancy or retrenchment can be used interchangeably. However, the Court wishes to illustrate the fundamental issue whether it is either of the terms and occurs when a company has made a decision to reduce or downsize its workforce, for whatever reason it may be. Nevertheless, it is clear that the Court’s duty in a redundancy or retrenchment situation is to see whether the position is truly redundant and that the termination or retrenchment or redundancy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Furthermore, the Court must make a finding of fact on the peculiar facts of the case.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The Court has decided that in order to prove that the retrenchment or redundancy is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there were three questions that needed to be fulfilled. The Court stands guided by another Industrial Court case of </w:t>
      </w:r>
      <w:r>
        <w:rPr>
          <w:rFonts w:ascii="arial" w:eastAsia="arial" w:hAnsi="arial" w:cs="arial"/>
          <w:b w:val="0"/>
          <w:i/>
          <w:strike w:val="0"/>
          <w:noProof w:val="0"/>
          <w:color w:val="000000"/>
          <w:position w:val="0"/>
          <w:sz w:val="24"/>
          <w:u w:val="none"/>
          <w:vertAlign w:val="baseline"/>
        </w:rPr>
        <w:t xml:space="preserve">Mohd Nor Hassan &amp; Ors v. Continental Sime Tyre PJ Sdn. Bhd.  </w:t>
      </w:r>
      <w:r>
        <w:rPr>
          <w:rFonts w:ascii="arial" w:eastAsia="arial" w:hAnsi="arial" w:cs="arial"/>
          <w:b w:val="0"/>
          <w:i w:val="0"/>
          <w:strike w:val="0"/>
          <w:noProof w:val="0"/>
          <w:color w:val="000000"/>
          <w:position w:val="0"/>
          <w:sz w:val="24"/>
          <w:u w:val="none"/>
          <w:vertAlign w:val="baseline"/>
        </w:rPr>
        <w:t>[2014] 3 ILR 144 where the Court had raised three questions that needed to be answered and those three questions are as follows:</w:t>
      </w:r>
    </w:p>
    <w:p>
      <w:pPr>
        <w:keepNext w:val="0"/>
        <w:numPr>
          <w:numId w:val="2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there was a genuine need for the reorganisation exercise by the Company:</w:t>
      </w:r>
    </w:p>
    <w:p>
      <w:pPr>
        <w:keepNext w:val="0"/>
        <w:numPr>
          <w:numId w:val="2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a genuine redundancy situation had arisen which led to the retrenchment of the Claimant; and</w:t>
      </w:r>
    </w:p>
    <w:p>
      <w:pPr>
        <w:keepNext w:val="0"/>
        <w:numPr>
          <w:numId w:val="2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Whether the Company had complied with the accepted standards and procedure when selecting and retrenching the Claimant.</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The above three questions form the basis of proving that the retrenchment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 Court also refers to the Court of Appeal case of </w:t>
      </w:r>
      <w:r>
        <w:rPr>
          <w:rFonts w:ascii="arial" w:eastAsia="arial" w:hAnsi="arial" w:cs="arial"/>
          <w:b w:val="0"/>
          <w:i/>
          <w:strike w:val="0"/>
          <w:noProof w:val="0"/>
          <w:color w:val="000000"/>
          <w:position w:val="0"/>
          <w:sz w:val="24"/>
          <w:u w:val="none"/>
          <w:vertAlign w:val="baseline"/>
        </w:rPr>
        <w:t xml:space="preserve">Harris Solid State (M) Sdn. Bhd. &amp; Ors. V. Bruno Gentil Pereira &amp; Ors.  </w:t>
      </w:r>
      <w:r>
        <w:rPr>
          <w:rFonts w:ascii="arial" w:eastAsia="arial" w:hAnsi="arial" w:cs="arial"/>
          <w:b w:val="0"/>
          <w:i w:val="0"/>
          <w:strike w:val="0"/>
          <w:noProof w:val="0"/>
          <w:color w:val="000000"/>
          <w:position w:val="0"/>
          <w:sz w:val="24"/>
          <w:u w:val="none"/>
          <w:vertAlign w:val="baseline"/>
        </w:rPr>
        <w:t>[1996] 4 CLJ 747. It was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“An employer may re-organise his commercial undertaking for any legitimate reason, such as promoting better economic viability.</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But he must not do so for a collateral purpose, for example, to victimise his workmen for their legitimate participation in union activities.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Whether the particular exercise of managerial power was exercised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or for collateral reasons is a question of fact that necessarily falls to be decided upon the peculiar circumstances of each case.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When the proved or admitted facts of a case are such that, when objectively viewed, they would lead </w:t>
      </w:r>
      <w:r>
        <w:rPr>
          <w:rFonts w:ascii="arial" w:eastAsia="arial" w:hAnsi="arial" w:cs="arial"/>
          <w:b/>
          <w:i w:val="0"/>
          <w:strike w:val="0"/>
          <w:noProof w:val="0"/>
          <w:color w:val="000000"/>
          <w:position w:val="0"/>
          <w:sz w:val="18"/>
          <w:u w:val="none"/>
          <w:vertAlign w:val="baseline"/>
        </w:rPr>
        <w:t>a reasonable Tribunal to conclude that the exercise of managerial powers, such as the closure of a business, was for a collateral purpose, aimed at depriving a workman of his fundamental right to earn a livelihood, then, any termination of</w:t>
      </w:r>
      <w:r>
        <w:rPr>
          <w:rFonts w:ascii="arial" w:eastAsia="arial" w:hAnsi="arial" w:cs="arial"/>
          <w:b w:val="0"/>
          <w:i w:val="0"/>
          <w:strike w:val="0"/>
          <w:noProof w:val="0"/>
          <w:color w:val="000000"/>
          <w:position w:val="0"/>
          <w:sz w:val="18"/>
          <w:u w:val="none"/>
          <w:vertAlign w:val="baseline"/>
        </w:rPr>
        <w:t xml:space="preserve"> employment in consequence of such exercise may be struck down as constituting unfair labour practise</w:t>
      </w:r>
      <w:r>
        <w:rPr>
          <w:rFonts w:ascii="arial" w:eastAsia="arial" w:hAnsi="arial" w:cs="arial"/>
          <w:b/>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Further to the above, the first and second questions would encompass the crux of the redundancy. This Court refers to the Court of Appeal case of </w:t>
      </w:r>
      <w:r>
        <w:rPr>
          <w:rFonts w:ascii="arial" w:eastAsia="arial" w:hAnsi="arial" w:cs="arial"/>
          <w:b w:val="0"/>
          <w:i/>
          <w:strike w:val="0"/>
          <w:noProof w:val="0"/>
          <w:color w:val="000000"/>
          <w:position w:val="0"/>
          <w:sz w:val="24"/>
          <w:u w:val="none"/>
          <w:vertAlign w:val="baseline"/>
        </w:rPr>
        <w:t xml:space="preserve">Bayer (M) Sdn. Bhd. V. Ng Hong Pau  </w:t>
      </w:r>
      <w:r>
        <w:rPr>
          <w:rFonts w:ascii="arial" w:eastAsia="arial" w:hAnsi="arial" w:cs="arial"/>
          <w:b w:val="0"/>
          <w:i w:val="0"/>
          <w:strike w:val="0"/>
          <w:noProof w:val="0"/>
          <w:color w:val="000000"/>
          <w:position w:val="0"/>
          <w:sz w:val="24"/>
          <w:u w:val="none"/>
          <w:vertAlign w:val="baseline"/>
        </w:rPr>
        <w:t>[1999] 4 CLJ 155. The Court of Appeal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“On redundancy it cannot be gainsaid that the appellant must come to the Court with concrete proof. The burden is on the appellant to prove actual redundancy on which the dismissal was grounded. (See </w:t>
      </w:r>
      <w:r>
        <w:rPr>
          <w:rFonts w:ascii="arial" w:eastAsia="arial" w:hAnsi="arial" w:cs="arial"/>
          <w:b w:val="0"/>
          <w:i/>
          <w:strike w:val="0"/>
          <w:noProof w:val="0"/>
          <w:color w:val="000000"/>
          <w:position w:val="0"/>
          <w:sz w:val="18"/>
          <w:u w:val="none"/>
          <w:vertAlign w:val="baseline"/>
        </w:rPr>
        <w:t xml:space="preserve">Chapman &amp; Others v. Goonvean &amp; Rostawvack China Clay Co. Ltd.  </w:t>
      </w:r>
      <w:r>
        <w:rPr>
          <w:rFonts w:ascii="arial" w:eastAsia="arial" w:hAnsi="arial" w:cs="arial"/>
          <w:b w:val="0"/>
          <w:i w:val="0"/>
          <w:strike w:val="0"/>
          <w:noProof w:val="0"/>
          <w:color w:val="000000"/>
          <w:position w:val="0"/>
          <w:sz w:val="18"/>
          <w:u w:val="none"/>
          <w:vertAlign w:val="baseline"/>
        </w:rPr>
        <w:t xml:space="preserve">[1983] 2 All ER). It is our view that merely to show evidence of a re-organisation in the appellant is certainly not sufficient. There was evidence before the court that although sales were reduced, the workload of the respondent remained the same. After his dismissal his workload was taken over by two of his former colleagues. Faced with these evidence, is it any wonder that the court made a finding of fact that there was </w:t>
      </w:r>
      <w:r>
        <w:rPr>
          <w:rFonts w:ascii="arial" w:eastAsia="arial" w:hAnsi="arial" w:cs="arial"/>
          <w:b/>
          <w:i w:val="0"/>
          <w:strike w:val="0"/>
          <w:noProof w:val="0"/>
          <w:color w:val="000000"/>
          <w:position w:val="0"/>
          <w:sz w:val="18"/>
          <w:u w:val="none"/>
          <w:vertAlign w:val="baseline"/>
        </w:rPr>
        <w:t>no convincing evidence produced by the appellant that the respondent’s functions were reduced to such an extent that he was considered redundant</w:t>
      </w:r>
      <w:r>
        <w:rPr>
          <w:rFonts w:ascii="arial" w:eastAsia="arial" w:hAnsi="arial" w:cs="arial"/>
          <w:b w:val="0"/>
          <w:i w:val="0"/>
          <w:strike w:val="0"/>
          <w:noProof w:val="0"/>
          <w:color w:val="000000"/>
          <w:position w:val="0"/>
          <w:sz w:val="18"/>
          <w:u w:val="none"/>
          <w:vertAlign w:val="baseline"/>
        </w:rPr>
        <w: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xml:space="preserve">  The decisions above illustrates that the Company has to prove that the functions of the Claimant’s post had to be reduced subsequently after which be considered redundant and that the reorganization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It has been confirmed that the Company’s physical activities had to be curtailed especially during the MCO. However, the Company’s management had done a sterling job of maintaining profits even during the post MCO stage. This should have enabled the Company to retain, or at the very least try to retain the majority of their employees for the duration of the economic slowdown.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xml:space="preserve">  Coming back to the case law above, the Company stated that it had done a reorganization of the Company, but the requirement was that it be a genuine and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The determination of whether the reorganization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is subjective. However, using the </w:t>
      </w:r>
      <w:r>
        <w:rPr>
          <w:rFonts w:ascii="arial" w:eastAsia="arial" w:hAnsi="arial" w:cs="arial"/>
          <w:b/>
          <w:i/>
          <w:strike w:val="0"/>
          <w:noProof w:val="0"/>
          <w:color w:val="000000"/>
          <w:position w:val="0"/>
          <w:sz w:val="24"/>
          <w:u w:val="none"/>
          <w:vertAlign w:val="baseline"/>
        </w:rPr>
        <w:t>Harris State</w:t>
      </w:r>
      <w:r>
        <w:rPr>
          <w:rFonts w:ascii="arial" w:eastAsia="arial" w:hAnsi="arial" w:cs="arial"/>
          <w:b w:val="0"/>
          <w:i w:val="0"/>
          <w:strike w:val="0"/>
          <w:noProof w:val="0"/>
          <w:color w:val="000000"/>
          <w:position w:val="0"/>
          <w:sz w:val="24"/>
          <w:u w:val="none"/>
          <w:vertAlign w:val="baseline"/>
        </w:rPr>
        <w:t xml:space="preserve"> case as a benchmark, the Company must show that the reorganization was done for legitimate reasons and not too “victimise the workmen”. The reasons for the reorganization as provided by the Company is indeed and two-fold. It was done for economic reasons due to the pandemic but expressly depriving the Claimant of her job by reassigning the Claimant’s duties to another and in a way making her post redundant. As to the former, the Claimant leans for the Company as it would seem that the reorganization had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intentions.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xml:space="preserve">  The latter, on the redundancy of the Claimant’s post, is related to the overall determination of whether it was done </w:t>
      </w:r>
      <w:r>
        <w:rPr>
          <w:rFonts w:ascii="arial" w:eastAsia="arial" w:hAnsi="arial" w:cs="arial"/>
          <w:b w:val="0"/>
          <w:i/>
          <w:strike w:val="0"/>
          <w:noProof w:val="0"/>
          <w:color w:val="000000"/>
          <w:position w:val="0"/>
          <w:sz w:val="24"/>
          <w:u w:val="none"/>
          <w:vertAlign w:val="baseline"/>
        </w:rPr>
        <w:t>bona fide</w:t>
      </w:r>
      <w:r>
        <w:rPr>
          <w:rFonts w:ascii="arial" w:eastAsia="arial" w:hAnsi="arial" w:cs="arial"/>
          <w:b w:val="0"/>
          <w:i w:val="0"/>
          <w:strike w:val="0"/>
          <w:noProof w:val="0"/>
          <w:color w:val="000000"/>
          <w:position w:val="0"/>
          <w:sz w:val="24"/>
          <w:u w:val="none"/>
          <w:vertAlign w:val="baseline"/>
        </w:rPr>
        <w:t xml:space="preserve">. In the </w:t>
      </w:r>
      <w:r>
        <w:rPr>
          <w:rFonts w:ascii="arial" w:eastAsia="arial" w:hAnsi="arial" w:cs="arial"/>
          <w:b/>
          <w:i/>
          <w:strike w:val="0"/>
          <w:noProof w:val="0"/>
          <w:color w:val="000000"/>
          <w:position w:val="0"/>
          <w:sz w:val="24"/>
          <w:u w:val="none"/>
          <w:vertAlign w:val="baseline"/>
        </w:rPr>
        <w:t>Bayer</w:t>
      </w:r>
      <w:r>
        <w:rPr>
          <w:rFonts w:ascii="arial" w:eastAsia="arial" w:hAnsi="arial" w:cs="arial"/>
          <w:b w:val="0"/>
          <w:i w:val="0"/>
          <w:strike w:val="0"/>
          <w:noProof w:val="0"/>
          <w:color w:val="000000"/>
          <w:position w:val="0"/>
          <w:sz w:val="24"/>
          <w:u w:val="none"/>
          <w:vertAlign w:val="baseline"/>
        </w:rPr>
        <w:t xml:space="preserve"> case, it is quite clear that the Company had to show evidence that the Claimant’s post was truly redundant. This the Company has failed to do so. The Company had raised several factors in the sense that the role played by the Claimant can actually be done by another person and that the post is not required.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The fact that the duties remain but is taken up by another post does not make the Claimant’s post redundant. In the eyes of the courts above, the Company had to show credible evidence that the Claimant, after just over 13 years of service, was actually in a redundant post. All the Company did provide in evidence was that there was a reorganisation of the Company and that some post were deemed redundant. As mentioned earlier, of the 14 employees that were retrenched, only the Claimant was not either reinstated or paid compensation for settlement for her case. Though the Court does acknowledge that all the settlements were done on a without prejudice basis and with no acknowledgment of liability, the Court could nevertheless takes judicial notice of the fact that the matters have been settled. The Court need not go into the in-depth details of the cases mentioned just on the surface that it was settled.</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xml:space="preserve">  These facts have not been denied by the Company in their case and this is where the contradiction arises. The mere fact that the Claimant had served so long ought to count for something leading to the next issue. The Claimant’s counsel raised the issue of the principle of last in first out or LIFO. The Court had already made a decision on this matter in an earlier case of </w:t>
      </w:r>
      <w:r>
        <w:rPr>
          <w:rFonts w:ascii="arial" w:eastAsia="arial" w:hAnsi="arial" w:cs="arial"/>
          <w:b w:val="0"/>
          <w:i/>
          <w:strike w:val="0"/>
          <w:noProof w:val="0"/>
          <w:color w:val="000000"/>
          <w:position w:val="0"/>
          <w:sz w:val="24"/>
          <w:u w:val="none"/>
          <w:vertAlign w:val="baseline"/>
        </w:rPr>
        <w:t xml:space="preserve">Shairazi Aslam Abd Aziz v. Air Asia Berhad  </w:t>
      </w:r>
      <w:r>
        <w:rPr>
          <w:rFonts w:ascii="arial" w:eastAsia="arial" w:hAnsi="arial" w:cs="arial"/>
          <w:b w:val="0"/>
          <w:i w:val="0"/>
          <w:strike w:val="0"/>
          <w:noProof w:val="0"/>
          <w:color w:val="000000"/>
          <w:position w:val="0"/>
          <w:sz w:val="24"/>
          <w:u w:val="none"/>
          <w:vertAlign w:val="baseline"/>
        </w:rPr>
        <w:t>[2023] MELRU 2174. This Court notes that the case has been appealed but until the appeal has been heard then the ratio still stands.</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LIFO</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xml:space="preserve">  The Court in </w:t>
      </w:r>
      <w:r>
        <w:rPr>
          <w:rFonts w:ascii="arial" w:eastAsia="arial" w:hAnsi="arial" w:cs="arial"/>
          <w:b/>
          <w:i/>
          <w:strike w:val="0"/>
          <w:noProof w:val="0"/>
          <w:color w:val="000000"/>
          <w:position w:val="0"/>
          <w:sz w:val="24"/>
          <w:u w:val="none"/>
          <w:vertAlign w:val="baseline"/>
        </w:rPr>
        <w:t>Shairazi’s</w:t>
      </w:r>
      <w:r>
        <w:rPr>
          <w:rFonts w:ascii="arial" w:eastAsia="arial" w:hAnsi="arial" w:cs="arial"/>
          <w:b w:val="0"/>
          <w:i w:val="0"/>
          <w:strike w:val="0"/>
          <w:noProof w:val="0"/>
          <w:color w:val="000000"/>
          <w:position w:val="0"/>
          <w:sz w:val="24"/>
          <w:u w:val="none"/>
          <w:vertAlign w:val="baseline"/>
        </w:rPr>
        <w:t xml:space="preserve"> case had referred to the Federal Court case of </w:t>
      </w:r>
      <w:r>
        <w:rPr>
          <w:rFonts w:ascii="arial" w:eastAsia="arial" w:hAnsi="arial" w:cs="arial"/>
          <w:b w:val="0"/>
          <w:i/>
          <w:strike w:val="0"/>
          <w:noProof w:val="0"/>
          <w:color w:val="000000"/>
          <w:position w:val="0"/>
          <w:sz w:val="24"/>
          <w:u w:val="none"/>
          <w:vertAlign w:val="baseline"/>
        </w:rPr>
        <w:t xml:space="preserve">Dynacraft Industries Sdn Bhd v. Kamaruddin Kana Mohd Shariff &amp; Ors  </w:t>
      </w:r>
      <w:r>
        <w:rPr>
          <w:rFonts w:ascii="arial" w:eastAsia="arial" w:hAnsi="arial" w:cs="arial"/>
          <w:b w:val="0"/>
          <w:i w:val="0"/>
          <w:strike w:val="0"/>
          <w:noProof w:val="0"/>
          <w:color w:val="000000"/>
          <w:position w:val="0"/>
          <w:sz w:val="24"/>
          <w:u w:val="none"/>
          <w:vertAlign w:val="baseline"/>
        </w:rPr>
        <w:t>[2012] 9 CLJ 21 where it was stated as follows:</w:t>
      </w:r>
    </w:p>
    <w:p>
      <w:pPr>
        <w:keepNext w:val="0"/>
        <w:spacing w:before="0" w:after="0" w:line="240" w:lineRule="atLeast"/>
        <w:ind w:left="400" w:right="0" w:firstLine="0"/>
        <w:jc w:val="both"/>
      </w:pPr>
      <w:r>
        <w:br/>
      </w:r>
      <w:r>
        <w:rPr>
          <w:rFonts w:ascii="arial" w:eastAsia="arial" w:hAnsi="arial" w:cs="arial"/>
          <w:b/>
          <w:i w:val="0"/>
          <w:strike w:val="0"/>
          <w:noProof w:val="0"/>
          <w:color w:val="000000"/>
          <w:position w:val="0"/>
          <w:sz w:val="18"/>
          <w:u w:val="none"/>
          <w:vertAlign w:val="baseline"/>
        </w:rPr>
        <w:t>[13]</w:t>
      </w:r>
      <w:r>
        <w:rPr>
          <w:rFonts w:ascii="arial" w:eastAsia="arial" w:hAnsi="arial" w:cs="arial"/>
          <w:b w:val="0"/>
          <w:i w:val="0"/>
          <w:strike w:val="0"/>
          <w:noProof w:val="0"/>
          <w:color w:val="000000"/>
          <w:position w:val="0"/>
          <w:sz w:val="18"/>
          <w:u w:val="none"/>
          <w:vertAlign w:val="baseline"/>
        </w:rPr>
        <w:t xml:space="preserve"> We will deal with the first question posed in this appeal. It concerns the correctness of the application of the LIFO principle by the Industrial Court. </w:t>
      </w:r>
      <w:r>
        <w:rPr>
          <w:rFonts w:ascii="arial" w:eastAsia="arial" w:hAnsi="arial" w:cs="arial"/>
          <w:b/>
          <w:i w:val="0"/>
          <w:strike w:val="0"/>
          <w:noProof w:val="0"/>
          <w:color w:val="000000"/>
          <w:position w:val="0"/>
          <w:sz w:val="18"/>
          <w:u w:val="none"/>
          <w:vertAlign w:val="baseline"/>
        </w:rPr>
        <w:t>The LIFO</w:t>
      </w:r>
      <w:r>
        <w:rPr>
          <w:rFonts w:ascii="arial" w:eastAsia="arial" w:hAnsi="arial" w:cs="arial"/>
          <w:b w:val="0"/>
          <w:i w:val="0"/>
          <w:strike w:val="0"/>
          <w:noProof w:val="0"/>
          <w:color w:val="000000"/>
          <w:position w:val="0"/>
          <w:sz w:val="18"/>
          <w:u w:val="none"/>
          <w:vertAlign w:val="baseline"/>
        </w:rPr>
        <w:t xml:space="preserve"> (last in first out) or “last come first go” principle requires the most junior employee to be retrenched before the more senior ones in the same category. The principle is </w:t>
      </w:r>
      <w:r>
        <w:rPr>
          <w:rFonts w:ascii="arial" w:eastAsia="arial" w:hAnsi="arial" w:cs="arial"/>
          <w:b/>
          <w:i w:val="0"/>
          <w:strike w:val="0"/>
          <w:noProof w:val="0"/>
          <w:color w:val="000000"/>
          <w:position w:val="0"/>
          <w:sz w:val="18"/>
          <w:u w:val="none"/>
          <w:vertAlign w:val="baseline"/>
        </w:rPr>
        <w:t>intended to afford a healthy safeguard against discrimination of workmen in the matter of retrenchment</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Swadesamitran Ltd v. Their Workmen, AIR,  </w:t>
      </w:r>
      <w:r>
        <w:rPr>
          <w:rFonts w:ascii="arial" w:eastAsia="arial" w:hAnsi="arial" w:cs="arial"/>
          <w:b w:val="0"/>
          <w:i w:val="0"/>
          <w:strike w:val="0"/>
          <w:noProof w:val="0"/>
          <w:color w:val="000000"/>
          <w:position w:val="0"/>
          <w:sz w:val="18"/>
          <w:u w:val="none"/>
          <w:vertAlign w:val="baseline"/>
        </w:rPr>
        <w:t xml:space="preserve">1960 (SC) 762]. Explaining this principle, in </w:t>
      </w:r>
      <w:r>
        <w:rPr>
          <w:rFonts w:ascii="arial" w:eastAsia="arial" w:hAnsi="arial" w:cs="arial"/>
          <w:b w:val="0"/>
          <w:i/>
          <w:strike w:val="0"/>
          <w:noProof w:val="0"/>
          <w:color w:val="000000"/>
          <w:position w:val="0"/>
          <w:sz w:val="18"/>
          <w:u w:val="none"/>
          <w:vertAlign w:val="baseline"/>
        </w:rPr>
        <w:t xml:space="preserve">Workmen of Sudder Workshop of Jorehaut Tea Co Ltd v. The Management of Jorehaut Tea Co Ltd </w:t>
      </w:r>
      <w:r>
        <w:rPr>
          <w:rFonts w:ascii="arial" w:eastAsia="arial" w:hAnsi="arial" w:cs="arial"/>
          <w:b w:val="0"/>
          <w:i w:val="0"/>
          <w:strike w:val="0"/>
          <w:noProof w:val="0"/>
          <w:color w:val="000000"/>
          <w:position w:val="0"/>
          <w:sz w:val="18"/>
          <w:u w:val="none"/>
          <w:vertAlign w:val="baseline"/>
        </w:rPr>
        <w:t>, AIR 1980, SC 1454,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The rule is that the employer shall retrench the workman who came last, first, popularly known as ‘last come first go’.</w:t>
      </w:r>
      <w:r>
        <w:t>
</w:t>
      </w:r>
    </w:p>
    <w:p/>
    <w:p>
      <w:pPr>
        <w:keepNext w:val="0"/>
        <w:spacing w:after="0" w:line="240" w:lineRule="atLeast"/>
        <w:ind w:left="400" w:right="0" w:firstLine="0"/>
        <w:jc w:val="both"/>
      </w:pPr>
      <w:r>
        <w:rPr>
          <w:rFonts w:ascii="arial" w:eastAsia="arial" w:hAnsi="arial" w:cs="arial"/>
          <w:b/>
          <w:i w:val="0"/>
          <w:strike w:val="0"/>
          <w:noProof w:val="0"/>
          <w:color w:val="000000"/>
          <w:position w:val="0"/>
          <w:sz w:val="18"/>
          <w:u w:val="none"/>
          <w:vertAlign w:val="baseline"/>
        </w:rPr>
        <w:t>[14]</w:t>
      </w:r>
      <w:r>
        <w:rPr>
          <w:rFonts w:ascii="arial" w:eastAsia="arial" w:hAnsi="arial" w:cs="arial"/>
          <w:b w:val="0"/>
          <w:i w:val="0"/>
          <w:strike w:val="0"/>
          <w:noProof w:val="0"/>
          <w:color w:val="000000"/>
          <w:position w:val="0"/>
          <w:sz w:val="18"/>
          <w:u w:val="none"/>
          <w:vertAlign w:val="baseline"/>
        </w:rPr>
        <w:t xml:space="preserve"> It is well-established and accepted in Industrial law that in effecting retrenchment, </w:t>
      </w:r>
      <w:r>
        <w:rPr>
          <w:rFonts w:ascii="arial" w:eastAsia="arial" w:hAnsi="arial" w:cs="arial"/>
          <w:b/>
          <w:i w:val="0"/>
          <w:strike w:val="0"/>
          <w:noProof w:val="0"/>
          <w:color w:val="000000"/>
          <w:position w:val="0"/>
          <w:sz w:val="18"/>
          <w:u w:val="none"/>
          <w:vertAlign w:val="baseline"/>
        </w:rPr>
        <w:t>an employer should comply with the principle of last in first out unless there are some valid reasons for departure</w:t>
      </w:r>
      <w:r>
        <w:rPr>
          <w:rFonts w:ascii="arial" w:eastAsia="arial" w:hAnsi="arial" w:cs="arial"/>
          <w:b w:val="0"/>
          <w:i w:val="0"/>
          <w:strike w:val="0"/>
          <w:noProof w:val="0"/>
          <w:color w:val="000000"/>
          <w:position w:val="0"/>
          <w:sz w:val="18"/>
          <w:u w:val="none"/>
          <w:vertAlign w:val="baseline"/>
        </w:rPr>
        <w:t xml:space="preserve"> [see </w:t>
      </w:r>
      <w:r>
        <w:rPr>
          <w:rFonts w:ascii="arial" w:eastAsia="arial" w:hAnsi="arial" w:cs="arial"/>
          <w:b w:val="0"/>
          <w:i/>
          <w:strike w:val="0"/>
          <w:noProof w:val="0"/>
          <w:color w:val="000000"/>
          <w:position w:val="0"/>
          <w:sz w:val="18"/>
          <w:u w:val="none"/>
          <w:vertAlign w:val="baseline"/>
        </w:rPr>
        <w:t xml:space="preserve">Firex Sdn Bhd v. Ng Shoo Waa  </w:t>
      </w:r>
      <w:r>
        <w:rPr>
          <w:rFonts w:ascii="arial" w:eastAsia="arial" w:hAnsi="arial" w:cs="arial"/>
          <w:b w:val="0"/>
          <w:i w:val="0"/>
          <w:strike w:val="0"/>
          <w:noProof w:val="0"/>
          <w:color w:val="000000"/>
          <w:position w:val="0"/>
          <w:sz w:val="18"/>
          <w:u w:val="none"/>
          <w:vertAlign w:val="baseline"/>
        </w:rPr>
        <w:t xml:space="preserve">[1990] 1 ILR 226]. In </w:t>
      </w:r>
      <w:r>
        <w:rPr>
          <w:rFonts w:ascii="arial" w:eastAsia="arial" w:hAnsi="arial" w:cs="arial"/>
          <w:b w:val="0"/>
          <w:i/>
          <w:strike w:val="0"/>
          <w:noProof w:val="0"/>
          <w:color w:val="000000"/>
          <w:position w:val="0"/>
          <w:sz w:val="18"/>
          <w:u w:val="none"/>
          <w:vertAlign w:val="baseline"/>
        </w:rPr>
        <w:t xml:space="preserve">Om Oil and Oil Seeds Exchange Ltd Delhi v. Their Workmen,  </w:t>
      </w:r>
      <w:r>
        <w:rPr>
          <w:rFonts w:ascii="arial" w:eastAsia="arial" w:hAnsi="arial" w:cs="arial"/>
          <w:b w:val="0"/>
          <w:i w:val="0"/>
          <w:strike w:val="0"/>
          <w:noProof w:val="0"/>
          <w:color w:val="000000"/>
          <w:position w:val="0"/>
          <w:sz w:val="18"/>
          <w:u w:val="none"/>
          <w:vertAlign w:val="baseline"/>
        </w:rPr>
        <w:t>1966 AIR (SC) 1657, the Supreme Court said:</w:t>
      </w:r>
    </w:p>
    <w:p>
      <w:pPr>
        <w:keepNext w:val="0"/>
        <w:spacing w:before="0" w:after="0" w:line="240" w:lineRule="atLeast"/>
        <w:ind w:left="800" w:right="0" w:firstLine="0"/>
        <w:jc w:val="both"/>
      </w:pPr>
      <w:r>
        <w:br/>
      </w:r>
      <w:r>
        <w:rPr>
          <w:rFonts w:ascii="arial" w:eastAsia="arial" w:hAnsi="arial" w:cs="arial"/>
          <w:b w:val="0"/>
          <w:i w:val="0"/>
          <w:strike w:val="0"/>
          <w:noProof w:val="0"/>
          <w:color w:val="000000"/>
          <w:position w:val="0"/>
          <w:sz w:val="18"/>
          <w:u w:val="none"/>
          <w:vertAlign w:val="baseline"/>
        </w:rPr>
        <w:t xml:space="preserve">(3) It is an accepted principle of industrial law that in ordering retrenchment ordinarily the management should commence with the latest recruit, and progressively retrench employees higher up in the list of seniority. But the rule is not immutable, and for valid reasons may be departed from. It was observed by this Court in </w:t>
      </w:r>
      <w:r>
        <w:rPr>
          <w:rFonts w:ascii="arial" w:eastAsia="arial" w:hAnsi="arial" w:cs="arial"/>
          <w:b w:val="0"/>
          <w:i/>
          <w:strike w:val="0"/>
          <w:noProof w:val="0"/>
          <w:color w:val="000000"/>
          <w:position w:val="0"/>
          <w:sz w:val="18"/>
          <w:u w:val="none"/>
          <w:vertAlign w:val="baseline"/>
        </w:rPr>
        <w:t xml:space="preserve">Swadesamitran Ltd., Madras v. Their Workmen,  </w:t>
      </w:r>
      <w:r>
        <w:rPr>
          <w:rFonts w:ascii="arial" w:eastAsia="arial" w:hAnsi="arial" w:cs="arial"/>
          <w:b w:val="0"/>
          <w:i w:val="0"/>
          <w:strike w:val="0"/>
          <w:noProof w:val="0"/>
          <w:color w:val="000000"/>
          <w:position w:val="0"/>
          <w:sz w:val="18"/>
          <w:u w:val="none"/>
          <w:vertAlign w:val="baseline"/>
        </w:rPr>
        <w:t xml:space="preserve">1960-1 Lab LJ 504: (AIR 1960 SC 762), that if a case for retrenchment is made out, </w:t>
      </w:r>
      <w:r>
        <w:rPr>
          <w:rFonts w:ascii="arial" w:eastAsia="arial" w:hAnsi="arial" w:cs="arial"/>
          <w:b/>
          <w:i w:val="0"/>
          <w:strike w:val="0"/>
          <w:noProof w:val="0"/>
          <w:color w:val="000000"/>
          <w:position w:val="0"/>
          <w:sz w:val="18"/>
          <w:u w:val="none"/>
          <w:vertAlign w:val="baseline"/>
        </w:rPr>
        <w:t>it would normally be for the employer to decide which of the employees should be retrenched; but there can be no doubt that the ordinary industrial rule of retrenchment is “first come, last go” and where other things are equal, this rule has to be followed by the employer in effecting retrenchment</w:t>
      </w:r>
      <w:r>
        <w:rPr>
          <w:rFonts w:ascii="arial" w:eastAsia="arial" w:hAnsi="arial" w:cs="arial"/>
          <w:b w:val="0"/>
          <w:i w:val="0"/>
          <w:strike w:val="0"/>
          <w:noProof w:val="0"/>
          <w:color w:val="000000"/>
          <w:position w:val="0"/>
          <w:sz w:val="18"/>
          <w:u w:val="none"/>
          <w:vertAlign w:val="baseline"/>
        </w:rPr>
        <w:t>.</w:t>
      </w:r>
      <w:r>
        <w:t>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 Court has emphasised some portions of the judgment above which are relevant to this case. The Claimant’s representative has claimed that LIFO should be applied, whilst the Company said that it had valid reasons to depart from the principle. It is actually quite difficult to gauge the position of the Claimant in this case due to her rather high status in the upper echelons of the Company.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Nonetheless, the Court notes that even in the above case, it was never specifically mentioned that the principle was binding on the Courts but rather ought to be invoked when necessary taking into consideration the facts of the case. In this case, the Court felt was not the correct application of the principle due to the uniqueness of the post of the Claimant.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Another area that was raised quite lengthily by the Claimant’s counsel was the application of the code of Conduct of Industrial Harmony (“Code”).</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Code of Conduct of Industrial Harmony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The Court has noted that this principle has contradicting views on whether it is binding or not.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decided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“We agree that </w:t>
      </w:r>
      <w:r>
        <w:rPr>
          <w:rFonts w:ascii="arial" w:eastAsia="arial" w:hAnsi="arial" w:cs="arial"/>
          <w:b/>
          <w:i w:val="0"/>
          <w:strike w:val="0"/>
          <w:noProof w:val="0"/>
          <w:color w:val="000000"/>
          <w:position w:val="0"/>
          <w:sz w:val="18"/>
          <w:u w:val="none"/>
          <w:vertAlign w:val="baseline"/>
        </w:rPr>
        <w:t>the Code is a mere guideline and cannot be enforced as if it is a binding statute</w:t>
      </w:r>
      <w:r>
        <w:rPr>
          <w:rFonts w:ascii="arial" w:eastAsia="arial" w:hAnsi="arial" w:cs="arial"/>
          <w:b w:val="0"/>
          <w:i w:val="0"/>
          <w:strike w:val="0"/>
          <w:noProof w:val="0"/>
          <w:color w:val="000000"/>
          <w:position w:val="0"/>
          <w:sz w:val="18"/>
          <w:u w:val="none"/>
          <w:vertAlign w:val="baseline"/>
        </w:rPr>
        <w:t xml:space="preserve">, on the appellant. The failure to consult and giving early warning as required by the Code cannot vitiate the fact found by the Industrial Court that there was a genuine redundancy in the appellant company. By making such a decision the Industrial Court had in effect ruled that failure to adhere to the Code </w:t>
      </w:r>
      <w:r>
        <w:rPr>
          <w:rFonts w:ascii="arial" w:eastAsia="arial" w:hAnsi="arial" w:cs="arial"/>
          <w:b w:val="0"/>
          <w:i/>
          <w:strike w:val="0"/>
          <w:noProof w:val="0"/>
          <w:color w:val="000000"/>
          <w:position w:val="0"/>
          <w:sz w:val="18"/>
          <w:u w:val="none"/>
          <w:vertAlign w:val="baseline"/>
        </w:rPr>
        <w:t>per se</w:t>
      </w:r>
      <w:r>
        <w:rPr>
          <w:rFonts w:ascii="arial" w:eastAsia="arial" w:hAnsi="arial" w:cs="arial"/>
          <w:b w:val="0"/>
          <w:i w:val="0"/>
          <w:strike w:val="0"/>
          <w:noProof w:val="0"/>
          <w:color w:val="000000"/>
          <w:position w:val="0"/>
          <w:sz w:val="18"/>
          <w:u w:val="none"/>
          <w:vertAlign w:val="baseline"/>
        </w:rPr>
        <w:t xml:space="preserve"> caused a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retrenchment of the respondent to be a dismissal without just cause.”.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xml:space="preserve">  The Court also notes the decision in another Court of Appeal case, namely the case of </w:t>
      </w:r>
      <w:r>
        <w:rPr>
          <w:rFonts w:ascii="arial" w:eastAsia="arial" w:hAnsi="arial" w:cs="arial"/>
          <w:b w:val="0"/>
          <w:i/>
          <w:strike w:val="0"/>
          <w:noProof w:val="0"/>
          <w:color w:val="000000"/>
          <w:position w:val="0"/>
          <w:sz w:val="24"/>
          <w:u w:val="none"/>
          <w:vertAlign w:val="baseline"/>
        </w:rPr>
        <w:t xml:space="preserve">Ng Chong Seng v Technip Geoproduction (M) Sdn Bhd &amp; Anor  </w:t>
      </w:r>
      <w:r>
        <w:rPr>
          <w:rFonts w:ascii="arial" w:eastAsia="arial" w:hAnsi="arial" w:cs="arial"/>
          <w:b w:val="0"/>
          <w:i w:val="0"/>
          <w:strike w:val="0"/>
          <w:noProof w:val="0"/>
          <w:color w:val="000000"/>
          <w:position w:val="0"/>
          <w:sz w:val="24"/>
          <w:u w:val="none"/>
          <w:vertAlign w:val="baseline"/>
        </w:rPr>
        <w:t>[2021] 1 MLJ 447. The court decided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“[16] The Code of Conduct for Industrial Harmony (‘Code of Conduct’) sets out the guiding principles to follow in the case of retrenchment. The ethos and exhortations are laudable and that all employers are enjoined to embrace it such that a wanton disregard of it may be indicative of a lack of </w:t>
      </w:r>
      <w:r>
        <w:rPr>
          <w:rFonts w:ascii="arial" w:eastAsia="arial" w:hAnsi="arial" w:cs="arial"/>
          <w:b w:val="0"/>
          <w:i/>
          <w:strike w:val="0"/>
          <w:noProof w:val="0"/>
          <w:color w:val="000000"/>
          <w:position w:val="0"/>
          <w:sz w:val="18"/>
          <w:u w:val="none"/>
          <w:vertAlign w:val="baseline"/>
        </w:rPr>
        <w:t>bona fide</w:t>
      </w:r>
      <w:r>
        <w:rPr>
          <w:rFonts w:ascii="arial" w:eastAsia="arial" w:hAnsi="arial" w:cs="arial"/>
          <w:b w:val="0"/>
          <w:i w:val="0"/>
          <w:strike w:val="0"/>
          <w:noProof w:val="0"/>
          <w:color w:val="000000"/>
          <w:position w:val="0"/>
          <w:sz w:val="18"/>
          <w:u w:val="none"/>
          <w:vertAlign w:val="baseline"/>
        </w:rPr>
        <w:t xml:space="preserve"> and an unfair labour practice in the employer’s retrenchment exercise.</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 xml:space="preserve">[17] </w:t>
      </w:r>
      <w:r>
        <w:rPr>
          <w:rFonts w:ascii="arial" w:eastAsia="arial" w:hAnsi="arial" w:cs="arial"/>
          <w:b/>
          <w:i w:val="0"/>
          <w:strike w:val="0"/>
          <w:noProof w:val="0"/>
          <w:color w:val="000000"/>
          <w:position w:val="0"/>
          <w:sz w:val="18"/>
          <w:u w:val="none"/>
          <w:vertAlign w:val="baseline"/>
        </w:rPr>
        <w:t xml:space="preserve">The Code of Conduct has been given its legal ‘teeth’ by virtue of s30(5A) of the Industrial Relations </w:t>
      </w:r>
      <w:r>
        <w:rPr>
          <w:rFonts w:ascii="arial" w:eastAsia="arial" w:hAnsi="arial" w:cs="arial"/>
          <w:b/>
          <w:i/>
          <w:strike w:val="0"/>
          <w:noProof w:val="0"/>
          <w:color w:val="000000"/>
          <w:position w:val="0"/>
          <w:sz w:val="18"/>
          <w:u w:val="single"/>
          <w:vertAlign w:val="baseline"/>
        </w:rPr>
        <w:t>Act</w:t>
      </w:r>
      <w:r>
        <w:rPr>
          <w:rFonts w:ascii="arial" w:eastAsia="arial" w:hAnsi="arial" w:cs="arial"/>
          <w:b/>
          <w:i w:val="0"/>
          <w:strike w:val="0"/>
          <w:noProof w:val="0"/>
          <w:color w:val="000000"/>
          <w:position w:val="0"/>
          <w:sz w:val="18"/>
          <w:u w:val="none"/>
          <w:vertAlign w:val="baseline"/>
        </w:rPr>
        <w:t xml:space="preserve"> 1967</w:t>
      </w:r>
      <w:r>
        <w:rPr>
          <w:rFonts w:ascii="arial" w:eastAsia="arial" w:hAnsi="arial" w:cs="arial"/>
          <w:b w:val="0"/>
          <w:i w:val="0"/>
          <w:strike w:val="0"/>
          <w:noProof w:val="0"/>
          <w:color w:val="000000"/>
          <w:position w:val="0"/>
          <w:sz w:val="18"/>
          <w:u w:val="none"/>
          <w:vertAlign w:val="baseline"/>
        </w:rPr>
        <w:t xml:space="preserve"> where the Industrial Court in making its award may take into consideration the provisions in the Code of Conduct.”.</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[Emphasis added]</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There are two very distinct cases and decisions, one where the Code is binding and another where the Code is not binding. The latest case states that it is binding and this Court is bound by the precedent set. This would mean that the Code is binding, by extension on all the parties in Court.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The Claimant has given a rather long list of issues that the Company was in contravention of the Code. However, of the long list, there were only four areas that the Company could realistically be said to be in contravention off. Those four areas are as follows:</w:t>
      </w:r>
    </w:p>
    <w:p>
      <w:pPr>
        <w:keepNext w:val="0"/>
        <w:numPr>
          <w:numId w:val="2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Re-training and/or transfer to other department/work;</w:t>
      </w:r>
    </w:p>
    <w:p>
      <w:pPr>
        <w:keepNext w:val="0"/>
        <w:numPr>
          <w:numId w:val="27"/>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Introducing schemes for voluntary retrenchment and retirement and for payment of redundancy and retirement benefits;</w:t>
      </w:r>
    </w:p>
    <w:p>
      <w:pPr>
        <w:keepNext w:val="0"/>
        <w:numPr>
          <w:numId w:val="2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Assisting the workers to find work outside of the Company; and</w:t>
      </w:r>
    </w:p>
    <w:p>
      <w:pPr>
        <w:keepNext w:val="0"/>
        <w:numPr>
          <w:numId w:val="2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Spreading the termination of employment over a longer period.</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Company did not provide any evidence that the Claimant was offered any form of re-training or redeployment to another department. Similarly, the Company did not provide any evidence it had tried to assist the Claimant to obtain alternative employment outside of the Company. The Company’s witness had already agreed that the Company did not have any intention to offer any form of voluntary retrenchment and retirement schemes. Whilst the termination executed was not spread out over a longer period of time as evidenced by the dates the retrenchment was carried out.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All the other aspects of the Code were reasonably fulfilled by the Company. Based on the above, the very least the Company could have done was to ease the burden of retrenchment for a loyal employee with that length of service under her belt.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xml:space="preserve">  Therefore, based on all the factors above, based on the principles in subsection 30(5),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namely equity, good conscience and substantial merits of the case without regard to technicalities and legal form and all the evidence adduced in this Court, this Court finds that the Claimant was dismissed without just cause and excuse because the Company has failed to prove that there was a redundancy that justified the retrenchment.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Before looking at the remedy the Court notes that the Claimant cannot be afforded the entire claim in totality. On this, the Court refers to the doctrine of proportionality.</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The Doctrine of Proportionality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xml:space="preserve">  This Court again refers to its earlier cases that has referred to the doctrine of proportionality namely the cases of </w:t>
      </w:r>
      <w:r>
        <w:rPr>
          <w:rFonts w:ascii="arial" w:eastAsia="arial" w:hAnsi="arial" w:cs="arial"/>
          <w:b/>
          <w:i/>
          <w:strike w:val="0"/>
          <w:noProof w:val="0"/>
          <w:color w:val="000000"/>
          <w:position w:val="0"/>
          <w:sz w:val="24"/>
          <w:u w:val="none"/>
          <w:vertAlign w:val="baseline"/>
        </w:rPr>
        <w:t>Badariah</w:t>
      </w:r>
      <w:r>
        <w:rPr>
          <w:rFonts w:ascii="arial" w:eastAsia="arial" w:hAnsi="arial" w:cs="arial"/>
          <w:b w:val="0"/>
          <w:i w:val="0"/>
          <w:strike w:val="0"/>
          <w:noProof w:val="0"/>
          <w:color w:val="000000"/>
          <w:position w:val="0"/>
          <w:sz w:val="24"/>
          <w:u w:val="none"/>
          <w:vertAlign w:val="baseline"/>
        </w:rPr>
        <w:t xml:space="preserve"> (mentioned above) and </w:t>
      </w:r>
      <w:r>
        <w:rPr>
          <w:rFonts w:ascii="arial" w:eastAsia="arial" w:hAnsi="arial" w:cs="arial"/>
          <w:b w:val="0"/>
          <w:i/>
          <w:strike w:val="0"/>
          <w:noProof w:val="0"/>
          <w:color w:val="000000"/>
          <w:position w:val="0"/>
          <w:sz w:val="24"/>
          <w:u w:val="none"/>
          <w:vertAlign w:val="baseline"/>
        </w:rPr>
        <w:t xml:space="preserve">Syed Fazal Syed Thajudeen v. Petroliam Nasional Berhad (Petronas)  </w:t>
      </w:r>
      <w:r>
        <w:rPr>
          <w:rFonts w:ascii="arial" w:eastAsia="arial" w:hAnsi="arial" w:cs="arial"/>
          <w:b w:val="0"/>
          <w:i w:val="0"/>
          <w:strike w:val="0"/>
          <w:noProof w:val="0"/>
          <w:color w:val="000000"/>
          <w:position w:val="0"/>
          <w:sz w:val="24"/>
          <w:u w:val="none"/>
          <w:vertAlign w:val="baseline"/>
        </w:rPr>
        <w:t xml:space="preserve">[2023] 4 ILR 401; ; [2023] MELRU 2126. The Court stands by its position in the above cases which quoted the Federal Court case of </w:t>
      </w:r>
      <w:r>
        <w:rPr>
          <w:rFonts w:ascii="arial" w:eastAsia="arial" w:hAnsi="arial" w:cs="arial"/>
          <w:b w:val="0"/>
          <w:i/>
          <w:strike w:val="0"/>
          <w:noProof w:val="0"/>
          <w:color w:val="000000"/>
          <w:position w:val="0"/>
          <w:sz w:val="24"/>
          <w:u w:val="none"/>
          <w:vertAlign w:val="baseline"/>
        </w:rPr>
        <w:t xml:space="preserve">Norizan bin Baker v Panzana Enterprise Sdn Bhd  </w:t>
      </w:r>
      <w:r>
        <w:rPr>
          <w:rFonts w:ascii="arial" w:eastAsia="arial" w:hAnsi="arial" w:cs="arial"/>
          <w:b w:val="0"/>
          <w:i w:val="0"/>
          <w:strike w:val="0"/>
          <w:noProof w:val="0"/>
          <w:color w:val="000000"/>
          <w:position w:val="0"/>
          <w:sz w:val="24"/>
          <w:u w:val="none"/>
          <w:vertAlign w:val="baseline"/>
        </w:rPr>
        <w:t>[2013] 6 MLJ 605.</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Court does not wish to repeat the same points and the parties are welcomed to view the said cases. Suffice to say that the case today the Claimant did have some contributory factors. These factors include the fact that the Claimant had already opened a clinic of her own but only raised during cross examination by the Company. In an equitable Court, the Claimant should have been more forthcoming.</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The next issue was the fact that the Claimant had no paper qualifications that would actually justify her position in such a high echelon position within a university or a institution of higher learning. Whilst it is true that paper credentials cannot overcome experience but, in an institution of higher learning it is also a prerequisite to phase-in those with the appropriate credentials.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Based on the above, the Court will reduce the claim when it is calculating the actual remedy that the Claimant should be awarded.</w:t>
      </w:r>
      <w:r>
        <w:t>
</w:t>
      </w:r>
    </w:p>
    <w:p>
      <w:pPr>
        <w:keepNext w:val="0"/>
        <w:spacing w:after="0" w:line="300" w:lineRule="atLeast"/>
        <w:ind w:left="0" w:right="0" w:firstLine="0"/>
        <w:jc w:val="left"/>
      </w:pPr>
      <w:r>
        <w:rPr>
          <w:rFonts w:ascii="arial" w:eastAsia="arial" w:hAnsi="arial" w:cs="arial"/>
          <w:b/>
          <w:i w:val="0"/>
          <w:strike w:val="0"/>
          <w:noProof w:val="0"/>
          <w:color w:val="000000"/>
          <w:position w:val="0"/>
          <w:sz w:val="24"/>
          <w:u w:val="none"/>
          <w:vertAlign w:val="baseline"/>
        </w:rPr>
        <w:t>Remedy</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Since it has been determined above that the Claimant was retrenched without just cause and now the Court will ascertain the Award she should be given. The took into consideration all the factors mentioned earlier above.</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The Court believes the Claimant is entitled to backwages and the ultimate redress would be reinstatement. However, it has always been the Court’s position that reinstatement, although being the main goal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may not be possible due to the current circumstances of the case as well as being contradictory with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Nevertheless, the Court will delve into backwages first.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xml:space="preserve">  The general rule for backwages has been provided for in s. 30(6A) of the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 xml:space="preserve"> and the factors specified in the paragraphs 1 and 2 of the </w:t>
      </w:r>
      <w:r>
        <w:rPr>
          <w:rFonts w:ascii="arial" w:eastAsia="arial" w:hAnsi="arial" w:cs="arial"/>
          <w:b w:val="0"/>
          <w:i w:val="0"/>
          <w:strike w:val="0"/>
          <w:noProof w:val="0"/>
          <w:color w:val="000000"/>
          <w:position w:val="0"/>
          <w:sz w:val="24"/>
          <w:u w:val="single"/>
          <w:vertAlign w:val="baseline"/>
        </w:rPr>
        <w:t>Second Schedule</w:t>
      </w:r>
      <w:r>
        <w:rPr>
          <w:rFonts w:ascii="arial" w:eastAsia="arial" w:hAnsi="arial" w:cs="arial"/>
          <w:b w:val="0"/>
          <w:i w:val="0"/>
          <w:strike w:val="0"/>
          <w:noProof w:val="0"/>
          <w:color w:val="000000"/>
          <w:position w:val="0"/>
          <w:sz w:val="24"/>
          <w:u w:val="none"/>
          <w:vertAlign w:val="baseline"/>
        </w:rPr>
        <w:t>, which states as follows:</w:t>
      </w:r>
    </w:p>
    <w:p>
      <w:pPr>
        <w:keepNext w:val="0"/>
        <w:numPr>
          <w:numId w:val="3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event that backwages are to be given, such backwages shall not exceed twenty-four months’ backwages from the date of dismissal based on the last-drawn salary of the person who has been dismissed without just cause or excuse;</w:t>
      </w:r>
    </w:p>
    <w:p>
      <w:pPr>
        <w:keepNext w:val="0"/>
        <w:numPr>
          <w:numId w:val="3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In the case of a probationer who has been dismissed without just cause or excuse, any backwages shall not exceed twelve months’ backwages from the date of dismissal based on his last-drawn salary;</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As such, should the Court make an Award for backwages the amounts will be as stated above. Since the Claimant was dismissed without just cause or excuse, the Claimant would be entitled to backwages. The Court has apportioned the time due to the doctrine of proportionality as mentioned above, whereby the Court feels that the appropriate amount based on all the factors above is 18 months.</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Whereas, on the issue of reinstatement, it would be rather difficult for the Claimant to return to the Company given the situation of the case being dragged into trial. The Court feels that reinstatement is not in good conscience and would instead award 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The Award for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 may be referred to either the Practice Note No. 3 of 2019 or subregulations 3(1) and 6(1) of Employment (Termination and Lay-Off Benefits) Regulations 1980 (PU (A) 278/80).</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This Court refers to the Court of Appeal case of </w:t>
      </w:r>
      <w:r>
        <w:rPr>
          <w:rFonts w:ascii="arial" w:eastAsia="arial" w:hAnsi="arial" w:cs="arial"/>
          <w:b w:val="0"/>
          <w:i/>
          <w:strike w:val="0"/>
          <w:noProof w:val="0"/>
          <w:color w:val="000000"/>
          <w:position w:val="0"/>
          <w:sz w:val="24"/>
          <w:u w:val="none"/>
          <w:vertAlign w:val="baseline"/>
        </w:rPr>
        <w:t xml:space="preserve">Equant Integration Services Sdn Bhd (In Liquidation) v. Wong Wai Hung  </w:t>
      </w:r>
      <w:r>
        <w:rPr>
          <w:rFonts w:ascii="arial" w:eastAsia="arial" w:hAnsi="arial" w:cs="arial"/>
          <w:b w:val="0"/>
          <w:i w:val="0"/>
          <w:strike w:val="0"/>
          <w:noProof w:val="0"/>
          <w:color w:val="000000"/>
          <w:position w:val="0"/>
          <w:sz w:val="24"/>
          <w:u w:val="none"/>
          <w:vertAlign w:val="baseline"/>
        </w:rPr>
        <w:t>[2012] 1 LNS 1296 has stated as follows:</w:t>
      </w:r>
    </w:p>
    <w:p>
      <w:pPr>
        <w:keepNext w:val="0"/>
        <w:spacing w:before="0" w:after="0" w:line="240" w:lineRule="atLeast"/>
        <w:ind w:left="400" w:right="0" w:firstLine="0"/>
        <w:jc w:val="both"/>
      </w:pPr>
      <w:r>
        <w:br/>
      </w:r>
      <w:r>
        <w:rPr>
          <w:rFonts w:ascii="arial" w:eastAsia="arial" w:hAnsi="arial" w:cs="arial"/>
          <w:b w:val="0"/>
          <w:i w:val="0"/>
          <w:strike w:val="0"/>
          <w:noProof w:val="0"/>
          <w:color w:val="000000"/>
          <w:position w:val="0"/>
          <w:sz w:val="18"/>
          <w:u w:val="none"/>
          <w:vertAlign w:val="baseline"/>
        </w:rPr>
        <w:t>“</w:t>
      </w:r>
      <w:r>
        <w:rPr>
          <w:rFonts w:ascii="arial" w:eastAsia="arial" w:hAnsi="arial" w:cs="arial"/>
          <w:b/>
          <w:i w:val="0"/>
          <w:strike w:val="0"/>
          <w:noProof w:val="0"/>
          <w:color w:val="000000"/>
          <w:position w:val="0"/>
          <w:sz w:val="18"/>
          <w:u w:val="none"/>
          <w:vertAlign w:val="baseline"/>
        </w:rPr>
        <w:t>[19]</w:t>
      </w:r>
      <w:r>
        <w:rPr>
          <w:rFonts w:ascii="arial" w:eastAsia="arial" w:hAnsi="arial" w:cs="arial"/>
          <w:b w:val="0"/>
          <w:i w:val="0"/>
          <w:strike w:val="0"/>
          <w:noProof w:val="0"/>
          <w:color w:val="000000"/>
          <w:position w:val="0"/>
          <w:sz w:val="18"/>
          <w:u w:val="none"/>
          <w:vertAlign w:val="baseline"/>
        </w:rPr>
        <w:t xml:space="preserve"> We say so because a compensation of back wages is based on the underlying principle envisaged under the </w:t>
      </w:r>
      <w:r>
        <w:rPr>
          <w:rFonts w:ascii="arial" w:eastAsia="arial" w:hAnsi="arial" w:cs="arial"/>
          <w:b w:val="0"/>
          <w:i w:val="0"/>
          <w:strike w:val="0"/>
          <w:noProof w:val="0"/>
          <w:color w:val="000000"/>
          <w:position w:val="0"/>
          <w:sz w:val="18"/>
          <w:u w:val="single"/>
          <w:vertAlign w:val="baseline"/>
        </w:rPr>
        <w:t>Employment (Termination and Lay-Offs Benefits) Regulations 1980</w:t>
      </w:r>
      <w:r>
        <w:rPr>
          <w:rFonts w:ascii="arial" w:eastAsia="arial" w:hAnsi="arial" w:cs="arial"/>
          <w:b w:val="0"/>
          <w:i w:val="0"/>
          <w:strike w:val="0"/>
          <w:noProof w:val="0"/>
          <w:color w:val="000000"/>
          <w:position w:val="0"/>
          <w:sz w:val="18"/>
          <w:u w:val="none"/>
          <w:vertAlign w:val="baseline"/>
        </w:rPr>
        <w:t xml:space="preserve">, made under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The </w:t>
      </w:r>
      <w:r>
        <w:rPr>
          <w:rFonts w:ascii="arial" w:eastAsia="arial" w:hAnsi="arial" w:cs="arial"/>
          <w:b w:val="0"/>
          <w:i w:val="0"/>
          <w:strike w:val="0"/>
          <w:noProof w:val="0"/>
          <w:color w:val="000000"/>
          <w:position w:val="0"/>
          <w:sz w:val="18"/>
          <w:u w:val="single"/>
          <w:vertAlign w:val="baseline"/>
        </w:rPr>
        <w:t xml:space="preserve">Employment </w:t>
      </w:r>
      <w:r>
        <w:rPr>
          <w:rFonts w:ascii="arial" w:eastAsia="arial" w:hAnsi="arial" w:cs="arial"/>
          <w:b w:val="0"/>
          <w:i/>
          <w:strike w:val="0"/>
          <w:noProof w:val="0"/>
          <w:color w:val="000000"/>
          <w:position w:val="0"/>
          <w:sz w:val="18"/>
          <w:u w:val="single"/>
          <w:vertAlign w:val="baseline"/>
        </w:rPr>
        <w:t>Act</w:t>
      </w:r>
      <w:r>
        <w:rPr>
          <w:rFonts w:ascii="arial" w:eastAsia="arial" w:hAnsi="arial" w:cs="arial"/>
          <w:b w:val="0"/>
          <w:i w:val="0"/>
          <w:strike w:val="0"/>
          <w:noProof w:val="0"/>
          <w:color w:val="000000"/>
          <w:position w:val="0"/>
          <w:sz w:val="18"/>
          <w:u w:val="single"/>
          <w:vertAlign w:val="baseline"/>
        </w:rPr>
        <w:t xml:space="preserve"> 1955</w:t>
      </w:r>
      <w:r>
        <w:rPr>
          <w:rFonts w:ascii="arial" w:eastAsia="arial" w:hAnsi="arial" w:cs="arial"/>
          <w:b w:val="0"/>
          <w:i w:val="0"/>
          <w:strike w:val="0"/>
          <w:noProof w:val="0"/>
          <w:color w:val="000000"/>
          <w:position w:val="0"/>
          <w:sz w:val="18"/>
          <w:u w:val="none"/>
          <w:vertAlign w:val="baseline"/>
        </w:rPr>
        <w:t xml:space="preserve"> is not applicable to the respondent, he not being an employee with less than RM2,000 salary per month. Even under the Regulations, a person employed more than one year would be entitled to ten days wages for one year of service. For others, it would depend on his contract of employment or in a case of unionised employee the term of their respective collective agreements. A standard industry labour practice is to compensate the retrenched employee with a salary of one month to one year of service. The compensation granted in this case far exceeded any of these.”</w:t>
      </w:r>
      <w:r>
        <w:t>
</w:t>
      </w:r>
    </w:p>
    <w:p/>
    <w:p>
      <w:pPr>
        <w:keepNext w:val="0"/>
        <w:spacing w:after="0" w:line="300" w:lineRule="atLeast"/>
        <w:ind w:left="0" w:right="0" w:firstLine="0"/>
        <w:jc w:val="both"/>
      </w:pPr>
      <w:r>
        <w:rPr>
          <w:rFonts w:ascii="arial" w:eastAsia="arial" w:hAnsi="arial" w:cs="arial"/>
          <w:b/>
          <w:i w:val="0"/>
          <w:strike w:val="0"/>
          <w:noProof w:val="0"/>
          <w:color w:val="000000"/>
          <w:position w:val="0"/>
          <w:sz w:val="24"/>
          <w:u w:val="none"/>
          <w:vertAlign w:val="baseline"/>
        </w:rPr>
        <w:t>[50]</w:t>
      </w:r>
      <w:r>
        <w:rPr>
          <w:rFonts w:ascii="arial" w:eastAsia="arial" w:hAnsi="arial" w:cs="arial"/>
          <w:b w:val="0"/>
          <w:i w:val="0"/>
          <w:strike w:val="0"/>
          <w:noProof w:val="0"/>
          <w:color w:val="000000"/>
          <w:position w:val="0"/>
          <w:sz w:val="24"/>
          <w:u w:val="none"/>
          <w:vertAlign w:val="baseline"/>
        </w:rPr>
        <w:t xml:space="preserve">  Based on the Court of Appeal case above, it is quite clear that the Employment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1955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is applicable in the Industrial Court but not applicable for this case because the Claimant has crossed the threshold set by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or more specifically subregulation 6(1) PU (A) 278/80. Nonetheless, the Court refers to the subregulations 6(1) PU (A) 278/80 because it would be inequitable for the Court to give a higher rate of compensation purely on the grounds that the Claimant’s earnings was beyond the realm of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val="0"/>
          <w:strike w:val="0"/>
          <w:noProof w:val="0"/>
          <w:color w:val="000000"/>
          <w:position w:val="0"/>
          <w:sz w:val="24"/>
          <w:u w:val="none"/>
          <w:vertAlign w:val="baseline"/>
        </w:rPr>
        <w:t xml:space="preserve"> 265. Furthermore, it would also be in contravention of the Court’s duties under subsection 30(4)  </w:t>
      </w:r>
      <w:r>
        <w:rPr>
          <w:rFonts w:ascii="arial" w:eastAsia="arial" w:hAnsi="arial" w:cs="arial"/>
          <w:b w:val="0"/>
          <w:i/>
          <w:strike w:val="0"/>
          <w:noProof w:val="0"/>
          <w:color w:val="000000"/>
          <w:position w:val="0"/>
          <w:sz w:val="24"/>
          <w:u w:val="single"/>
          <w:vertAlign w:val="baseline"/>
        </w:rPr>
        <w:t>Act</w:t>
      </w:r>
      <w:r>
        <w:rPr>
          <w:rFonts w:ascii="arial" w:eastAsia="arial" w:hAnsi="arial" w:cs="arial"/>
          <w:b w:val="0"/>
          <w:i/>
          <w:strike w:val="0"/>
          <w:noProof w:val="0"/>
          <w:color w:val="000000"/>
          <w:position w:val="0"/>
          <w:sz w:val="24"/>
          <w:u w:val="single"/>
          <w:vertAlign w:val="baseline"/>
        </w:rPr>
        <w:t xml:space="preserve"> </w:t>
      </w:r>
      <w:r>
        <w:rPr>
          <w:rFonts w:ascii="arial" w:eastAsia="arial" w:hAnsi="arial" w:cs="arial"/>
          <w:b w:val="0"/>
          <w:i/>
          <w:strike w:val="0"/>
          <w:noProof w:val="0"/>
          <w:color w:val="000000"/>
          <w:position w:val="0"/>
          <w:sz w:val="24"/>
          <w:u w:val="single"/>
          <w:vertAlign w:val="baseline"/>
        </w:rPr>
        <w:t>177</w:t>
      </w:r>
      <w:r>
        <w:rPr>
          <w:rFonts w:ascii="arial" w:eastAsia="arial" w:hAnsi="arial" w:cs="arial"/>
          <w:b w:val="0"/>
          <w:i w:val="0"/>
          <w:strike w:val="0"/>
          <w:noProof w:val="0"/>
          <w:color w:val="000000"/>
          <w:position w:val="0"/>
          <w:sz w:val="24"/>
          <w:u w:val="none"/>
          <w:vertAlign w:val="baseline"/>
        </w:rPr>
        <w:t>.</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[51]</w:t>
      </w:r>
      <w:r>
        <w:rPr>
          <w:rFonts w:ascii="arial" w:eastAsia="arial" w:hAnsi="arial" w:cs="arial"/>
          <w:b w:val="0"/>
          <w:i w:val="0"/>
          <w:strike w:val="0"/>
          <w:noProof w:val="0"/>
          <w:color w:val="000000"/>
          <w:position w:val="0"/>
          <w:sz w:val="24"/>
          <w:u w:val="none"/>
          <w:vertAlign w:val="baseline"/>
        </w:rPr>
        <w:t>  Thus, the Claimant’s Award is as follows:</w:t>
      </w:r>
    </w:p>
    <w:p>
      <w:pPr>
        <w:keepNext w:val="0"/>
        <w:numPr>
          <w:numId w:val="3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RM11,762.00 x 18 months = RM211,716.00</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Sub Total = </w:t>
      </w:r>
      <w:r>
        <w:rPr>
          <w:rFonts w:ascii="arial" w:eastAsia="arial" w:hAnsi="arial" w:cs="arial"/>
          <w:b/>
          <w:i w:val="0"/>
          <w:strike w:val="0"/>
          <w:noProof w:val="0"/>
          <w:color w:val="000000"/>
          <w:position w:val="0"/>
          <w:sz w:val="24"/>
          <w:u w:val="none"/>
          <w:vertAlign w:val="baseline"/>
        </w:rPr>
        <w:t>RM211,716.00</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Add</w:t>
      </w:r>
      <w:r>
        <w:t>
</w:t>
      </w:r>
    </w:p>
    <w:p>
      <w:pPr>
        <w:keepNext w:val="0"/>
        <w:numPr>
          <w:numId w:val="3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Compensation </w:t>
      </w:r>
      <w:r>
        <w:rPr>
          <w:rFonts w:ascii="arial" w:eastAsia="arial" w:hAnsi="arial" w:cs="arial"/>
          <w:b w:val="0"/>
          <w:i/>
          <w:strike w:val="0"/>
          <w:noProof w:val="0"/>
          <w:color w:val="000000"/>
          <w:position w:val="0"/>
          <w:sz w:val="24"/>
          <w:u w:val="none"/>
          <w:vertAlign w:val="baseline"/>
        </w:rPr>
        <w:t>in lieu</w:t>
      </w:r>
      <w:r>
        <w:rPr>
          <w:rFonts w:ascii="arial" w:eastAsia="arial" w:hAnsi="arial" w:cs="arial"/>
          <w:b w:val="0"/>
          <w:i w:val="0"/>
          <w:strike w:val="0"/>
          <w:noProof w:val="0"/>
          <w:color w:val="000000"/>
          <w:position w:val="0"/>
          <w:sz w:val="24"/>
          <w:u w:val="none"/>
          <w:vertAlign w:val="baseline"/>
        </w:rPr>
        <w:t xml:space="preserve"> of reinstatement</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RM11,762.00 x 20 / 31 days x 13 years = RM98,649.07</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Sub Total = </w:t>
      </w:r>
      <w:r>
        <w:rPr>
          <w:rFonts w:ascii="arial" w:eastAsia="arial" w:hAnsi="arial" w:cs="arial"/>
          <w:b/>
          <w:i w:val="0"/>
          <w:strike w:val="0"/>
          <w:noProof w:val="0"/>
          <w:color w:val="000000"/>
          <w:position w:val="0"/>
          <w:sz w:val="24"/>
          <w:u w:val="none"/>
          <w:vertAlign w:val="baseline"/>
        </w:rPr>
        <w:t>RM98,649.07</w:t>
      </w:r>
    </w:p>
    <w:p>
      <w:pPr>
        <w:keepNext w:val="0"/>
        <w:spacing w:before="120" w:after="0" w:line="300" w:lineRule="atLeast"/>
        <w:ind w:left="1120" w:right="0"/>
        <w:jc w:val="both"/>
      </w:pPr>
      <w:r>
        <w:br/>
      </w:r>
      <w:r>
        <w:rPr>
          <w:rFonts w:ascii="arial" w:eastAsia="arial" w:hAnsi="arial" w:cs="arial"/>
          <w:b/>
          <w:i w:val="0"/>
          <w:strike w:val="0"/>
          <w:noProof w:val="0"/>
          <w:color w:val="000000"/>
          <w:position w:val="0"/>
          <w:sz w:val="24"/>
          <w:u w:val="none"/>
          <w:vertAlign w:val="baseline"/>
        </w:rPr>
        <w:t>Grand Total</w:t>
      </w:r>
      <w:r>
        <w:rPr>
          <w:rFonts w:ascii="arial" w:eastAsia="arial" w:hAnsi="arial" w:cs="arial"/>
          <w:b w:val="0"/>
          <w:i w:val="0"/>
          <w:strike w:val="0"/>
          <w:noProof w:val="0"/>
          <w:color w:val="000000"/>
          <w:position w:val="0"/>
          <w:sz w:val="24"/>
          <w:u w:val="none"/>
          <w:vertAlign w:val="baseline"/>
        </w:rPr>
        <w:t xml:space="preserve"> = RM211,716.00 + RM98,649.07</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RM310,365.07</w:t>
      </w:r>
      <w:r>
        <w:t>
</w:t>
      </w:r>
    </w:p>
    <w:p/>
    <w:p>
      <w:pPr>
        <w:keepNext w:val="0"/>
        <w:spacing w:before="120" w:after="0" w:line="300" w:lineRule="atLeast"/>
        <w:ind w:left="0" w:right="0" w:firstLine="0"/>
        <w:jc w:val="both"/>
      </w:pPr>
      <w:r>
        <w:rPr>
          <w:rFonts w:ascii="arial" w:eastAsia="arial" w:hAnsi="arial" w:cs="arial"/>
          <w:b/>
          <w:i w:val="0"/>
          <w:strike w:val="0"/>
          <w:noProof w:val="0"/>
          <w:color w:val="000000"/>
          <w:position w:val="0"/>
          <w:sz w:val="24"/>
          <w:u w:val="none"/>
          <w:vertAlign w:val="baseline"/>
        </w:rPr>
        <w:t>[52]</w:t>
      </w:r>
      <w:r>
        <w:rPr>
          <w:rFonts w:ascii="arial" w:eastAsia="arial" w:hAnsi="arial" w:cs="arial"/>
          <w:b w:val="0"/>
          <w:i w:val="0"/>
          <w:strike w:val="0"/>
          <w:noProof w:val="0"/>
          <w:color w:val="000000"/>
          <w:position w:val="0"/>
          <w:sz w:val="24"/>
          <w:u w:val="none"/>
          <w:vertAlign w:val="baseline"/>
        </w:rPr>
        <w:t>  The Court hereby orders that the Company pays the Claimant the total sum of Ringgit Malaysia Three hundred ten thousand three hundred sixty five and seven cents (RM310,365.07) within 30 days from the date of this Award and if the amount has not been settled be charged 8% per annum after the expiry at the 30 days above.</w:t>
      </w:r>
      <w:r>
        <w:t>
</w:t>
      </w:r>
    </w:p>
    <w:p/>
    <w:p>
      <w:pPr>
        <w:ind w:left="200"/>
      </w:pPr>
      <w:r>
        <w:br/>
      </w:r>
      <w:r>
        <w:pict>
          <v:line id="_x0000_s1025" style="position:absolute;z-index:25165824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Ooi Lay Khuan v Inti International Education Sdn Bhd  [2024] ILJU 67</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decimal"/>
      <w:lvlText w:val=" %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Ooi Lay Khuan v Inti International Education Sdn Bhd  [2024] ILJU 67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GP5-VC73-MCMS-B3SX-00000-00">
    <vt:lpwstr>Doc::/shared/document|contextualFeaturePermID::1522468</vt:lpwstr>
  </property>
  <property fmtid="{D5CDD505-2E9C-101B-9397-08002B2CF9AE}" pid="4" name="LNDeliveryID">
    <vt:lpwstr>286221399</vt:lpwstr>
  </property>
  <property fmtid="{D5CDD505-2E9C-101B-9397-08002B2CF9AE}" pid="5" name="UserPermID">
    <vt:lpwstr>urn:user:PA196491919</vt:lpwstr>
  </property>
</Properties>
</file>