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Rozi bin Tokiran v Falcon Maintenance &amp; Training Sdn Bhd [2024] 1 ILJ 220</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(SARAWAK)</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NAZRI BIN ISMAIL,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180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29 January 2024</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 xml:space="preserve">Labour Law — Industrial Court — Constructive dismissal — Whether the claimant was constructively dismissed — Whether the dismissal was done with or without just cause or excuse —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ss 20(3), 29(d) and 30(5)</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 xml:space="preserve">The claimant resigned from the company and claimed constructive dismissal after the company withheld the claimant’s salary after seven months of working. Pursuant to s 29(d)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Court proceeded to hear the matter by way of ex-parte hearing. The issues before the Court were whether the claimant was constructively dismissed and whether the dismissal was done with or without just cause or excuse.</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dismissing the claim:</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Court found no documents to support the averment that the claimant worked for the company for seven months and there was no communication via letters or emails to show that the claimant had been asking for his salary during the alleged period. The claimant testified that he submitted a resignation letter and claimed constructive dismissal after the company withheld the claimant’s salary after seven months of working but the Court was unable to agree with the claimant’s submission that there are agreed facts by both parties that the claimant had resigned from his employment since it was an ex-parte hearing (see paras 36–38).</w:t>
      </w:r>
      <w:r>
        <w:rPr>
          <w:rFonts w:ascii="arial" w:eastAsia="arial" w:hAnsi="arial" w:cs="arial"/>
          <w:b w:val="0"/>
          <w:i w:val="0"/>
          <w:strike w:val="0"/>
          <w:noProof w:val="0"/>
          <w:color w:val="000000"/>
          <w:position w:val="0"/>
          <w:sz w:val="24"/>
          <w:u w:val="none"/>
          <w:vertAlign w:val="baseline"/>
        </w:rPr>
        <w:t xml:space="preserve"> </w:t>
        <w:tab/>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Court concluded that the claimant did not discharge his evidential burden through oral or documentary evidence on the balance of probabilities. The claimant failed to prove his case on the balance of probabilities that he was under the company’s employment for seven months. For that reason, the Court held that the claimant’s averment not to be true (see para 39).</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totality of evidence adduced and having perused the written submissions and bearing in mind subsection 30 (5)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which is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according to equity, good conscience and the substantial merits of the case. Without having regards to technicalities and legal form, the Court is of the opinion that the claimant had failed or unsuccessful in discharging its burden in proving that the claimant was constructively dismissed on a balance of probabilities. Therefore, the claimant’s case is hereby dismissed (see para 40).</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Penuntut berhenti daripada syarikat dan menuntut untuk perberhentian terancang selepas pihak syarikat menahan gaji penuntut selepas tujuh bulan bekerja. Menurut s 29(d) Akta Perhubungan Perindustrian 1967, Mahkamah terus mendengar perkara ini dengan cara pendengaran ex-parte. Isu-isu dihadapan Mahkamah adalah sama ada penuntut telah diberhentikan secara terancang dan sama ada perberhentian dilakukan dengan sebab atas alasan yang adil ataupun tidak.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menolak tuntutan:</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Mahkamah mendapati bahawa tiada dokumen yang boleh menyokong pernyataan penuntut bahawa beliau telah bekerja untuk tujuh bulan dan tidak terdapat komunikasi melalui surat-surat atau emel-emel bagi menunjukkan bahawa penuntut telah terus meminta gaji semasa tempoh yang dikatakan.  Penuntut memberikan testimoni bahawa beliau telah menyerahkan surat perletakan jawatan dan menuntut bagi perberhentian terancang selepas pihak syarikat menahan gaji penuntut selepas tujuh bulan bekerja tetapi Mahkamah tidak dapat bersetuju dengan hujahan penuntut bahawa ia adalah fakta yang dipersetujui oleh kedua-dua belah pihak bahawa penuntut telah berhenti kerja kerana ini merupakan pendengaran ex parte (lihat perenggan 36–38).</w:t>
      </w:r>
    </w:p>
    <w:p>
      <w:pPr>
        <w:keepNext w:val="0"/>
        <w:numPr>
          <w:numId w:val="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Mahkamah ini menyimpulkan bahawa penuntut tidak membuktikan dengan berkesan beban pembuktian melalui bukti lisan dan dokumentari atas imbangan keberangkalian. Penuntut telah gagal untuk membuktikan kes nya atas imbangan keberangkalian bahawa beliau berada di dalam gajian pihak syarikat selama tujuh bulan. Bagi alasan tersebut, Mahkamah memutuskan bahawa pernyataan penuntut adalah tidak benar (lihat perenggan 39).</w:t>
      </w:r>
      <w:r>
        <w:rPr>
          <w:rFonts w:ascii="arial" w:eastAsia="arial" w:hAnsi="arial" w:cs="arial"/>
          <w:b w:val="0"/>
          <w:i w:val="0"/>
          <w:strike w:val="0"/>
          <w:noProof w:val="0"/>
          <w:color w:val="000000"/>
          <w:position w:val="0"/>
          <w:sz w:val="24"/>
          <w:u w:val="none"/>
          <w:vertAlign w:val="baseline"/>
        </w:rPr>
        <w:t xml:space="preserve"> </w:t>
        <w:tab/>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Berdasarkan keseleruhan bukti dan setelah meneliti hujahan bertulis dan memikirkan tentang subseksyen 30 (5)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yang mana adalah untuk bertindak mengikut ekuiti, hati nurani dan merit-merit penting kes. Tanpa mengambil kira perkara teknikal dan bentuk undang-undang, Mahkamah dengan ini berpendapat bahawa penuntut telah gagal atau tidak berjaya melepaskan beban pembuktian dalam membuktikan bahawa penuntut telah diberhentikan secara terancang atas imbangan keberangkalian. Oleh itu, kes penuntut di sini adalah ditolak (lihat perenggan 40).</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left"/>
      </w:pPr>
      <w:r>
        <w:br/>
      </w: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Alan Thomas Bohlsen v Draftworldwide Sdn Bhd </w:t>
      </w:r>
      <w:r>
        <w:rPr>
          <w:rFonts w:ascii="arial" w:eastAsia="arial" w:hAnsi="arial" w:cs="arial"/>
          <w:b w:val="0"/>
          <w:i w:val="0"/>
          <w:strike w:val="0"/>
          <w:noProof w:val="0"/>
          <w:color w:val="000000"/>
          <w:position w:val="0"/>
          <w:sz w:val="24"/>
          <w:u w:val="none"/>
          <w:vertAlign w:val="baseline"/>
        </w:rPr>
        <w:t xml:space="preserve"> [2009] 8 MLJ 461; [2009] 1 LNS 550,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Anwar Abdul Rahim v Bayer (M) Sdn Bhd  </w:t>
      </w:r>
      <w:r>
        <w:rPr>
          <w:rFonts w:ascii="arial" w:eastAsia="arial" w:hAnsi="arial" w:cs="arial"/>
          <w:b w:val="0"/>
          <w:i w:val="0"/>
          <w:strike w:val="0"/>
          <w:noProof w:val="0"/>
          <w:color w:val="000000"/>
          <w:position w:val="0"/>
          <w:sz w:val="24"/>
          <w:u w:val="none"/>
          <w:vertAlign w:val="baseline"/>
        </w:rPr>
        <w:t xml:space="preserve"> [1998] 2 MLJ 599; [1998] 2 CLJ 197,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Bayer (M) Sdn Bhd v Anwar bin Abd Rahim </w:t>
      </w:r>
      <w:r>
        <w:rPr>
          <w:rFonts w:ascii="arial" w:eastAsia="arial" w:hAnsi="arial" w:cs="arial"/>
          <w:b w:val="0"/>
          <w:i w:val="0"/>
          <w:strike w:val="0"/>
          <w:noProof w:val="0"/>
          <w:color w:val="000000"/>
          <w:position w:val="0"/>
          <w:sz w:val="24"/>
          <w:u w:val="none"/>
          <w:vertAlign w:val="baseline"/>
        </w:rPr>
        <w:t xml:space="preserve"> [1995] MLJU 558; [1996] 2 CLJ 49,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Hong Leong Bank Bhd v Phung Tze Thiam John Phung </w:t>
      </w:r>
      <w:r>
        <w:rPr>
          <w:rFonts w:ascii="arial" w:eastAsia="arial" w:hAnsi="arial" w:cs="arial"/>
          <w:b w:val="0"/>
          <w:i w:val="0"/>
          <w:strike w:val="0"/>
          <w:noProof w:val="0"/>
          <w:color w:val="000000"/>
          <w:position w:val="0"/>
          <w:sz w:val="24"/>
          <w:u w:val="none"/>
          <w:vertAlign w:val="baseline"/>
        </w:rPr>
        <w:t xml:space="preserve"> [2008] 2 MLJ 785; [2008] 1 LNS 921,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 [1995] 3 MLJ 537; [1995] 4 CLJ 449,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Quah Swee Khoon v Sime Darby Bhd </w:t>
      </w:r>
      <w:r>
        <w:rPr>
          <w:rFonts w:ascii="arial" w:eastAsia="arial" w:hAnsi="arial" w:cs="arial"/>
          <w:b w:val="0"/>
          <w:i w:val="0"/>
          <w:strike w:val="0"/>
          <w:noProof w:val="0"/>
          <w:color w:val="000000"/>
          <w:position w:val="0"/>
          <w:sz w:val="24"/>
          <w:u w:val="none"/>
          <w:vertAlign w:val="baseline"/>
        </w:rPr>
        <w:t xml:space="preserve"> [2000] 2 MLJ 600; [2001] 1 CLJ 9,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Selangor Medical Centre v Zainal Abidin Md Tamami </w:t>
      </w:r>
      <w:r>
        <w:rPr>
          <w:rFonts w:ascii="arial" w:eastAsia="arial" w:hAnsi="arial" w:cs="arial"/>
          <w:b w:val="0"/>
          <w:i w:val="0"/>
          <w:strike w:val="0"/>
          <w:noProof w:val="0"/>
          <w:color w:val="000000"/>
          <w:position w:val="0"/>
          <w:sz w:val="24"/>
          <w:u w:val="none"/>
          <w:vertAlign w:val="baseline"/>
        </w:rPr>
        <w:t>[2002] 2 ILR 527,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Western Excavating (EEC) Ltd v Sharp </w:t>
      </w:r>
      <w:r>
        <w:rPr>
          <w:rFonts w:ascii="arial" w:eastAsia="arial" w:hAnsi="arial" w:cs="arial"/>
          <w:b w:val="0"/>
          <w:i w:val="0"/>
          <w:strike w:val="0"/>
          <w:noProof w:val="0"/>
          <w:color w:val="000000"/>
          <w:position w:val="0"/>
          <w:sz w:val="24"/>
          <w:u w:val="none"/>
          <w:vertAlign w:val="baseline"/>
        </w:rPr>
        <w:t>[1978] 1 All ER 713; [1978] 1 ICR 221,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[1988] 1 MLJ 92; [1988] 1 CLJ Rep 298; [1988] 1 MLRA 346, SC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ss 20, 20(1), (3)29(d), 30(5)</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bookmarkStart w:id="4" w:name="Representation"/>
      <w:bookmarkEnd w:id="4"/>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Edward Usa (Wan Ullok, Jugah, Chin &amp; Company) for the claimant.</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1"/>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Nazri bin Ismail C"/>
            <w:bookmarkEnd w:id="5"/>
            <w:r>
              <w:rPr>
                <w:rFonts w:ascii="arial" w:eastAsia="arial" w:hAnsi="arial" w:cs="arial"/>
                <w:b/>
                <w:i w:val="0"/>
                <w:strike w:val="0"/>
                <w:noProof w:val="0"/>
                <w:color w:val="000000"/>
                <w:position w:val="0"/>
                <w:sz w:val="30"/>
                <w:u w:val="none"/>
                <w:vertAlign w:val="baseline"/>
              </w:rPr>
              <w:t>Nazri bin Ismail C:</w:t>
            </w:r>
          </w:p>
        </w:tc>
      </w:tr>
    </w:tbl>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an order of reference dated 18 February 2022 by the Director General of Industrial Relations Department pursuant to sub-s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arising out of the alleged dismissal of </w:t>
      </w:r>
      <w:r>
        <w:rPr>
          <w:rFonts w:ascii="arial" w:eastAsia="arial" w:hAnsi="arial" w:cs="arial"/>
          <w:b/>
          <w:i w:val="0"/>
          <w:strike w:val="0"/>
          <w:noProof w:val="0"/>
          <w:color w:val="000000"/>
          <w:position w:val="0"/>
          <w:sz w:val="24"/>
          <w:u w:val="none"/>
          <w:vertAlign w:val="baseline"/>
        </w:rPr>
        <w:t>Rozi bin Tokiran</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Falcon Maintenance &amp; Training Sdn Bhd</w:t>
      </w:r>
      <w:r>
        <w:rPr>
          <w:rFonts w:ascii="arial" w:eastAsia="arial" w:hAnsi="arial" w:cs="arial"/>
          <w:b w:val="0"/>
          <w:i w:val="0"/>
          <w:strike w:val="0"/>
          <w:noProof w:val="0"/>
          <w:color w:val="000000"/>
          <w:position w:val="0"/>
          <w:sz w:val="24"/>
          <w:u w:val="none"/>
          <w:vertAlign w:val="baseline"/>
        </w:rPr>
        <w:t xml:space="preserve"> (the Respondent) on 11 October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BACKGROUND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case was set down for hearing on 25 May 2023 and 26 May 2023. The Company’s representative was absent when the case was called for a hearing.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Court record shows that the Company has been served with the notice of hearing as the AR Card bears a returned acknowledgment from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Since the Company or its representative was absent, the matter has been proceeded by an ex-parte hearing. The hearing was then commenced and completed.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BRIEF FACTS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Claimant joined the Company on 1 September 2017 as a Project Manager, earning a salary of RM6,500 per month on a one-year contract basis.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For the duration of working at the Company, the Claimant’s primary task is to ensure the project assignment by the Company is accomplished according to the contract agreed upon by the Company and the Company’s clients.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After the employment contract expired, the Claimant continued to be paid on a monthly basis salary by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Company paid the EPF contribution for the Claimant and deducted the same from the Claimant’s salary until February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Company failed to pay the Claimant’s salary for 7 months, from March 2021 until October 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Subsequent to that, the Claimant submitted a resignation letter on 11 October 2021 and claimed a constructive dismissal after the Company withholds the Claimant’s salary after seven months of working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LAW OF EX PARTE HEARING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Paragraph s 29(d)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provides that the Court to hear and determine a reference before it notwithstanding the absence of any party to the proceedings on whom has been served a notice or summons to appear.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With regards to the concept of an </w:t>
      </w:r>
      <w:r>
        <w:rPr>
          <w:rFonts w:ascii="arial" w:eastAsia="arial" w:hAnsi="arial" w:cs="arial"/>
          <w:b w:val="0"/>
          <w:i/>
          <w:strike w:val="0"/>
          <w:noProof w:val="0"/>
          <w:color w:val="000000"/>
          <w:position w:val="0"/>
          <w:sz w:val="24"/>
          <w:u w:val="none"/>
          <w:vertAlign w:val="baseline"/>
        </w:rPr>
        <w:t>ex-parte</w:t>
      </w:r>
      <w:r>
        <w:rPr>
          <w:rFonts w:ascii="arial" w:eastAsia="arial" w:hAnsi="arial" w:cs="arial"/>
          <w:b w:val="0"/>
          <w:i w:val="0"/>
          <w:strike w:val="0"/>
          <w:noProof w:val="0"/>
          <w:color w:val="000000"/>
          <w:position w:val="0"/>
          <w:sz w:val="24"/>
          <w:u w:val="none"/>
          <w:vertAlign w:val="baseline"/>
        </w:rPr>
        <w:t xml:space="preserve"> hearing, this Court draws reference to OP Malhotra’s </w:t>
      </w:r>
      <w:r>
        <w:rPr>
          <w:rFonts w:ascii="arial" w:eastAsia="arial" w:hAnsi="arial" w:cs="arial"/>
          <w:b w:val="0"/>
          <w:i/>
          <w:strike w:val="0"/>
          <w:noProof w:val="0"/>
          <w:color w:val="000000"/>
          <w:position w:val="0"/>
          <w:sz w:val="24"/>
          <w:u w:val="none"/>
          <w:vertAlign w:val="baseline"/>
        </w:rPr>
        <w:t>The Law of Industrial Disputes</w:t>
      </w:r>
      <w:r>
        <w:rPr>
          <w:rFonts w:ascii="arial" w:eastAsia="arial" w:hAnsi="arial" w:cs="arial"/>
          <w:b w:val="0"/>
          <w:i w:val="0"/>
          <w:strike w:val="0"/>
          <w:noProof w:val="0"/>
          <w:color w:val="000000"/>
          <w:position w:val="0"/>
          <w:sz w:val="24"/>
          <w:u w:val="none"/>
          <w:vertAlign w:val="baseline"/>
        </w:rPr>
        <w:t>, Vol. 1, 6</w:t>
      </w:r>
      <w:r>
        <w:rPr>
          <w:rFonts w:ascii="arial" w:eastAsia="arial" w:hAnsi="arial" w:cs="arial"/>
          <w:b w:val="0"/>
          <w:i w:val="0"/>
          <w:strike w:val="0"/>
          <w:noProof w:val="0"/>
          <w:color w:val="000000"/>
          <w:position w:val="0"/>
          <w:sz w:val="24"/>
          <w:u w:val="none"/>
          <w:vertAlign w:val="superscript"/>
        </w:rPr>
        <w:t>th</w:t>
      </w:r>
      <w:r>
        <w:rPr>
          <w:rFonts w:ascii="arial" w:eastAsia="arial" w:hAnsi="arial" w:cs="arial"/>
          <w:b w:val="0"/>
          <w:i w:val="0"/>
          <w:strike w:val="0"/>
          <w:noProof w:val="0"/>
          <w:color w:val="000000"/>
          <w:position w:val="0"/>
          <w:sz w:val="24"/>
          <w:u w:val="none"/>
          <w:vertAlign w:val="baseline"/>
        </w:rPr>
        <w:t xml:space="preserve"> Edition at page 1063 which states that: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if any party, without sufficient cause, defaults and fails to appear at any stage of adjudication before the tribunal, the tribunal may proceed with the reference ex parte and decide the reference or any application in the absence of the defaulting party</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It goes on to state on the same page:</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rule empowering the tribunal to proceed ex parte if a party is absent and sufficient cause is not shown for his absence, would not enable it either to do away with the inquiry or to straightway pass an award without giving a finding on the merits of the dispute. In other words, the absence of a party does not entail the consequence that an award will straightway be made against him</w:t>
      </w:r>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strike w:val="0"/>
          <w:noProof w:val="0"/>
          <w:color w:val="000000"/>
          <w:position w:val="0"/>
          <w:sz w:val="18"/>
          <w:u w:val="none"/>
          <w:vertAlign w:val="baseline"/>
        </w:rPr>
        <w:t xml:space="preserve">Dawood Khan v Labour Court  </w:t>
      </w:r>
      <w:r>
        <w:rPr>
          <w:rFonts w:ascii="arial" w:eastAsia="arial" w:hAnsi="arial" w:cs="arial"/>
          <w:b w:val="0"/>
          <w:i w:val="0"/>
          <w:strike w:val="0"/>
          <w:noProof w:val="0"/>
          <w:color w:val="000000"/>
          <w:position w:val="0"/>
          <w:sz w:val="18"/>
          <w:u w:val="none"/>
          <w:vertAlign w:val="baseline"/>
        </w:rPr>
        <w:t>[1969] 2 LLJ 611 (AP)</w:t>
      </w:r>
      <w:r>
        <w:rPr>
          <w:rFonts w:ascii="arial" w:eastAsia="arial" w:hAnsi="arial" w:cs="arial"/>
          <w:b w:val="0"/>
          <w:i/>
          <w:strike w:val="0"/>
          <w:noProof w:val="0"/>
          <w:color w:val="000000"/>
          <w:position w:val="0"/>
          <w:sz w:val="18"/>
          <w:u w:val="none"/>
          <w:vertAlign w:val="baseline"/>
        </w:rPr>
        <w:t>, per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Chinnappa Reddi J; Radhey Sham v Presiding Officer, Labour Court, Haryana, Rohtak  </w:t>
      </w:r>
      <w:r>
        <w:rPr>
          <w:rFonts w:ascii="arial" w:eastAsia="arial" w:hAnsi="arial" w:cs="arial"/>
          <w:b w:val="0"/>
          <w:i w:val="0"/>
          <w:strike w:val="0"/>
          <w:noProof w:val="0"/>
          <w:color w:val="000000"/>
          <w:position w:val="0"/>
          <w:sz w:val="18"/>
          <w:u w:val="none"/>
          <w:vertAlign w:val="baseline"/>
        </w:rPr>
        <w:t>1981 Lab 1C (NOC) 118 (P&amp;H)</w:t>
      </w:r>
      <w:r>
        <w:rPr>
          <w:rFonts w:ascii="arial" w:eastAsia="arial" w:hAnsi="arial" w:cs="arial"/>
          <w:b w:val="0"/>
          <w:i/>
          <w:strike w:val="0"/>
          <w:noProof w:val="0"/>
          <w:color w:val="000000"/>
          <w:position w:val="0"/>
          <w:sz w:val="18"/>
          <w:u w:val="none"/>
          <w:vertAlign w:val="baseline"/>
        </w:rPr>
        <w:t>, per M R Sharma J;</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Misak Pen Manufacturing Co-operative v M A Malik  </w:t>
      </w:r>
      <w:r>
        <w:rPr>
          <w:rFonts w:ascii="arial" w:eastAsia="arial" w:hAnsi="arial" w:cs="arial"/>
          <w:b w:val="0"/>
          <w:i w:val="0"/>
          <w:strike w:val="0"/>
          <w:noProof w:val="0"/>
          <w:color w:val="000000"/>
          <w:position w:val="0"/>
          <w:sz w:val="18"/>
          <w:u w:val="none"/>
          <w:vertAlign w:val="baseline"/>
        </w:rPr>
        <w:t>1988 Lab IC 1595, 1597 (AP)</w:t>
      </w:r>
      <w:r>
        <w:rPr>
          <w:rFonts w:ascii="arial" w:eastAsia="arial" w:hAnsi="arial" w:cs="arial"/>
          <w:b w:val="0"/>
          <w:i/>
          <w:strike w:val="0"/>
          <w:noProof w:val="0"/>
          <w:color w:val="000000"/>
          <w:position w:val="0"/>
          <w:sz w:val="18"/>
          <w:u w:val="none"/>
          <w:vertAlign w:val="baseline"/>
        </w:rPr>
        <w:t>, per P A Choudary J]</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It continues on p 1064:</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expression ‘ex parte’ only means in the absence of the other party but the absence of such party shall not hinder or affect the progress of the proceedings. It creates a fiction which enables the tribunal to presume that all the parties are present before it although, in fact, it is not true, and thus make an ex parte award.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Hence, an adjudicator may imagine that the absentee is present, and having done so, he may give full effect to his imagination and carry it to its logical conclusion. It has to bear in mind the purpose for which the fiction is created and has to give effect to them. Obviously, the intention.... is to enable the tribunal to imagine that a person is present, he is unwilling to adduce evidence or argue his case. The adjudicator then has of necessity to pass an order on the basis of the evidence placed before it by the party that, in fact, participated in the proceedings. That is the object of the fiction</w:t>
      </w:r>
      <w:r>
        <w:rPr>
          <w:rFonts w:ascii="arial" w:eastAsia="arial" w:hAnsi="arial" w:cs="arial"/>
          <w:b w:val="0"/>
          <w:i w:val="0"/>
          <w:strike w:val="0"/>
          <w:noProof w:val="0"/>
          <w:color w:val="000000"/>
          <w:position w:val="0"/>
          <w:sz w:val="18"/>
          <w:u w:val="none"/>
          <w:vertAlign w:val="baseline"/>
        </w:rPr>
        <w:t xml:space="preserve"> ...</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Industrial Court’s role is clearly explained in case of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 [1995] 3 MLJ 537; [1995] 4 CLJ 449 where Federal Court held at p 445; [</w:t>
      </w:r>
      <w:r>
        <w:rPr>
          <w:rFonts w:ascii="arial" w:eastAsia="arial" w:hAnsi="arial" w:cs="arial"/>
          <w:b w:val="0"/>
          <w:i/>
          <w:strike w:val="0"/>
          <w:noProof w:val="0"/>
          <w:color w:val="000000"/>
          <w:position w:val="0"/>
          <w:sz w:val="24"/>
          <w:u w:val="none"/>
          <w:vertAlign w:val="baseline"/>
        </w:rPr>
        <w:t>Milan Auto</w:t>
      </w:r>
      <w:r>
        <w:rPr>
          <w:rFonts w:ascii="arial" w:eastAsia="arial" w:hAnsi="arial" w:cs="arial"/>
          <w:b w:val="0"/>
          <w:i w:val="0"/>
          <w:strike w:val="0"/>
          <w:noProof w:val="0"/>
          <w:color w:val="000000"/>
          <w:position w:val="0"/>
          <w:sz w:val="24"/>
          <w:u w:val="none"/>
          <w:vertAlign w:val="baseline"/>
        </w:rPr>
        <w: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As pointed out by this court recently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Yuen Hock v Hong Leong Assurance Sdn Bhd </w:t>
      </w:r>
      <w:r>
        <w:rPr>
          <w:rFonts w:ascii="arial" w:eastAsia="arial" w:hAnsi="arial" w:cs="arial"/>
          <w:b w:val="0"/>
          <w:i w:val="0"/>
          <w:strike w:val="0"/>
          <w:noProof w:val="0"/>
          <w:color w:val="000000"/>
          <w:position w:val="0"/>
          <w:sz w:val="18"/>
          <w:u w:val="none"/>
          <w:vertAlign w:val="baseline"/>
        </w:rPr>
        <w:t xml:space="preserve"> [1995] 2 MLJ 753; [1995] 3 CLJ 344</w:t>
      </w:r>
      <w:r>
        <w:rPr>
          <w:rFonts w:ascii="arial" w:eastAsia="arial" w:hAnsi="arial" w:cs="arial"/>
          <w:b w:val="0"/>
          <w:i/>
          <w:strike w:val="0"/>
          <w:noProof w:val="0"/>
          <w:color w:val="000000"/>
          <w:position w:val="0"/>
          <w:sz w:val="18"/>
          <w:u w:val="none"/>
          <w:vertAlign w:val="baseline"/>
        </w:rPr>
        <w:t>, the function of the Industrial Court in dismissal cases on a reference under</w:t>
      </w:r>
      <w:r>
        <w:rPr>
          <w:rFonts w:ascii="arial" w:eastAsia="arial" w:hAnsi="arial" w:cs="arial"/>
          <w:b w:val="0"/>
          <w:i w:val="0"/>
          <w:strike w:val="0"/>
          <w:noProof w:val="0"/>
          <w:color w:val="000000"/>
          <w:position w:val="0"/>
          <w:sz w:val="18"/>
          <w:u w:val="none"/>
          <w:vertAlign w:val="baseline"/>
        </w:rPr>
        <w:t xml:space="preserve"> s 20 </w:t>
      </w:r>
      <w:r>
        <w:rPr>
          <w:rFonts w:ascii="arial" w:eastAsia="arial" w:hAnsi="arial" w:cs="arial"/>
          <w:b w:val="0"/>
          <w:i/>
          <w:strike w:val="0"/>
          <w:noProof w:val="0"/>
          <w:color w:val="000000"/>
          <w:position w:val="0"/>
          <w:sz w:val="18"/>
          <w:u w:val="none"/>
          <w:vertAlign w:val="baseline"/>
        </w:rPr>
        <w:t>is twofold, firstly to determine whether the misconduct complained of by the employer has been established and secondly whether the proven constitutes just cause or excuse for the dismissal.</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STANDARD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The Claimant claims a constructive dismissal. This court seeks reference from the case of </w:t>
      </w:r>
      <w:r>
        <w:rPr>
          <w:rFonts w:ascii="arial" w:eastAsia="arial" w:hAnsi="arial" w:cs="arial"/>
          <w:b w:val="0"/>
          <w:i/>
          <w:strike w:val="0"/>
          <w:noProof w:val="0"/>
          <w:color w:val="000000"/>
          <w:position w:val="0"/>
          <w:sz w:val="24"/>
          <w:u w:val="none"/>
          <w:vertAlign w:val="baseline"/>
        </w:rPr>
        <w:t xml:space="preserve">Hong Leong Bank Bhd v Phung Tze Thiam John Phung </w:t>
      </w:r>
      <w:r>
        <w:rPr>
          <w:rFonts w:ascii="arial" w:eastAsia="arial" w:hAnsi="arial" w:cs="arial"/>
          <w:b w:val="0"/>
          <w:i w:val="0"/>
          <w:strike w:val="0"/>
          <w:noProof w:val="0"/>
          <w:color w:val="000000"/>
          <w:position w:val="0"/>
          <w:sz w:val="24"/>
          <w:u w:val="none"/>
          <w:vertAlign w:val="baseline"/>
        </w:rPr>
        <w:t xml:space="preserve"> [2008] 2 MLJ 785; [2008] 1 LNS 921, which the Court Of Appeal decides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that the word constructive dismissal has no magic in the phase. The test for constructive dismissal is where the conduct of the employer amounts to a breach of a fundamental term of the contract of employment or whether he has evinced an intention no longer to be bound by the contract of employment. The court said: In considering whether there was a constructive dismissal, the consideration was not whether there was any domestic inquiry but whether the employer was guilty of a breach of the contract of service going to the root of the contract or whether he had envinced an intention to no longer be bound by the contract.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Further, in the case of </w:t>
      </w:r>
      <w:r>
        <w:rPr>
          <w:rFonts w:ascii="arial" w:eastAsia="arial" w:hAnsi="arial" w:cs="arial"/>
          <w:b w:val="0"/>
          <w:i/>
          <w:strike w:val="0"/>
          <w:noProof w:val="0"/>
          <w:color w:val="000000"/>
          <w:position w:val="0"/>
          <w:sz w:val="24"/>
          <w:u w:val="none"/>
          <w:vertAlign w:val="baseline"/>
        </w:rPr>
        <w:t xml:space="preserve">Alan Thomas Bohlsen v Draftworldwide Sdn Bhd </w:t>
      </w:r>
      <w:r>
        <w:rPr>
          <w:rFonts w:ascii="arial" w:eastAsia="arial" w:hAnsi="arial" w:cs="arial"/>
          <w:b w:val="0"/>
          <w:i w:val="0"/>
          <w:strike w:val="0"/>
          <w:noProof w:val="0"/>
          <w:color w:val="000000"/>
          <w:position w:val="0"/>
          <w:sz w:val="24"/>
          <w:u w:val="none"/>
          <w:vertAlign w:val="baseline"/>
        </w:rPr>
        <w:t xml:space="preserve"> [2009] 8 MLJ 461; [2009] 1 LNS 550, High Court Judge, YA Abdul Malik Ishak decided that: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Only in those cases where the employer’s conduct amounts to a significant breach, going to the root of the contract, would the employee be entitled to resign and claim for constructive dismissal. Only when the employer’s wrongful conduct is serious, amounting to a fundamental breach of the contract where a reasonable person would be able to conclude that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Safwan Zaid Mohammed Al Othmani lwn My Milk Manufacturing And Distribution Sdn Bhd </w:t>
      </w:r>
      <w:r>
        <w:rPr>
          <w:rFonts w:ascii="arial" w:eastAsia="arial" w:hAnsi="arial" w:cs="arial"/>
          <w:b w:val="0"/>
          <w:i w:val="0"/>
          <w:strike w:val="0"/>
          <w:noProof w:val="0"/>
          <w:color w:val="000000"/>
          <w:position w:val="0"/>
          <w:sz w:val="18"/>
          <w:u w:val="none"/>
          <w:vertAlign w:val="baseline"/>
        </w:rPr>
        <w:t xml:space="preserve">[2022] 2 LNS 2422 (Award No 2422 of 2022) </w:t>
      </w:r>
      <w:r>
        <w:rPr>
          <w:rFonts w:ascii="arial" w:eastAsia="arial" w:hAnsi="arial" w:cs="arial"/>
          <w:b w:val="0"/>
          <w:i/>
          <w:strike w:val="0"/>
          <w:noProof w:val="0"/>
          <w:color w:val="000000"/>
          <w:position w:val="0"/>
          <w:sz w:val="18"/>
          <w:u w:val="none"/>
          <w:vertAlign w:val="baseline"/>
        </w:rPr>
        <w:t>employer had envinced an intention not to be bound by the contract, would the employee be entitled to consider himself as constructive dismissed. Only the actual conduct of the employer and not the perception of the employer’s conduct by the employee that can support a case of constructive dismissal.</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In the case of constructive dismissal, the burden of proof depends on the employee to prove that she has been dismissed constructively and this has been decided in the case of </w:t>
      </w:r>
      <w:r>
        <w:rPr>
          <w:rFonts w:ascii="arial" w:eastAsia="arial" w:hAnsi="arial" w:cs="arial"/>
          <w:b w:val="0"/>
          <w:i/>
          <w:strike w:val="0"/>
          <w:noProof w:val="0"/>
          <w:color w:val="000000"/>
          <w:position w:val="0"/>
          <w:sz w:val="24"/>
          <w:u w:val="none"/>
          <w:vertAlign w:val="baseline"/>
        </w:rPr>
        <w:t xml:space="preserve">Selangor Medical Centre v Zainal Abidin Md Tamami </w:t>
      </w:r>
      <w:r>
        <w:rPr>
          <w:rFonts w:ascii="arial" w:eastAsia="arial" w:hAnsi="arial" w:cs="arial"/>
          <w:b w:val="0"/>
          <w:i w:val="0"/>
          <w:strike w:val="0"/>
          <w:noProof w:val="0"/>
          <w:color w:val="000000"/>
          <w:position w:val="0"/>
          <w:sz w:val="24"/>
          <w:u w:val="none"/>
          <w:vertAlign w:val="baseline"/>
        </w:rPr>
        <w:t>[2002] 2 ILR 527 (Award No 431 of 2002).</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Chief Justice Tun Salleh Abbas, in the case of </w:t>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 xml:space="preserve">[1988] 1 MLJ 92; [1988] 1 CLJ Rep 298; [1988] 1 MLRA 346 , has clarified the duty of the Industrial Court for the cases referred under s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as below:</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Moreover, YA Gopal Sri Ram, HMR in the case of </w:t>
      </w:r>
      <w:r>
        <w:rPr>
          <w:rFonts w:ascii="arial" w:eastAsia="arial" w:hAnsi="arial" w:cs="arial"/>
          <w:b w:val="0"/>
          <w:i/>
          <w:strike w:val="0"/>
          <w:noProof w:val="0"/>
          <w:color w:val="000000"/>
          <w:position w:val="0"/>
          <w:sz w:val="24"/>
          <w:u w:val="none"/>
          <w:vertAlign w:val="baseline"/>
        </w:rPr>
        <w:t xml:space="preserve">Quah Swee Khoon v Sime Darby Bhd </w:t>
      </w:r>
      <w:r>
        <w:rPr>
          <w:rFonts w:ascii="arial" w:eastAsia="arial" w:hAnsi="arial" w:cs="arial"/>
          <w:b w:val="0"/>
          <w:i w:val="0"/>
          <w:strike w:val="0"/>
          <w:noProof w:val="0"/>
          <w:color w:val="000000"/>
          <w:position w:val="0"/>
          <w:sz w:val="24"/>
          <w:u w:val="none"/>
          <w:vertAlign w:val="baseline"/>
        </w:rPr>
        <w:t xml:space="preserve"> [2000] 2 MLJ 600; [2001] 1 CLJ 9, decided that the function of </w:t>
      </w:r>
      <w:r>
        <w:rPr>
          <w:rFonts w:ascii="arial" w:eastAsia="arial" w:hAnsi="arial" w:cs="arial"/>
          <w:b w:val="0"/>
          <w:i/>
          <w:strike w:val="0"/>
          <w:noProof w:val="0"/>
          <w:color w:val="000000"/>
          <w:position w:val="0"/>
          <w:sz w:val="24"/>
          <w:u w:val="none"/>
          <w:vertAlign w:val="baseline"/>
        </w:rPr>
        <w:t>The Industrial Court</w:t>
      </w:r>
      <w:r>
        <w:rPr>
          <w:rFonts w:ascii="arial" w:eastAsia="arial" w:hAnsi="arial" w:cs="arial"/>
          <w:b w:val="0"/>
          <w:i w:val="0"/>
          <w:strike w:val="0"/>
          <w:noProof w:val="0"/>
          <w:color w:val="000000"/>
          <w:position w:val="0"/>
          <w:sz w:val="24"/>
          <w:u w:val="none"/>
          <w:vertAlign w:val="baseline"/>
        </w:rPr>
        <w:t xml:space="preserve"> same as in deciding the cases of employee claim for constructive dismissal:</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task is no different where a case of constructive dismissal is alleged. The Industrial Court must in such a case also determine firstly whether there was a dismissal. And secondly, whether that dismissal was with just cause or excuse. That is the statutory formula employed by</w:t>
      </w:r>
      <w:r>
        <w:rPr>
          <w:rFonts w:ascii="arial" w:eastAsia="arial" w:hAnsi="arial" w:cs="arial"/>
          <w:b w:val="0"/>
          <w:i w:val="0"/>
          <w:strike w:val="0"/>
          <w:noProof w:val="0"/>
          <w:color w:val="000000"/>
          <w:position w:val="0"/>
          <w:sz w:val="18"/>
          <w:u w:val="none"/>
          <w:vertAlign w:val="baseline"/>
        </w:rPr>
        <w:t xml:space="preserve"> s 20(1)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BURDEN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This Court’s first duty is to determine whether the Claimant was constructively dismissed. Only after it is decided that there is a dismissal, then this court can consider whether the dismissal was with or without just cause or excuse.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This court is guided by the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MLJ 92; [1988] 1 CLJ Rep 298, it was held that with regards to a reference under s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Industrial Court ought to have first determined whether there was a dismissal or otherwise, </w:t>
      </w:r>
      <w:r>
        <w:rPr>
          <w:rFonts w:ascii="arial" w:eastAsia="arial" w:hAnsi="arial" w:cs="arial"/>
          <w:b w:val="0"/>
          <w:i/>
          <w:strike w:val="0"/>
          <w:noProof w:val="0"/>
          <w:color w:val="000000"/>
          <w:position w:val="0"/>
          <w:sz w:val="24"/>
          <w:u w:val="none"/>
          <w:vertAlign w:val="baseline"/>
        </w:rPr>
        <w:t>‘...when the Industrial Court is dealing with a reference under</w:t>
      </w:r>
      <w:r>
        <w:rPr>
          <w:rFonts w:ascii="arial" w:eastAsia="arial" w:hAnsi="arial" w:cs="arial"/>
          <w:b w:val="0"/>
          <w:i w:val="0"/>
          <w:strike w:val="0"/>
          <w:noProof w:val="0"/>
          <w:color w:val="000000"/>
          <w:position w:val="0"/>
          <w:sz w:val="24"/>
          <w:u w:val="none"/>
          <w:vertAlign w:val="baseline"/>
        </w:rPr>
        <w:t xml:space="preserve"> s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the first thing that the Court will have to do is to ask itself a question whether there was a dismissal ...’</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 term “constructive dismissal” is outlined by the English Court of Appeal in  </w:t>
      </w:r>
      <w:r>
        <w:rPr>
          <w:rFonts w:ascii="arial" w:eastAsia="arial" w:hAnsi="arial" w:cs="arial"/>
          <w:b w:val="0"/>
          <w:i/>
          <w:strike w:val="0"/>
          <w:noProof w:val="0"/>
          <w:color w:val="000000"/>
          <w:position w:val="0"/>
          <w:sz w:val="24"/>
          <w:u w:val="none"/>
          <w:vertAlign w:val="baseline"/>
        </w:rPr>
        <w:t xml:space="preserve">Western Excavating (EEC) Ltd v Sharp </w:t>
      </w:r>
      <w:r>
        <w:rPr>
          <w:rFonts w:ascii="arial" w:eastAsia="arial" w:hAnsi="arial" w:cs="arial"/>
          <w:b w:val="0"/>
          <w:i w:val="0"/>
          <w:strike w:val="0"/>
          <w:noProof w:val="0"/>
          <w:color w:val="000000"/>
          <w:position w:val="0"/>
          <w:sz w:val="24"/>
          <w:u w:val="none"/>
          <w:vertAlign w:val="baseline"/>
        </w:rPr>
        <w:t>[1978] 1 All ER 713; [1978] 1 ICR 221 where Lord Denning MR held that the appropriate test to apply was the “Contract test” and enunciated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If the employer is guilty of conduct which is a significant breach going to the root of the contract of employment, or which shows that the employer no longer intends to be bound by one or more of the essential terms of the contract, then the employee is entitled to treat himself as discharged from any further performance. If he does so, then he terminates the contract by reason of the employer’s conduct. He is constructively dismissed. The employee is entitled in those circumstances to leave at the instant without giving any notice at all or, alternatively, he may give notice and say that he is leaving at the end of the notice. But the conduct must in either case be sufficiently serious to entitle him to leave at once. Moreover, he must make up his mind soon after the conduct of which he complains, for if he continues for any length of time without leaving, he will lose his right to treat himself as discharged. He will be regarded as having elected to affirm the contract.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referred decision of </w:t>
      </w:r>
      <w:r>
        <w:rPr>
          <w:rFonts w:ascii="arial" w:eastAsia="arial" w:hAnsi="arial" w:cs="arial"/>
          <w:b w:val="0"/>
          <w:i/>
          <w:strike w:val="0"/>
          <w:noProof w:val="0"/>
          <w:color w:val="000000"/>
          <w:position w:val="0"/>
          <w:sz w:val="24"/>
          <w:u w:val="none"/>
          <w:vertAlign w:val="baseline"/>
        </w:rPr>
        <w:t>Western Excavating</w:t>
      </w:r>
      <w:r>
        <w:rPr>
          <w:rFonts w:ascii="arial" w:eastAsia="arial" w:hAnsi="arial" w:cs="arial"/>
          <w:b w:val="0"/>
          <w:i w:val="0"/>
          <w:strike w:val="0"/>
          <w:noProof w:val="0"/>
          <w:color w:val="000000"/>
          <w:position w:val="0"/>
          <w:sz w:val="24"/>
          <w:u w:val="none"/>
          <w:vertAlign w:val="baseline"/>
        </w:rPr>
        <w:t xml:space="preserve"> was followed by the Supreme Court in </w:t>
      </w:r>
      <w:r>
        <w:rPr>
          <w:rFonts w:ascii="arial" w:eastAsia="arial" w:hAnsi="arial" w:cs="arial"/>
          <w:b w:val="0"/>
          <w:i/>
          <w:strike w:val="0"/>
          <w:noProof w:val="0"/>
          <w:color w:val="000000"/>
          <w:position w:val="0"/>
          <w:sz w:val="24"/>
          <w:u w:val="none"/>
          <w:vertAlign w:val="baseline"/>
        </w:rPr>
        <w:t>Wong Chee Hong v Cathay Organisation (M) Sdn Bhd</w:t>
      </w:r>
      <w:r>
        <w:rPr>
          <w:rFonts w:ascii="arial" w:eastAsia="arial" w:hAnsi="arial" w:cs="arial"/>
          <w:b w:val="0"/>
          <w:i w:val="0"/>
          <w:strike w:val="0"/>
          <w:noProof w:val="0"/>
          <w:color w:val="000000"/>
          <w:position w:val="0"/>
          <w:sz w:val="24"/>
          <w:u w:val="none"/>
          <w:vertAlign w:val="baseline"/>
        </w:rPr>
        <w:t xml:space="preserve"> (supra), where Salleh Abas LP enunciated that,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common law has always recognized the right of an employee to terminate his contract of service and therefore to consider himself as discharged from further obligations if the employer is guilty of such breach as affects the foundation of the contract or if the employer has evinced or shown an intention not to be bound by it any longer. Thus it is clear that even in England, “constructive dismissal” does not mean that an employee can automatically terminate the contract when his employer acts or behaves unreasonably towards him. 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 Dismissal without just cause or excuse may well be similar in concepts to the UK legislation on unfair dismissal, but these two are not exactly identical.</w:t>
      </w:r>
      <w:r>
        <w:rPr>
          <w:rFonts w:ascii="arial" w:eastAsia="arial" w:hAnsi="arial" w:cs="arial"/>
          <w:b w:val="0"/>
          <w:i w:val="0"/>
          <w:strike w:val="0"/>
          <w:noProof w:val="0"/>
          <w:color w:val="000000"/>
          <w:position w:val="0"/>
          <w:sz w:val="18"/>
          <w:u w:val="none"/>
          <w:vertAlign w:val="baseline"/>
        </w:rPr>
        <w:t xml:space="preserve"> Section 20 of our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is entirely different from para (c) of s 55(2) of the UK Protection of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1978. Therefore we cannot see how the test of unreasonableness which is the basis of the much advocated concept of constructive dismissal by a certain school of thought in UK Should be introduced as an aid to the interpretation of the word “dismissal” in our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We think that the word “dismissal” in this section should be interpreted with reference to the common law principle. Thus it would be a dismissal if an employer is guilty of a breach which goes to the root of the contract, the Claimant is entitled to regard the contract as terminated and himself as being dismissed.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Therefore, in order for the Claimant to succeed in a claim of constructive dismissal, the Claimant must be able to prove that the Company had committed a fundamental breach of employment that goes to the root of the contract. The principle that guided this court is the case of </w:t>
      </w:r>
      <w:r>
        <w:rPr>
          <w:rFonts w:ascii="arial" w:eastAsia="arial" w:hAnsi="arial" w:cs="arial"/>
          <w:b w:val="0"/>
          <w:i/>
          <w:strike w:val="0"/>
          <w:noProof w:val="0"/>
          <w:color w:val="000000"/>
          <w:position w:val="0"/>
          <w:sz w:val="24"/>
          <w:u w:val="none"/>
          <w:vertAlign w:val="baseline"/>
        </w:rPr>
        <w:t xml:space="preserve">Anwar Abdul Rahim v Bayer (M) Sdn Bhd  </w:t>
      </w:r>
      <w:r>
        <w:rPr>
          <w:rFonts w:ascii="arial" w:eastAsia="arial" w:hAnsi="arial" w:cs="arial"/>
          <w:b w:val="0"/>
          <w:i w:val="0"/>
          <w:strike w:val="0"/>
          <w:noProof w:val="0"/>
          <w:color w:val="000000"/>
          <w:position w:val="0"/>
          <w:sz w:val="24"/>
          <w:u w:val="none"/>
          <w:vertAlign w:val="baseline"/>
        </w:rPr>
        <w:t xml:space="preserve"> [1998] 2 MLJ 599; [1998] 2 CLJ 197, Mahadev Shanker J (as his Lordship then was) held. His Lordship ruled a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has been repeatedly held by our courts that the proper approach in deciding whether constructive dismissal has taken place is not to ask oneself whether the employer’s conduct was unfair or unreasonable (the unreasonableness test) but whether “the conduct of the employer was such that the employer was guilty of a breach going to the root of the contract or whether he has evinced an intention no longer to be bound by the contract".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Holiday Inn Kuching v Elizabeh Lee Chai Siok  </w:t>
      </w:r>
      <w:r>
        <w:rPr>
          <w:rFonts w:ascii="arial" w:eastAsia="arial" w:hAnsi="arial" w:cs="arial"/>
          <w:b w:val="0"/>
          <w:i w:val="0"/>
          <w:strike w:val="0"/>
          <w:noProof w:val="0"/>
          <w:color w:val="000000"/>
          <w:position w:val="0"/>
          <w:sz w:val="18"/>
          <w:u w:val="none"/>
          <w:vertAlign w:val="baseline"/>
        </w:rPr>
        <w:t xml:space="preserve"> [1992] 1 MLJ 230; [1992] 2 CLJ Rep 521; ; [1992] 1 CLJ 141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Chee Hong v Cathay Organization (M) Sdn Bhd </w:t>
      </w:r>
      <w:r>
        <w:rPr>
          <w:rFonts w:ascii="arial" w:eastAsia="arial" w:hAnsi="arial" w:cs="arial"/>
          <w:b w:val="0"/>
          <w:i w:val="0"/>
          <w:strike w:val="0"/>
          <w:noProof w:val="0"/>
          <w:color w:val="000000"/>
          <w:position w:val="0"/>
          <w:sz w:val="18"/>
          <w:u w:val="none"/>
          <w:vertAlign w:val="baseline"/>
        </w:rPr>
        <w:t xml:space="preserve">[1988] 1 MLJ 92; [1988] 1 CLJ 45 </w:t>
      </w:r>
      <w:r>
        <w:rPr>
          <w:rFonts w:ascii="arial" w:eastAsia="arial" w:hAnsi="arial" w:cs="arial"/>
          <w:b w:val="0"/>
          <w:i/>
          <w:strike w:val="0"/>
          <w:noProof w:val="0"/>
          <w:color w:val="000000"/>
          <w:position w:val="0"/>
          <w:sz w:val="18"/>
          <w:u w:val="none"/>
          <w:vertAlign w:val="baseline"/>
        </w:rPr>
        <w:t xml:space="preserve"> at p 94).</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Finally, the Claimant must prove that it is pertinent to leave the employment immediately because of the alleged breach as a delay in leaving employment would be deemed to be condonation. In case of </w:t>
      </w:r>
      <w:r>
        <w:rPr>
          <w:rFonts w:ascii="arial" w:eastAsia="arial" w:hAnsi="arial" w:cs="arial"/>
          <w:b w:val="0"/>
          <w:i/>
          <w:strike w:val="0"/>
          <w:noProof w:val="0"/>
          <w:color w:val="000000"/>
          <w:position w:val="0"/>
          <w:sz w:val="24"/>
          <w:u w:val="none"/>
          <w:vertAlign w:val="baseline"/>
        </w:rPr>
        <w:t xml:space="preserve">Bayer (M) Sdn Bhd v Anwar bin Abd Rahim </w:t>
      </w:r>
      <w:r>
        <w:rPr>
          <w:rFonts w:ascii="arial" w:eastAsia="arial" w:hAnsi="arial" w:cs="arial"/>
          <w:b w:val="0"/>
          <w:i w:val="0"/>
          <w:strike w:val="0"/>
          <w:noProof w:val="0"/>
          <w:color w:val="000000"/>
          <w:position w:val="0"/>
          <w:sz w:val="24"/>
          <w:u w:val="none"/>
          <w:vertAlign w:val="baseline"/>
        </w:rPr>
        <w:t xml:space="preserve"> [1995] MLJU 558; [1996] 2 CLJ 49 the High Court held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Thus, it is settled law that the test applicable in a constructive dismissal case is “the contract test” and not “the test of reasonableness”. In order to prove dismissal, four conditions must be fulfilled. These conditions are:</w:t>
      </w:r>
    </w:p>
    <w:p>
      <w:pPr>
        <w:keepNext w:val="0"/>
        <w:spacing w:before="200" w:after="0" w:line="240" w:lineRule="atLeast"/>
        <w:ind w:left="76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numPr>
          <w:numId w:val="7"/>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There must be a breach of contract by the employer;</w:t>
      </w:r>
      <w:r>
        <w:rPr>
          <w:rFonts w:ascii="arial" w:eastAsia="arial" w:hAnsi="arial" w:cs="arial"/>
          <w:b w:val="0"/>
          <w:i w:val="0"/>
          <w:strike w:val="0"/>
          <w:noProof w:val="0"/>
          <w:color w:val="000000"/>
          <w:position w:val="0"/>
          <w:sz w:val="18"/>
          <w:u w:val="none"/>
          <w:vertAlign w:val="baseline"/>
        </w:rPr>
        <w:t xml:space="preserve"> </w:t>
      </w:r>
    </w:p>
    <w:p>
      <w:pPr>
        <w:keepNext w:val="0"/>
        <w:numPr>
          <w:numId w:val="8"/>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The breach must be sufficiently important to justify the employee resigning;</w:t>
      </w:r>
      <w:r>
        <w:rPr>
          <w:rFonts w:ascii="arial" w:eastAsia="arial" w:hAnsi="arial" w:cs="arial"/>
          <w:b w:val="0"/>
          <w:i w:val="0"/>
          <w:strike w:val="0"/>
          <w:noProof w:val="0"/>
          <w:color w:val="000000"/>
          <w:position w:val="0"/>
          <w:sz w:val="18"/>
          <w:u w:val="none"/>
          <w:vertAlign w:val="baseline"/>
        </w:rPr>
        <w:t xml:space="preserve"> </w:t>
      </w:r>
    </w:p>
    <w:p>
      <w:pPr>
        <w:keepNext w:val="0"/>
        <w:numPr>
          <w:numId w:val="9"/>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The employee must leave in response to the breach and not for any other unconnected reasons; and</w:t>
      </w:r>
      <w:r>
        <w:rPr>
          <w:rFonts w:ascii="arial" w:eastAsia="arial" w:hAnsi="arial" w:cs="arial"/>
          <w:b w:val="0"/>
          <w:i w:val="0"/>
          <w:strike w:val="0"/>
          <w:noProof w:val="0"/>
          <w:color w:val="000000"/>
          <w:position w:val="0"/>
          <w:sz w:val="18"/>
          <w:u w:val="none"/>
          <w:vertAlign w:val="baseline"/>
        </w:rPr>
        <w:t xml:space="preserve"> </w:t>
      </w:r>
    </w:p>
    <w:p>
      <w:pPr>
        <w:keepNext w:val="0"/>
        <w:numPr>
          <w:numId w:val="1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He must not occasion any undue delay in terminating the contract, otherwise he will be deemed to have waived the breach and agreed to vary the contract. (See Wong Chee Hong v Cathay Organisation, supra).</w:t>
      </w: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If the employee leaves in circumstances where these conditions are not met, he will be held to have resigned and there will be no dismissal within the meaning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Based on the highlighted authorities above, the Claimant must establish that the Company’s conduct amounts to a fundamental employment breach that went to the very root of her contract, or that by such conduct the employer had showed the intention of no longer to be bound by the contract, thereby entitling her/him to claim for constructive dismissal. In so doing, the Claimant has to prove these followings: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by its conduct, has breached a term of his contract of employment or has evinced an intention not to be bound by that employment contract;</w:t>
      </w:r>
      <w:r>
        <w:rPr>
          <w:rFonts w:ascii="arial" w:eastAsia="arial" w:hAnsi="arial" w:cs="arial"/>
          <w:b w:val="0"/>
          <w:i w:val="0"/>
          <w:strike w:val="0"/>
          <w:noProof w:val="0"/>
          <w:color w:val="000000"/>
          <w:position w:val="0"/>
          <w:sz w:val="24"/>
          <w:u w:val="none"/>
          <w:vertAlign w:val="baseline"/>
        </w:rPr>
        <w:t xml:space="preserve"> </w:t>
      </w:r>
    </w:p>
    <w:p>
      <w:pPr>
        <w:keepNext w:val="0"/>
        <w:numPr>
          <w:numId w:val="1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breach must be a fundamental one going to the root or foundation of his employment contract;</w:t>
      </w:r>
      <w:r>
        <w:rPr>
          <w:rFonts w:ascii="arial" w:eastAsia="arial" w:hAnsi="arial" w:cs="arial"/>
          <w:b w:val="0"/>
          <w:i w:val="0"/>
          <w:strike w:val="0"/>
          <w:noProof w:val="0"/>
          <w:color w:val="000000"/>
          <w:position w:val="0"/>
          <w:sz w:val="24"/>
          <w:u w:val="none"/>
          <w:vertAlign w:val="baseline"/>
        </w:rPr>
        <w:t xml:space="preserve"> </w:t>
      </w:r>
    </w:p>
    <w:p>
      <w:pPr>
        <w:keepNext w:val="0"/>
        <w:numPr>
          <w:numId w:val="1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must have left his employment in response to that breach and not for any unconnected reason; and</w:t>
      </w:r>
      <w:r>
        <w:rPr>
          <w:rFonts w:ascii="arial" w:eastAsia="arial" w:hAnsi="arial" w:cs="arial"/>
          <w:b w:val="0"/>
          <w:i w:val="0"/>
          <w:strike w:val="0"/>
          <w:noProof w:val="0"/>
          <w:color w:val="000000"/>
          <w:position w:val="0"/>
          <w:sz w:val="24"/>
          <w:u w:val="none"/>
          <w:vertAlign w:val="baseline"/>
        </w:rPr>
        <w:t xml:space="preserve"> </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must not delay too long in terminating his employment contract in response to the Company’s fundamental breach and if he does delay as such, he may be deemed to have waived that fundamental breach.</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Only after the above prerequisite condition for constructive dismissal has been fulfilled by the Claimant, the evidential burden will shift to the Company to justify the Claimant’s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However it should be noted that if the Claimant failed to prove the above mentioned conditions, she/he will be concluded to have resigned or abandoned her/his employment. Thus, there will be no dismissal within the ambit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EVALUATION AND FINDINGS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The Claimant avers that he commenced his employment with the Company on 1 September 2017 as a Project Manager, earning a salary of RM6,500.00 per month on a one-year contract basis.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The Claimant exhibited a letter of offer dated 1 September 2017 (on pp 2–6 of the CLB) issued by the CEO of the Company and signed by the Claimant confirming the Claimant’s appointment as Project Manager, starting from 1 September 2017 with a salary of RM6,500 per month on a one-year contract basis.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The Claimant testified that for the duration of working at the Company, the Claimant’s primary task is to handle Company’s project </w:t>
      </w:r>
      <w:r>
        <w:rPr>
          <w:rFonts w:ascii="arial" w:eastAsia="arial" w:hAnsi="arial" w:cs="arial"/>
          <w:b w:val="0"/>
          <w:i/>
          <w:strike w:val="0"/>
          <w:noProof w:val="0"/>
          <w:color w:val="000000"/>
          <w:position w:val="0"/>
          <w:sz w:val="24"/>
          <w:u w:val="none"/>
          <w:vertAlign w:val="baseline"/>
        </w:rPr>
        <w:t>(as per para 6 of the Claimant’s witness statement CLW1).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The Claimant claimed that after a one-year contract basis employment contract expired, the Company then continued to employ the Claimant. Then, the Claimant was paid monthly salary as usual. </w:t>
      </w:r>
      <w:r>
        <w:rPr>
          <w:rFonts w:ascii="arial" w:eastAsia="arial" w:hAnsi="arial" w:cs="arial"/>
          <w:b w:val="0"/>
          <w:i/>
          <w:strike w:val="0"/>
          <w:noProof w:val="0"/>
          <w:color w:val="000000"/>
          <w:position w:val="0"/>
          <w:sz w:val="24"/>
          <w:u w:val="none"/>
          <w:vertAlign w:val="baseline"/>
        </w:rPr>
        <w:t>(as per para 10 of the Claimant’s witness statement CLW1).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Claimant supported the assertion that the Claimant’s was employment by producing a pay slip salary for October 2010 on page 7 of CLB and a pay slip salary for February 2021 on p 8 of CLB.</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In addition to that, the Claimant supported the continuation of his employment by producing evidence of the Company’s EPF contribution for the Claimant and deduction from the Claimant’s salary until February 2021 </w:t>
      </w:r>
      <w:r>
        <w:rPr>
          <w:rFonts w:ascii="arial" w:eastAsia="arial" w:hAnsi="arial" w:cs="arial"/>
          <w:b w:val="0"/>
          <w:i/>
          <w:strike w:val="0"/>
          <w:noProof w:val="0"/>
          <w:color w:val="000000"/>
          <w:position w:val="0"/>
          <w:sz w:val="24"/>
          <w:u w:val="none"/>
          <w:vertAlign w:val="baseline"/>
        </w:rPr>
        <w:t>(as per pp 14–15 of the CLB).</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This Court finds that there is no contract of employment from 2018 to February 2021 as being presented by the Claimant to this Court. Nonetheless, this Court agrees that the Claimant’s employment continued as the pay slips and EPF contribution statement supported it.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This Court finds that the Claimant took leave from 15 March 2021 to 25 March 2021 </w:t>
      </w:r>
      <w:r>
        <w:rPr>
          <w:rFonts w:ascii="arial" w:eastAsia="arial" w:hAnsi="arial" w:cs="arial"/>
          <w:b w:val="0"/>
          <w:i/>
          <w:strike w:val="0"/>
          <w:noProof w:val="0"/>
          <w:color w:val="000000"/>
          <w:position w:val="0"/>
          <w:sz w:val="24"/>
          <w:u w:val="none"/>
          <w:vertAlign w:val="baseline"/>
        </w:rPr>
        <w:t>(as per para 14 of the Claimant’s witness statement CLW1).</w:t>
      </w:r>
      <w:r>
        <w:rPr>
          <w:rFonts w:ascii="arial" w:eastAsia="arial" w:hAnsi="arial" w:cs="arial"/>
          <w:b w:val="0"/>
          <w:i w:val="0"/>
          <w:strike w:val="0"/>
          <w:noProof w:val="0"/>
          <w:color w:val="000000"/>
          <w:position w:val="0"/>
          <w:sz w:val="24"/>
          <w:u w:val="none"/>
          <w:vertAlign w:val="baseline"/>
        </w:rPr>
        <w:t xml:space="preserve"> The Claimant further claimed that the Company had employed another person for the same position </w:t>
      </w:r>
      <w:r>
        <w:rPr>
          <w:rFonts w:ascii="arial" w:eastAsia="arial" w:hAnsi="arial" w:cs="arial"/>
          <w:b w:val="0"/>
          <w:i/>
          <w:strike w:val="0"/>
          <w:noProof w:val="0"/>
          <w:color w:val="000000"/>
          <w:position w:val="0"/>
          <w:sz w:val="24"/>
          <w:u w:val="none"/>
          <w:vertAlign w:val="baseline"/>
        </w:rPr>
        <w:t>(as per para 15 of the Claimant’s witness statement CLW1).</w:t>
      </w:r>
      <w:r>
        <w:rPr>
          <w:rFonts w:ascii="arial" w:eastAsia="arial" w:hAnsi="arial" w:cs="arial"/>
          <w:b w:val="0"/>
          <w:i w:val="0"/>
          <w:strike w:val="0"/>
          <w:noProof w:val="0"/>
          <w:color w:val="000000"/>
          <w:position w:val="0"/>
          <w:sz w:val="24"/>
          <w:u w:val="none"/>
          <w:vertAlign w:val="baseline"/>
        </w:rPr>
        <w:t xml:space="preserve"> These facts raised whether the Claimant was still under the Company’s employment.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Claimant continued his averment that the Company did not pay the Claimant’s salary for seven months from March 2021 until October 2021, which led to the Claimant’s resignation on 11 October 2021. As a result, the Claimant claimed constructive dismissal after the Company withheld the Claimant’s salary after seven months of working.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This Court finds no documents to support the averment that the Claimant worked for the Company from March 2021 until October 2021. Further, no communication via letters or emails showed the Claimant had been asking for his salary during the alleged period.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 Claimant testified that he submitted a resignation letter as Bintulu’s Branch Manager on 11 October 2021 and claimed constructive dismissal after the Company withheld the Claimant’s salary after seven months of working.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This Court is unable to be of the same mind with the Claimant’s submission that there are agreed facts by both parties that the Claimant had resigned from his employment since this is an ex-parte hearing.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This Court concludes that the Claimant did not discharge his evidential burden through oral or documentary evidence on the balance of probabilities. The Claimant has failed to prove his case on the balance of probabilities that he was under the Company’s employment from March 2021 until October 2021. For that reason, this Court holds the Claimant’s averment not to be true.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CONCLUSION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Based on the totality of evidence adduced and having perused the written submissions and bearing in mind sub-s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which is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according to equity, good conscience, and the substantial merits of the case. Without having regards to technicalities and legal form, the Court is of the opinion that the Claimant had failed or unsuccessful discharging its burden in proving that the Claimant was constructively dismissed on a balance of probabilities. Therefore, the Claimant’s case is hereby dismissed.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Claim dismissed.</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Addibah Adnan</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Rozi bin Tokiran v Falcon Maintenance &amp; Training Sdn Bhd [2024] 1 ILJ 220</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4"/>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Rozi bin Tokiran v Falcon Maintenance &amp; Training Sdn Bhd [2024] 1 ILJ 220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5C-7DY3-MCSP-M3TH-00000-00">
    <vt:lpwstr>Doc::/shared/document|contextualFeaturePermID::1522468</vt:lpwstr>
  </property>
  <property fmtid="{D5CDD505-2E9C-101B-9397-08002B2CF9AE}" pid="4" name="LNDeliveryID">
    <vt:lpwstr>283274945</vt:lpwstr>
  </property>
  <property fmtid="{D5CDD505-2E9C-101B-9397-08002B2CF9AE}" pid="5" name="UserPermID">
    <vt:lpwstr>urn:user:PA196491919</vt:lpwstr>
  </property>
</Properties>
</file>