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/>
        </w:sectPr>
      </w:pPr>
    </w:p>
    <w:p>
      <w:pPr>
        <w:keepNext w:val="0"/>
        <w:spacing w:after="0" w:line="340" w:lineRule="atLeast"/>
        <w:ind w:left="0" w:right="0"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.75pt">
            <v:imagedata r:id="rId7" o:title=""/>
          </v:shape>
        </w:pict>
      </w:r>
      <w:r>
        <w:t xml:space="preserve">  </w:t>
      </w:r>
      <w:r>
        <w:t>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              SIM SIEW GUAT v CHAMPSURF SDN BHD</w:t>
      </w:r>
    </w:p>
    <w:p>
      <w:pPr>
        <w:spacing w:line="240" w:lineRule="exact"/>
      </w:pPr>
    </w:p>
    <w:p>
      <w:pPr>
        <w:keepNext w:val="0"/>
        <w:spacing w:after="0" w:line="240" w:lineRule="atLeast"/>
        <w:ind w:right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BE161D"/>
          <w:position w:val="0"/>
          <w:sz w:val="24"/>
          <w:u w:val="none"/>
          <w:vertAlign w:val="baseline"/>
        </w:rPr>
        <w:t>CaseAnalysis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D9D9D9"/>
          <w:position w:val="0"/>
          <w:sz w:val="24"/>
          <w:u w:val="none"/>
          <w:vertAlign w:val="baseline"/>
        </w:rPr>
        <w:t>|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[2022] MLJU 1530                                                                  </w:t>
      </w:r>
      <w:r>
        <w:cr/>
      </w:r>
    </w:p>
    <w:p>
      <w:r>
        <w:pict>
          <v:line id="_x0000_s1026" style="position:absolute;z-index:251658240" from="0,2pt" to="512pt,2pt" strokecolor="gray">
            <v:stroke linestyle="single"/>
          </v:line>
        </w:pict>
      </w:r>
    </w:p>
    <w:p>
      <w:pPr>
        <w:pStyle w:val="Heading1"/>
        <w:keepNext w:val="0"/>
        <w:spacing w:before="0" w:after="60" w:line="340" w:lineRule="atLeast"/>
        <w:ind w:left="120" w:right="0" w:firstLine="0"/>
        <w:jc w:val="center"/>
      </w:pPr>
      <w:r>
        <w:br/>
      </w:r>
      <w:r>
        <w:pict>
          <v:shape id="_x0000_i1027" type="#_x0000_t75" style="width:12.75pt;height:12.75pt">
            <v:imagedata r:id="rId7" o:title=""/>
          </v:shape>
        </w:pict>
      </w:r>
      <w:r>
        <w:rPr>
          <w:rFonts w:ascii="arial" w:eastAsia="arial" w:hAnsi="arial" w:cs="arial"/>
          <w:b/>
          <w:i w:val="0"/>
          <w:strike w:val="0"/>
          <w:noProof w:val="0"/>
          <w:color w:val="0077CC"/>
          <w:position w:val="0"/>
          <w:sz w:val="28"/>
          <w:u w:val="none"/>
          <w:vertAlign w:val="baseline"/>
        </w:rPr>
        <w:t xml:space="preserve">               SIM SIEW GUAT v CHAMPSURF SDN BHD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6D6E71"/>
          <w:position w:val="0"/>
          <w:sz w:val="20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[2022] MLJU 1530                                                                  </w:t>
      </w:r>
    </w:p>
    <w:p/>
    <w:p>
      <w:pPr>
        <w:spacing w:line="200" w:lineRule="exact"/>
      </w:pPr>
    </w:p>
    <w:p>
      <w:pPr>
        <w:keepNext w:val="0"/>
        <w:spacing w:after="0" w:line="30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Court: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 MALAYSIA HIGH COURT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AZIZAN MD ARSHAD JC               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Judgment 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25/6/2022               </w:t>
      </w:r>
    </w:p>
    <w:p>
      <w:pPr>
        <w:keepNext/>
        <w:spacing w:before="120" w:after="0" w:line="340" w:lineRule="atLeast"/>
        <w:ind w:left="0" w:right="0" w:firstLine="0"/>
        <w:jc w:val="left"/>
      </w:pPr>
      <w:bookmarkStart w:id="0" w:name="Cases considered by this case"/>
      <w:bookmarkEnd w:id="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Cases considered by this case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7319"/>
        <w:gridCol w:w="3137"/>
      </w:tblGrid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29" type="#_x0000_t75" style="width:12.75pt;height:12.7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MAJLIS UGAMA ISLAM PULAU PINANG DAN SEBERANG PERAI v SHAIK ZOLKAFFILY SHAIKH NATAR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[2003] 4 AMR 501;                               [2003] 3 CLJ 289;                               [2003] 3 MLJ 705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10/7/2003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0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ABDUL RAHIM ABDUL HAMID v PERDANA MERCHANT BANKERS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[2000] 2 MLJ 417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28/2/2000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1" type="#_x0000_t75" style="width:12.75pt;height:12.75pt">
                  <v:imagedata r:id="rId10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BANDAR BUILDER SDN BHD &amp; ORS v UNITED MALAYAN BANKING CORPORATION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[1993] 3 MLJ 36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9/7/1993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MYSC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2" type="#_x0000_t75" style="width:12.75pt;height:12.7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BANK OF CHINA v ASIAWEEK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[1991] 2 MLJ 505;                               [1991] SLR 486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30/1/1991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SGHC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3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CC NG &amp; BROTHERS SDN BHD v GOVERNMENT OF STATE PAHANG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[1985] 1 MLJ 347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13/11/1984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4" type="#_x0000_t75" style="width:12.75pt;height:12.7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MANGGAI v GOVERNMENT OF SARAWAK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[1970] 2 MLJ 41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9/3/1970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5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WILKINSON v BARKING CORPORATION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[1948] 1 KB 721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15/3/1948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EWCACIV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6" type="#_x0000_t75" style="width:12.75pt;height:12.75pt">
                  <v:imagedata r:id="rId10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ACL HOLDINGS (M) SDN. BHD. v LING HOONG HOONG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[2017] 1 LNS 545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7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AND WILLIAMS &amp; HUMBERT v W &amp; H TRADE MARKS</w:t>
            </w:r>
            <w:r>
              <w:br/>
            </w:r>
          </w:p>
          <w:p>
            <w:pPr>
              <w:keepNext w:val="0"/>
              <w:spacing w:after="20" w:line="240" w:lineRule="atLeast"/>
              <w:ind w:left="0" w:right="0" w:firstLine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hyperlink r:id="rId1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noProof w:val="0"/>
                  <w:color w:val="0077CC"/>
                  <w:position w:val="0"/>
                  <w:sz w:val="18"/>
                  <w:u w:val="single"/>
                  <w:shd w:val="clear" w:color="auto" w:fill="FFFFFF"/>
                  <w:vertAlign w:val="baseline"/>
                </w:rPr>
                <w:t>[1986] 1 AC 368</w:t>
              </w:r>
            </w:hyperlink>
            <w:r>
              <w:t xml:space="preserve"> </w:t>
            </w:r>
            <w:r>
              <w:pict>
                <v:shape id="_x0000_i1038" type="#_x0000_t75" style="width:11pt;height:10pt">
                  <v:imagedata r:id="rId12" o:title=""/>
                </v:shape>
              </w:pic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9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BARRACLOUGH v BROWN: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[1897] AC 615;                               [1895-9] All ER Rep 239;                               [1897] 13 TLR 527a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0" type="#_x0000_t75" style="width:12.75pt;height:12.75pt">
                  <v:imagedata r:id="rId10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KAH CHI TSI v APASN1AGA SDN BHD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[2012] 1 ILR 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1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PASMORE v THE OSWALDTWISTLE URBAN DISTRICT COUNCIL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[1898] AC 387;                               189599 All ER Rep 191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</w:t>
            </w:r>
          </w:p>
        </w:tc>
      </w:tr>
    </w:tbl>
    <w:p>
      <w:pPr>
        <w:pBdr>
          <w:left w:val="single" w:sz="8" w:space="2" w:color="DCDCDC"/>
          <w:bottom w:val="single" w:sz="8" w:space="5" w:color="DCDCDC"/>
          <w:right w:val="single" w:sz="8" w:space="2" w:color="DCDCDC"/>
        </w:pBdr>
      </w:pPr>
    </w:p>
    <w:p/>
    <w:p>
      <w:pPr>
        <w:keepNext/>
        <w:spacing w:before="120" w:after="0" w:line="340" w:lineRule="atLeast"/>
        <w:ind w:left="0" w:right="0" w:firstLine="0"/>
        <w:jc w:val="left"/>
      </w:pPr>
      <w:bookmarkStart w:id="1" w:name="Legislation considered by this case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Legislation considered by this case</w:t>
      </w:r>
    </w:p>
    <w:p>
      <w:pPr>
        <w:spacing w:line="60" w:lineRule="exact"/>
      </w:pPr>
      <w:r>
        <w:pict>
          <v:line id="_x0000_s1042" style="position:absolute;z-index:251660288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single" w:sz="8" w:space="0" w:color="BCBEC0"/>
          <w:left w:val="single" w:sz="8" w:space="0" w:color="BCBEC0"/>
          <w:bottom w:val="single" w:sz="8" w:space="0" w:color="BCBEC0"/>
          <w:right w:val="single" w:sz="8" w:space="0" w:color="BCBEC0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6274"/>
        <w:gridCol w:w="4182"/>
      </w:tblGrid>
      <w:tr>
        <w:tblPrEx>
          <w:tblW w:w="5000" w:type="pct"/>
          <w:tblLayout w:type="fixed"/>
        </w:tblPrEx>
        <w:trPr>
          <w:tblHeader/>
        </w:trPr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Legislation Name &amp; Jurisdiction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Provisions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Employment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Act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1955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60J, section 69(1)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Industrial Relations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Act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1967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s. 20(3), s. 20(1), sections 69(1), 60J, section 20(1) a, s. 20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Rules of Court 2012                                                                                                               </w:t>
            </w:r>
          </w:p>
        </w:tc>
        <w:tc>
          <w:tcPr>
            <w:tcW w:w="4096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Order 18 rule 1, O. 33 r. 3</w:t>
            </w:r>
          </w:p>
        </w:tc>
      </w:tr>
    </w:tbl>
    <w:p/>
    <w:p>
      <w:pPr>
        <w:ind w:left="200"/>
      </w:pPr>
      <w:r>
        <w:br/>
      </w:r>
      <w:r>
        <w:pict>
          <v:line id="_x0000_s1043" style="position:absolute;z-index:251661312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/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               SIM SIEW GUAT v CHAMPSURF SDN BHD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hyperlink" Target="https://iclr.co.uk/pubrefLookup/redirectTo?ref=1986+1+AC+368" TargetMode="External" /><Relationship Id="rId12" Type="http://schemas.openxmlformats.org/officeDocument/2006/relationships/image" Target="media/image5.png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 SIEW GUAT v CHAMPSURF SDN BHD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urn:contentItem:602J-7B31-JWXF-20X8-00000-00">
    <vt:lpwstr>Doc::/shared/document|contextualFeaturePermID::1522468</vt:lpwstr>
  </property>
  <property fmtid="{D5CDD505-2E9C-101B-9397-08002B2CF9AE}" pid="4" name="LNDeliveryID">
    <vt:lpwstr>286221661</vt:lpwstr>
  </property>
  <property fmtid="{D5CDD505-2E9C-101B-9397-08002B2CF9AE}" pid="5" name="UserPermID">
    <vt:lpwstr>urn:user:PA196491919</vt:lpwstr>
  </property>
</Properties>
</file>