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4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/>
        </w:sectPr>
      </w:pPr>
    </w:p>
    <w:p>
      <w:pPr>
        <w:keepNext w:val="0"/>
        <w:spacing w:after="0" w:line="340" w:lineRule="atLeast"/>
        <w:ind w:left="0" w:right="0" w:firstLine="0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12.75pt">
            <v:imagedata r:id="rId7" o:title=""/>
          </v:shape>
        </w:pict>
      </w:r>
      <w:r>
        <w:t xml:space="preserve">  </w:t>
      </w:r>
      <w:r>
        <w:t> 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               SING YUNG STEEL SDN BHD v MSIG INSURANCE (M) BHD &amp; ORS</w:t>
      </w:r>
    </w:p>
    <w:p>
      <w:pPr>
        <w:spacing w:line="240" w:lineRule="exact"/>
      </w:pPr>
    </w:p>
    <w:p>
      <w:pPr>
        <w:keepNext w:val="0"/>
        <w:spacing w:after="0" w:line="240" w:lineRule="atLeast"/>
        <w:ind w:right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BE161D"/>
          <w:position w:val="0"/>
          <w:sz w:val="24"/>
          <w:u w:val="none"/>
          <w:vertAlign w:val="baseline"/>
        </w:rPr>
        <w:t>CaseAnalysis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</w:t>
      </w:r>
      <w:r>
        <w:t xml:space="preserve"> </w:t>
      </w:r>
      <w:r>
        <w:t xml:space="preserve">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D9D9D9"/>
          <w:position w:val="0"/>
          <w:sz w:val="24"/>
          <w:u w:val="none"/>
          <w:vertAlign w:val="baseline"/>
        </w:rPr>
        <w:t>|</w:t>
      </w:r>
      <w:r>
        <w:t xml:space="preserve"> </w:t>
      </w:r>
      <w:r>
        <w:t xml:space="preserve"> </w:t>
      </w:r>
      <w:r>
        <w:t xml:space="preserve">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[2025] MLJU 1926                                                                  </w:t>
      </w:r>
      <w:r>
        <w:cr/>
      </w:r>
    </w:p>
    <w:p>
      <w:r>
        <w:pict>
          <v:line id="_x0000_s1026" style="position:absolute;z-index:251658240" from="0,2pt" to="512pt,2pt" strokecolor="gray">
            <v:stroke linestyle="single"/>
          </v:line>
        </w:pict>
      </w:r>
    </w:p>
    <w:p>
      <w:pPr>
        <w:pStyle w:val="Heading1"/>
        <w:keepNext w:val="0"/>
        <w:spacing w:before="0" w:after="60" w:line="340" w:lineRule="atLeast"/>
        <w:ind w:left="120" w:right="0" w:firstLine="0"/>
        <w:jc w:val="center"/>
      </w:pPr>
      <w:r>
        <w:br/>
      </w:r>
      <w:r>
        <w:pict>
          <v:shape id="_x0000_i1027" type="#_x0000_t75" style="width:12.75pt;height:12.75pt">
            <v:imagedata r:id="rId7" o:title=""/>
          </v:shape>
        </w:pict>
      </w:r>
      <w:r>
        <w:rPr>
          <w:rFonts w:ascii="arial" w:eastAsia="arial" w:hAnsi="arial" w:cs="arial"/>
          <w:b/>
          <w:i w:val="0"/>
          <w:strike w:val="0"/>
          <w:noProof w:val="0"/>
          <w:color w:val="0077CC"/>
          <w:position w:val="0"/>
          <w:sz w:val="28"/>
          <w:u w:val="none"/>
          <w:vertAlign w:val="baseline"/>
        </w:rPr>
        <w:t xml:space="preserve">               SING YUNG STEEL SDN BHD v MSIG INSURANCE (M) BHD &amp; ORS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6D6E71"/>
          <w:position w:val="0"/>
          <w:sz w:val="20"/>
          <w:u w:val="none"/>
          <w:vertAlign w:val="baseli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[2025] MLJU 1926                                                                  </w:t>
      </w:r>
    </w:p>
    <w:p/>
    <w:p>
      <w:pPr>
        <w:spacing w:line="200" w:lineRule="exact"/>
      </w:pPr>
    </w:p>
    <w:p>
      <w:pPr>
        <w:keepNext w:val="0"/>
        <w:spacing w:after="0" w:line="30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Court: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 MALAYSIA HIGH COURT</w:t>
      </w:r>
    </w:p>
    <w:p>
      <w:pPr>
        <w:keepNext w:val="0"/>
        <w:spacing w:after="0" w:line="30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Judges: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                   LEONARD DAVID SHIM J               </w:t>
      </w:r>
    </w:p>
    <w:p>
      <w:pPr>
        <w:keepNext w:val="0"/>
        <w:spacing w:after="0" w:line="30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Judgment 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                   4/4/2025               </w:t>
      </w:r>
    </w:p>
    <w:p>
      <w:pPr>
        <w:keepNext/>
        <w:spacing w:before="120" w:after="0" w:line="340" w:lineRule="atLeast"/>
        <w:ind w:left="0" w:right="0" w:firstLine="0"/>
        <w:jc w:val="left"/>
      </w:pPr>
      <w:bookmarkStart w:id="0" w:name="Cases considered by this case"/>
      <w:bookmarkEnd w:id="0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Cases considered by this case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</v:line>
        </w:pict>
      </w:r>
    </w:p>
    <w:p>
      <w:pPr>
        <w:spacing w:line="240" w:lineRule="exact"/>
      </w:pP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>
      <w:tblGrid>
        <w:gridCol w:w="7319"/>
        <w:gridCol w:w="3137"/>
      </w:tblGrid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29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ABDUL RAHMAN BIN SOLTAN &amp; ORS v FELDA LAND DEVELOPMENT AUTHORITY &amp; ANOR AND 2 OTHER APPEALS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[2023] 4 MLJ 318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12/5/2023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MYCA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0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MALAYSIAN MOTOR INSURANCE POOL v TIRUMENIYAR SINGARA VELOO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[2019] 10 CLJ 731;                               [2020] 1 MLJ 440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15/10/2019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MYFC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1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MODIPALM ENGINEERING SDN BHD &amp; ANOR v ALLIANZ GENERAL INSURANCE CO (M) BHD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[2014] 4 MLJ 274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22/12/2013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MYCA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2" type="#_x0000_t75" style="width:14.25pt;height:14.25pt">
                  <v:imagedata r:id="rId8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OVERSEAS ASSURANCE CORPORATION (MALAYSIA) BHD v MSIG INSURANCE (MALAYSIA) BHD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[2011] 2 AMCR 485;                               [2011] 8 CLJ 20;                               [2012] 2 MLJ 249;                               [2011] MLJU 901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16/5/2011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MYCA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3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NG PETER @ NG CHEE KEONG v KURNIA INSURANS (M) BHD (ROBERT MICHAEL FERNANDEZ (FORMERLY T/A HYDROTEC MARINE SERVICES, THIRD PARTY))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[2011] 3 AMR 113;                               [2010] 9 CLJ 885;                               [2010] 5 MLJ 265;                               [2010] MLJU 80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6/1/2010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MYHC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4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BINA PURI SDN BHD v MUI CONTINENTAL INSURANCE BHD (FORMERLY KNOWN AS MUI CONTINENTAL INSURANCE SDN BHD)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[2009] 8 AMR 645;                               [2010] 1 MLJ 347;                               [2009] MLJU 915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9/10/2009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MYHC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5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LEONG KUM WHAY v QBE INSURANCE (M) SDN BHD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[2006] 1 AMR 649;                               [2006] 1 CLJ 1;                               [2006] 1 MLJ 710;                               [2005] MLJU 435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24/11/2005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MYCA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6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AMANAH RAYA BHD v JERNEH INSURANCE BHD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[2005] 4 MLJ 1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8/2/2005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MYCA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7" type="#_x0000_t75" style="width:14.25pt;height:14.25pt">
                  <v:imagedata r:id="rId8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NVJ MENON v THE GREAT EASTERN LIFE ASSURANCE CO LTD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[2004] 4 AMR 164;                               [2004] 3 CLJ 96;                               [2004] 3 MLJ 38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8/10/2002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MYCA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8" type="#_x0000_t75" style="width:14.25pt;height:14.25pt">
                  <v:imagedata r:id="rId8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CAPARO INDUSTRIES PLC v DICKMAN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[1990] 2 AC 605;                               [1990] 8 ACLC 3011;                               [1990] 1 ACSR 636;                               [1990] 1 All ER 568;                               [1990] BCLC 273;                               [1990] 2 WLR 358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8/2/1990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9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THE BENVOI VI” SINDO TIMBER ENTERPRISES (PTE.) LTD. v “THE BENVOI VI”, OWNERS &amp; ORS.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[1987] 2 MLJ 123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18/11/1986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MYCA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40" type="#_x0000_t75" style="width:12.75pt;height:12.75pt">
                  <v:imagedata r:id="rId9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MALAYSIA NATIONAL INSURANCE SDN BHD v ABDUL AZIZ BIN MOHAMED DAUD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[1979] 2 MLJ 29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12/9/1978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MYFC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41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THORNTON v SHOE LANE PARKING LTD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[1971] 1 All ER 686;                               [1971] 1 LLOYD 289;                               [1971] 2 QB 163;                               [1971] 2 WLR 585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18/12/1970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EWCACIV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42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 xml:space="preserve"> v UNION MARINE INSURANCE CO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[1901] AC 362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43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ABD RAHMAN BIN SOLTAN &amp; ORS v FEDERAL LAND DEVELOPMENT AUTHORITY &amp; ANOR AND OTHER APPEALS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[2023] 7 CLJ 705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44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ALISA CRAIG FISHING CO LTD v MALVERN FISHING CO LTD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[1983] 1 All_ER 101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45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AMANAH RAYA BHD v JERNEH INSURANCE BHD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[2005] 2 CLJ 393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46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AXA AFFIN GENERAL INSURANCE BHD v MITSUI SUMITOMO INSURANCE (MALAYSIA) BHD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[2011] 2 CLJ 196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47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BANQUE FINANCIÈRE DE LA CITÉ SA v WESTGATE INSURANCE CO LTD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[1991] 2 AC 249;                               [1990] 2 All ER 947;                               [1990] 6 ANZ Ins Cas 60-987;                               [1990] 3 WLR 364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48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BINA PURI SDN BHD v MUI CONTINENTAL INSURANCE BHD (FORMERLY KNOWN AS MUI CONTINENTAL INSURANCE SDN BHD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[2009] 1 LNS 1032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49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BINA PURI SDN BHD v MUI CONTINENTAL INSURANCE BHD (FORMERLY KNOWN AS MUI CONTINENTAL INSURANCE SDN BHD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[2009] CLJU 1032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50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BORNEO UNITED SAWMILLS SDN BHD v MUI CONTINENTAL INSURANCE BHD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[2009] 8 CLJ 217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51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CANADA RICE MILLS LTD v UNION MARINE AND GENERAL INSURANCE CO LTD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[1940] 4 All_ER 169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52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CAPARO INDUSTRIES PLC v DICKMAN</w:t>
            </w:r>
            <w:r>
              <w:br/>
            </w:r>
          </w:p>
          <w:p>
            <w:pPr>
              <w:keepNext w:val="0"/>
              <w:spacing w:after="20" w:line="240" w:lineRule="atLeast"/>
              <w:ind w:left="0" w:right="0" w:firstLine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hyperlink r:id="rId10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noProof w:val="0"/>
                  <w:color w:val="0077CC"/>
                  <w:position w:val="0"/>
                  <w:sz w:val="18"/>
                  <w:u w:val="single"/>
                  <w:shd w:val="clear" w:color="auto" w:fill="FFFFFF"/>
                  <w:vertAlign w:val="baseline"/>
                </w:rPr>
                <w:t>[1990] AC 605</w:t>
              </w:r>
            </w:hyperlink>
            <w:r>
              <w:t xml:space="preserve"> </w:t>
            </w:r>
            <w:r>
              <w:pict>
                <v:shape id="_x0000_i1053" type="#_x0000_t75" style="width:11pt;height:10pt">
                  <v:imagedata r:id="rId11" o:title=""/>
                </v:shape>
              </w:pic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54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CHONG FUI SHIPPING &amp; FORWARDING SDN BHD v STEEL INDUSTRIES (SABAH) SDN BHD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[2016] CLJU 1128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55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CMS CLINKER SDN BHD v ALLIANZ-GENERAL INSURANCE COMPANY (MALAYSIA) BERHAD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[2014] CLJU 690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56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HOUSE OF LORD CASES OF BRITISH AND FOREIGN MARINE INSURANCE CO v GAUNT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[1921] All_ER 450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57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JAN DE NUL (MALAYSIA) SDN BHD v BERJAYA SOMPO INSURANCE BERHAD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[2019] CLJU 516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58" type="#_x0000_t75" style="width:12.75pt;height:12.75pt">
                  <v:imagedata r:id="rId9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JASON v BRITISH TRADERS’ INSURANCE CO. LTD</w:t>
            </w:r>
            <w:r>
              <w:br/>
            </w:r>
          </w:p>
          <w:p>
            <w:pPr>
              <w:keepNext w:val="0"/>
              <w:spacing w:after="20" w:line="240" w:lineRule="atLeast"/>
              <w:ind w:left="0" w:right="0" w:firstLine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hyperlink r:id="rId12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noProof w:val="0"/>
                  <w:color w:val="0077CC"/>
                  <w:position w:val="0"/>
                  <w:sz w:val="18"/>
                  <w:u w:val="single"/>
                  <w:shd w:val="clear" w:color="auto" w:fill="FFFFFF"/>
                  <w:vertAlign w:val="baseline"/>
                </w:rPr>
                <w:t>[1969] 1 QB 281</w:t>
              </w:r>
            </w:hyperlink>
            <w:r>
              <w:t xml:space="preserve"> </w:t>
            </w:r>
            <w:r>
              <w:pict>
                <v:shape id="_x0000_i1059" type="#_x0000_t75" style="width:11pt;height:10pt">
                  <v:imagedata r:id="rId11" o:title=""/>
                </v:shape>
              </w:pic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60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LAI FEE &amp; ANOR v WONG YU VEE &amp; ORS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[2023] 4 CLJ 1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61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LOK KOK BENG &amp; ANOR v LOH CHIAK EONG &amp; ANOR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[2015] 7 CLJ 1008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62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LOUDEN v BRITISH MERCHANTS’ INSURANCE CO. LTD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[1961] 1 Lloyd’s_Rep 154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63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MALAYSIAN NEWSPRINT INDUSTRIES SDN BHD v PERDANA CIGNA INSURANCE BHD &amp; ORS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[2008] 1 CLJ 246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64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MANI MARAN ATHIGHAREE v PP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[2017] MLRHU 1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65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MARY LIM J (NOW JCA) IN JAKS SDN BHD v MULTI- PURPOSE INSURANS BERHAD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[2017] CLJU 446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66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MARY LIM J (NOW JCA) IN JAKS SDN BHD v MULTI- PURPOSE INSURANS BERHAD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[2017] 1 LNS 446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67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MESSRS J TAN TEOH ASSOCIATES v MSIG INSURANCE (MALAYSIA) BHD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[2023] 2 CLJ 689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68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OREIGN MARINE INSURANCE CO v GAUNT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[1921] All_ER 447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69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PICKUP v THE THAMES AND MERSEY MARINE INSURANCE COMPANY, LIMITED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[1878] 3 QBD 594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70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PROGRESSIVE INSURANCE BHD v MINISTRY OF DEFENCE MALAYSIA &amp; ORS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[2021] CLJU 2072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71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ROYAL INSURANCE GROUP v DAVID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[1975] CLJU 154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72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SARAWAK ELECTRICITY SUPPLY CORPORATION v MS SHIPPING SDN BHD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[2000] 2 CLJ 256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73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SHIVNATH RAI HARNARAIN (INDIA) LTD v THE OWNERS OF THE SHIP OR VESSEL MV “WIN MOONY”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[2004] 1 LNS 444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74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SPM ENERGY SDN BHD &amp; ANOR v MULTI DISCOVERY SDN BHD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[2025] CLJU 410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75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STEEL INDUSTRIES (SABAH) SDN BHD v CHONG FUI SHIPPING AND FORWARDING SDN BHD &amp; ANOR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[2018] 1 LNS 948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76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THORNTON v SHOE LANE PARKING LTD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[1971] 1 All_ER 686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</w:tbl>
    <w:p>
      <w:pPr>
        <w:pBdr>
          <w:left w:val="single" w:sz="8" w:space="2" w:color="DCDCDC"/>
          <w:bottom w:val="single" w:sz="8" w:space="5" w:color="DCDCDC"/>
          <w:right w:val="single" w:sz="8" w:space="2" w:color="DCDCDC"/>
        </w:pBdr>
      </w:pPr>
    </w:p>
    <w:p/>
    <w:p>
      <w:pPr>
        <w:keepNext/>
        <w:spacing w:before="120" w:after="0" w:line="340" w:lineRule="atLeast"/>
        <w:ind w:left="0" w:right="0" w:firstLine="0"/>
        <w:jc w:val="left"/>
      </w:pPr>
      <w:bookmarkStart w:id="1" w:name="Legislation considered by this case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Legislation considered by this case</w:t>
      </w:r>
    </w:p>
    <w:p>
      <w:pPr>
        <w:spacing w:line="60" w:lineRule="exact"/>
      </w:pPr>
      <w:r>
        <w:pict>
          <v:line id="_x0000_s1077" style="position:absolute;z-index:251660288" from="0,2pt" to="512pt,2pt" strokecolor="#009ddb" strokeweight="2pt">
            <v:stroke linestyle="single"/>
          </v:line>
        </w:pict>
      </w:r>
    </w:p>
    <w:p>
      <w:pPr>
        <w:spacing w:line="240" w:lineRule="exact"/>
      </w:pPr>
    </w:p>
    <w:tbl>
      <w:tblPr>
        <w:tblW w:w="5000" w:type="pct"/>
        <w:jc w:val="center"/>
        <w:tblBorders>
          <w:top w:val="single" w:sz="8" w:space="0" w:color="BCBEC0"/>
          <w:left w:val="single" w:sz="8" w:space="0" w:color="BCBEC0"/>
          <w:bottom w:val="single" w:sz="8" w:space="0" w:color="BCBEC0"/>
          <w:right w:val="single" w:sz="8" w:space="0" w:color="BCBEC0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>
      <w:tblGrid>
        <w:gridCol w:w="6274"/>
        <w:gridCol w:w="4182"/>
      </w:tblGrid>
      <w:tr>
        <w:tblPrEx>
          <w:tblW w:w="5000" w:type="pct"/>
          <w:tblLayout w:type="fixed"/>
        </w:tblPrEx>
        <w:trPr>
          <w:tblHeader/>
        </w:trPr>
        <w:tc>
          <w:tcPr>
            <w:tcW w:w="6144" w:type="dxa"/>
            <w:tcBorders>
              <w:bottom w:val="single" w:sz="2" w:space="0" w:color="BCBEC0"/>
              <w:right w:val="single" w:sz="2" w:space="0" w:color="BCBEC0"/>
            </w:tcBorders>
            <w:tcMar>
              <w:top w:w="20" w:type="dxa"/>
              <w:bottom w:w="2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0"/>
                <w:u w:val="none"/>
                <w:vertAlign w:val="baseline"/>
              </w:rPr>
              <w:t>Legislation Name &amp; Jurisdiction</w:t>
            </w:r>
          </w:p>
        </w:tc>
        <w:tc>
          <w:tcPr>
            <w:tcW w:w="4096" w:type="dxa"/>
            <w:tcBorders>
              <w:bottom w:val="single" w:sz="2" w:space="0" w:color="BCBEC0"/>
            </w:tcBorders>
            <w:tcMar>
              <w:top w:w="20" w:type="dxa"/>
              <w:bottom w:w="2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0"/>
                <w:u w:val="none"/>
                <w:vertAlign w:val="baseline"/>
              </w:rPr>
              <w:t>Provisions</w:t>
            </w:r>
          </w:p>
        </w:tc>
      </w:tr>
      <w:tr>
        <w:tblPrEx>
          <w:tblW w:w="5000" w:type="pct"/>
          <w:tblLayout w:type="fixed"/>
        </w:tblPrEx>
        <w:tc>
          <w:tcPr>
            <w:tcW w:w="6144" w:type="dxa"/>
            <w:tcBorders>
              <w:bottom w:val="single" w:sz="2" w:space="0" w:color="BCBEC0"/>
              <w:right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Civil Law </w:t>
            </w:r>
            <w:r>
              <w:rPr>
                <w:rFonts w:ascii="arial" w:eastAsia="arial" w:hAnsi="arial" w:cs="arial"/>
                <w:b w:val="0"/>
                <w:i/>
                <w:strike w:val="0"/>
                <w:noProof w:val="0"/>
                <w:color w:val="000000"/>
                <w:position w:val="0"/>
                <w:sz w:val="18"/>
                <w:u w:val="single"/>
                <w:vertAlign w:val="baseline"/>
              </w:rPr>
              <w:t>Act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1956                                                                                                               </w:t>
            </w:r>
          </w:p>
        </w:tc>
        <w:tc>
          <w:tcPr>
            <w:tcW w:w="4096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section 11</w:t>
            </w:r>
          </w:p>
        </w:tc>
      </w:tr>
      <w:tr>
        <w:tblPrEx>
          <w:tblW w:w="5000" w:type="pct"/>
          <w:tblLayout w:type="fixed"/>
        </w:tblPrEx>
        <w:tc>
          <w:tcPr>
            <w:tcW w:w="6144" w:type="dxa"/>
            <w:tcBorders>
              <w:bottom w:val="single" w:sz="2" w:space="0" w:color="BCBEC0"/>
              <w:right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ROC 2012                                                                                                               </w:t>
            </w:r>
          </w:p>
        </w:tc>
        <w:tc>
          <w:tcPr>
            <w:tcW w:w="4096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O.18 r.19</w:t>
            </w:r>
          </w:p>
        </w:tc>
      </w:tr>
      <w:tr>
        <w:tblPrEx>
          <w:tblW w:w="5000" w:type="pct"/>
          <w:tblLayout w:type="fixed"/>
        </w:tblPrEx>
        <w:tc>
          <w:tcPr>
            <w:tcW w:w="6144" w:type="dxa"/>
            <w:tcBorders>
              <w:bottom w:val="single" w:sz="2" w:space="0" w:color="BCBEC0"/>
              <w:right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Rules of Court                                                                                                               </w:t>
            </w:r>
          </w:p>
        </w:tc>
        <w:tc>
          <w:tcPr>
            <w:tcW w:w="4096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Ord 58, r 4</w:t>
            </w:r>
          </w:p>
        </w:tc>
      </w:tr>
      <w:tr>
        <w:tblPrEx>
          <w:tblW w:w="5000" w:type="pct"/>
          <w:tblLayout w:type="fixed"/>
        </w:tblPrEx>
        <w:tc>
          <w:tcPr>
            <w:tcW w:w="6144" w:type="dxa"/>
            <w:tcBorders>
              <w:bottom w:val="single" w:sz="2" w:space="0" w:color="BCBEC0"/>
              <w:right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Rules of Court 2012                                                                                                               </w:t>
            </w:r>
          </w:p>
        </w:tc>
        <w:tc>
          <w:tcPr>
            <w:tcW w:w="4096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Order 26 Rule 1</w:t>
            </w:r>
          </w:p>
        </w:tc>
      </w:tr>
      <w:tr>
        <w:tblPrEx>
          <w:tblW w:w="5000" w:type="pct"/>
          <w:tblLayout w:type="fixed"/>
        </w:tblPrEx>
        <w:tc>
          <w:tcPr>
            <w:tcW w:w="6144" w:type="dxa"/>
            <w:tcBorders>
              <w:right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Rules of the Court Rules 2012                                                                                                               </w:t>
            </w:r>
          </w:p>
        </w:tc>
        <w:tc>
          <w:tcPr>
            <w:tcW w:w="4096" w:type="dxa"/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Order 42 rule 1</w:t>
            </w:r>
          </w:p>
        </w:tc>
      </w:tr>
    </w:tbl>
    <w:p/>
    <w:p>
      <w:pPr>
        <w:ind w:left="200"/>
      </w:pPr>
      <w:r>
        <w:br/>
      </w:r>
      <w:r>
        <w:pict>
          <v:line id="_x0000_s1078" style="position:absolute;z-index:251661312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/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 xml:space="preserve">               SING YUNG STEEL SDN BHD v MSIG INSURANCE (M) BHD &amp; ORS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iclr.co.uk/pubrefLookup/redirectTo?ref=1990+AC+605" TargetMode="External" /><Relationship Id="rId11" Type="http://schemas.openxmlformats.org/officeDocument/2006/relationships/image" Target="media/image4.png" /><Relationship Id="rId12" Type="http://schemas.openxmlformats.org/officeDocument/2006/relationships/hyperlink" Target="https://iclr.co.uk/pubrefLookup/redirectTo?ref=1969+1+QB+281" TargetMode="Externa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image" Target="media/image2.png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SING YUNG STEEL SDN BHD v MSIG INSURANCE (M) BHD &amp; ORS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urn:contentItem:6G7T-9HY3-MB4H-R326-00000-00">
    <vt:lpwstr>Doc::/shared/document|contextualFeaturePermID::1522468</vt:lpwstr>
  </property>
  <property fmtid="{D5CDD505-2E9C-101B-9397-08002B2CF9AE}" pid="4" name="LNDeliveryID">
    <vt:lpwstr>286221692</vt:lpwstr>
  </property>
  <property fmtid="{D5CDD505-2E9C-101B-9397-08002B2CF9AE}" pid="5" name="UserPermID">
    <vt:lpwstr>urn:user:PA196491919</vt:lpwstr>
  </property>
</Properties>
</file>