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Selvi a/p Athmoolam v Fleet Care Malaysia Sdn Bhd  [2024] ILJU 162</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SALAHUDIN HIDAYAT SHARIFF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538 OF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17 April 2024</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Selvarani Sanmugam (Malaysian Trades Union Congress (MTUC))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V Jeevaretnam (Jeeva Partnership)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04"/>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Salahudin Hidayat Shariff C"/>
            <w:bookmarkEnd w:id="1"/>
            <w:r>
              <w:rPr>
                <w:rFonts w:ascii="arial" w:eastAsia="arial" w:hAnsi="arial" w:cs="arial"/>
                <w:b/>
                <w:i w:val="0"/>
                <w:strike w:val="0"/>
                <w:noProof w:val="0"/>
                <w:color w:val="000000"/>
                <w:position w:val="0"/>
                <w:sz w:val="30"/>
                <w:u w:val="none"/>
                <w:vertAlign w:val="baseline"/>
              </w:rPr>
              <w:t>Salahudin Hidayat Shariff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REFERENCE: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is a reference dated 17 March 2021 made by the Honourable Minister of Human Resources pursuant to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arising out of the dismissal of </w:t>
      </w:r>
      <w:r>
        <w:rPr>
          <w:rFonts w:ascii="arial" w:eastAsia="arial" w:hAnsi="arial" w:cs="arial"/>
          <w:b/>
          <w:i w:val="0"/>
          <w:strike w:val="0"/>
          <w:noProof w:val="0"/>
          <w:color w:val="000000"/>
          <w:position w:val="0"/>
          <w:sz w:val="24"/>
          <w:u w:val="none"/>
          <w:vertAlign w:val="baseline"/>
        </w:rPr>
        <w:t>Selvi a/p Athmoolam</w:t>
      </w:r>
      <w:r>
        <w:rPr>
          <w:rFonts w:ascii="arial" w:eastAsia="arial" w:hAnsi="arial" w:cs="arial"/>
          <w:b w:val="0"/>
          <w:i w:val="0"/>
          <w:strike w:val="0"/>
          <w:noProof w:val="0"/>
          <w:color w:val="000000"/>
          <w:position w:val="0"/>
          <w:sz w:val="24"/>
          <w:u w:val="none"/>
          <w:vertAlign w:val="baseline"/>
        </w:rPr>
        <w:t xml:space="preserve"> (“the Claimant”) by </w:t>
      </w:r>
      <w:r>
        <w:rPr>
          <w:rFonts w:ascii="arial" w:eastAsia="arial" w:hAnsi="arial" w:cs="arial"/>
          <w:b/>
          <w:i w:val="0"/>
          <w:strike w:val="0"/>
          <w:noProof w:val="0"/>
          <w:color w:val="000000"/>
          <w:position w:val="0"/>
          <w:sz w:val="24"/>
          <w:u w:val="none"/>
          <w:vertAlign w:val="baseline"/>
        </w:rPr>
        <w:t>Fleet Care Malaysia Sdn Bhd</w:t>
      </w:r>
      <w:r>
        <w:rPr>
          <w:rFonts w:ascii="arial" w:eastAsia="arial" w:hAnsi="arial" w:cs="arial"/>
          <w:b w:val="0"/>
          <w:i w:val="0"/>
          <w:strike w:val="0"/>
          <w:noProof w:val="0"/>
          <w:color w:val="000000"/>
          <w:position w:val="0"/>
          <w:sz w:val="24"/>
          <w:u w:val="none"/>
          <w:vertAlign w:val="baseline"/>
        </w:rPr>
        <w:t xml:space="preserve"> (“the Company”) on 5 August 2020.</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Brief Facts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The Claimant was appointed as the Senior Accounts Executive effective 19 July 2016 to 18 January 2017 via a Letter of Appointment – Contract Basis dated 27 June 2016 at Kudrat Maritime Malaysia Sdn. Bhd. Subsequently on 12 April 2017, the Claimant received a Letter of Appointment - Confirmation where the Claimant was permanently appointed as a Senior Accounts Executive effective 19 April 2017 also at Kudrat Maritime Sdn. Bhd. Later, in a letter dated 18 December 2017, the Claimant was transferred from Kudrat Maritime Malaysia Sdn. Bhd. to the Company effective 19 December 2017 at the same post.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The Company is part of the Kudrat Group of Companies with business in the shipping and total logistical solutions. This Particular industry was adversely affected due to the pandemic because it was classified as a non-essential service. In order to maintain its business, the Company adopted several cost cutting measures which also affected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The Company issued an Internal Memorandum on 20 April 2020 entitled Mutual Agreement – Salary Deduction. The memo had introduced two schemes that the Company would implement based on the salary of the employees. The Claimant fell within the scope Employment Retention Program (“ERP”) – PERKESO scheme. The said memo was followed up by another Internal Memorandum dated 24 April 2020 entitled CTG Mutual Agreement – Salary Deduction from 1st May 2020 – 31st May 2020. This new memo explained the process that the Company will implement. The process was that the employees will all be on no pay leave for an entire six months, but the Company will still retain the employees for the said six months and no retrenchment. The Claimant had accepted the plan.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However, things began to change after that. On 5 August 2020, the Claimant wrote to the Company asking for her status of employment since she had not received any ERP payments from PERKESO since July 2020. The Company replied via letter dated 14 August 2020, where it was reiterated that the Claimant was still under the ERP. The Company further stated that it was in no condition to take back the employees since there was no general improvement in the Company’s financial situation to justify the reacceptance. According to the Company, the Claimant then filed a claim at the Labour Department for unpaid wages on 24 August 2020. The claim was dismissed on 11 November 2020.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On 20 October 2020, the Company issued a letter transferring the Claimant to Kudrat Maritime (Johore) Sdn. Bhd. effective 1 November 2020 at the same post. The Claimant replied via letter dated 23 October 2020, politely declining the intercompany transfer and gave three reasons. The Claimant ended the letter with a request to consider that she be retained anywhere in Shah Alam. The Claimant’s reply letter was attached to an email dated 24 October 2020. The Company replied to that email with an email of their own explaining the Company’s situation and referring to a discussion held at the Labour Court on 27 October 2020. The email by the Company is dated 11 November 2020, eleven days after the effective date of transfer. The letter gave some assurances that the Company will bear the cost of mileage claim, three days accommodation in a hotel and the cost of transfer to personal belongings.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The Claimant replied to the Company’s email on the same date at around pm. and again refusing to accept the transfer letter. On 18 November 2020, the Company issued a Breach of Employment Contract letter and terminated the Claimant’s services with immediate effect. The above are the chronological events of this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xml:space="preserve">  The Claimant is seeking reinstatement to her former position in the same office, back wages and if reinstatement is not deemed feasible then compensation </w:t>
      </w:r>
      <w:r>
        <w:rPr>
          <w:rFonts w:ascii="arial" w:eastAsia="arial" w:hAnsi="arial" w:cs="arial"/>
          <w:b w:val="0"/>
          <w:i/>
          <w:strike w:val="0"/>
          <w:noProof w:val="0"/>
          <w:color w:val="000000"/>
          <w:position w:val="0"/>
          <w:sz w:val="24"/>
          <w:u w:val="none"/>
          <w:vertAlign w:val="baseline"/>
        </w:rPr>
        <w:t>in lieu</w:t>
      </w:r>
      <w:r>
        <w:rPr>
          <w:rFonts w:ascii="arial" w:eastAsia="arial" w:hAnsi="arial" w:cs="arial"/>
          <w:b w:val="0"/>
          <w:i w:val="0"/>
          <w:strike w:val="0"/>
          <w:noProof w:val="0"/>
          <w:color w:val="000000"/>
          <w:position w:val="0"/>
          <w:sz w:val="24"/>
          <w:u w:val="none"/>
          <w:vertAlign w:val="baseline"/>
        </w:rPr>
        <w:t xml:space="preserve"> of reinstatement.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The Court has gone through the evidence as given through testimony in Court and the documents and submission that have been filed. Those documents and submissions are listed for ease of reference as follows: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of Case dated 19 May 2021;</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in Reply dated 5 June 2021;</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Rejoinder dated 30 June 2021;</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Claimant’s Bundle of Documents filed on 7 October 2021 marked as exhibit </w:t>
      </w:r>
      <w:r>
        <w:rPr>
          <w:rFonts w:ascii="arial" w:eastAsia="arial" w:hAnsi="arial" w:cs="arial"/>
          <w:b w:val="0"/>
          <w:i/>
          <w:strike w:val="0"/>
          <w:noProof w:val="0"/>
          <w:color w:val="000000"/>
          <w:position w:val="0"/>
          <w:sz w:val="24"/>
          <w:u w:val="none"/>
          <w:vertAlign w:val="baseline"/>
        </w:rPr>
        <w:t>CLB-1</w:t>
      </w:r>
      <w:r>
        <w:rPr>
          <w:rFonts w:ascii="arial" w:eastAsia="arial" w:hAnsi="arial" w:cs="arial"/>
          <w:b w:val="0"/>
          <w:i w:val="0"/>
          <w:strike w:val="0"/>
          <w:noProof w:val="0"/>
          <w:color w:val="000000"/>
          <w:position w:val="0"/>
          <w:sz w:val="24"/>
          <w:u w:val="none"/>
          <w:vertAlign w:val="baseline"/>
        </w:rPr>
        <w:t>;</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Bundle of Documents filed on 29 June 2021 marked as exhibit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Bundle of Documents (2) filed on 22 February 2023 marked as exhibit </w:t>
      </w:r>
      <w:r>
        <w:rPr>
          <w:rFonts w:ascii="arial" w:eastAsia="arial" w:hAnsi="arial" w:cs="arial"/>
          <w:b w:val="0"/>
          <w:i/>
          <w:strike w:val="0"/>
          <w:noProof w:val="0"/>
          <w:color w:val="000000"/>
          <w:position w:val="0"/>
          <w:sz w:val="24"/>
          <w:u w:val="none"/>
          <w:vertAlign w:val="baseline"/>
        </w:rPr>
        <w:t>COB-2</w:t>
      </w:r>
      <w:r>
        <w:rPr>
          <w:rFonts w:ascii="arial" w:eastAsia="arial" w:hAnsi="arial" w:cs="arial"/>
          <w:b w:val="0"/>
          <w:i w:val="0"/>
          <w:strike w:val="0"/>
          <w:noProof w:val="0"/>
          <w:color w:val="000000"/>
          <w:position w:val="0"/>
          <w:sz w:val="24"/>
          <w:u w:val="none"/>
          <w:vertAlign w:val="baseline"/>
        </w:rPr>
        <w:t>;</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Additional Bundle of Documents (3) filed on 27 October 2023 marked as exhibit </w:t>
      </w:r>
      <w:r>
        <w:rPr>
          <w:rFonts w:ascii="arial" w:eastAsia="arial" w:hAnsi="arial" w:cs="arial"/>
          <w:b w:val="0"/>
          <w:i/>
          <w:strike w:val="0"/>
          <w:noProof w:val="0"/>
          <w:color w:val="000000"/>
          <w:position w:val="0"/>
          <w:sz w:val="24"/>
          <w:u w:val="none"/>
          <w:vertAlign w:val="baseline"/>
        </w:rPr>
        <w:t>COB-3</w:t>
      </w:r>
      <w:r>
        <w:rPr>
          <w:rFonts w:ascii="arial" w:eastAsia="arial" w:hAnsi="arial" w:cs="arial"/>
          <w:b w:val="0"/>
          <w:i w:val="0"/>
          <w:strike w:val="0"/>
          <w:noProof w:val="0"/>
          <w:color w:val="000000"/>
          <w:position w:val="0"/>
          <w:sz w:val="24"/>
          <w:u w:val="none"/>
          <w:vertAlign w:val="baseline"/>
        </w:rPr>
        <w:t>;</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Witness Statement signed on 22 February 2023 marked as exhibit </w:t>
      </w:r>
      <w:r>
        <w:rPr>
          <w:rFonts w:ascii="arial" w:eastAsia="arial" w:hAnsi="arial" w:cs="arial"/>
          <w:b w:val="0"/>
          <w:i/>
          <w:strike w:val="0"/>
          <w:noProof w:val="0"/>
          <w:color w:val="000000"/>
          <w:position w:val="0"/>
          <w:sz w:val="24"/>
          <w:u w:val="none"/>
          <w:vertAlign w:val="baseline"/>
        </w:rPr>
        <w:t>COWS-1</w:t>
      </w:r>
      <w:r>
        <w:rPr>
          <w:rFonts w:ascii="arial" w:eastAsia="arial" w:hAnsi="arial" w:cs="arial"/>
          <w:b w:val="0"/>
          <w:i w:val="0"/>
          <w:strike w:val="0"/>
          <w:noProof w:val="0"/>
          <w:color w:val="000000"/>
          <w:position w:val="0"/>
          <w:sz w:val="24"/>
          <w:u w:val="none"/>
          <w:vertAlign w:val="baseline"/>
        </w:rPr>
        <w:t>;</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Witness Statement signed on 22 February 2023 marked as exhibit </w:t>
      </w:r>
      <w:r>
        <w:rPr>
          <w:rFonts w:ascii="arial" w:eastAsia="arial" w:hAnsi="arial" w:cs="arial"/>
          <w:b w:val="0"/>
          <w:i/>
          <w:strike w:val="0"/>
          <w:noProof w:val="0"/>
          <w:color w:val="000000"/>
          <w:position w:val="0"/>
          <w:sz w:val="24"/>
          <w:u w:val="none"/>
          <w:vertAlign w:val="baseline"/>
        </w:rPr>
        <w:t>COWS-2</w:t>
      </w:r>
      <w:r>
        <w:rPr>
          <w:rFonts w:ascii="arial" w:eastAsia="arial" w:hAnsi="arial" w:cs="arial"/>
          <w:b w:val="0"/>
          <w:i w:val="0"/>
          <w:strike w:val="0"/>
          <w:noProof w:val="0"/>
          <w:color w:val="000000"/>
          <w:position w:val="0"/>
          <w:sz w:val="24"/>
          <w:u w:val="none"/>
          <w:vertAlign w:val="baseline"/>
        </w:rPr>
        <w:t>;</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Amended Company’s Witness Statement signed on 30 October 2023 marked as exhibit </w:t>
      </w:r>
      <w:r>
        <w:rPr>
          <w:rFonts w:ascii="arial" w:eastAsia="arial" w:hAnsi="arial" w:cs="arial"/>
          <w:b w:val="0"/>
          <w:i/>
          <w:strike w:val="0"/>
          <w:noProof w:val="0"/>
          <w:color w:val="000000"/>
          <w:position w:val="0"/>
          <w:sz w:val="24"/>
          <w:u w:val="none"/>
          <w:vertAlign w:val="baseline"/>
        </w:rPr>
        <w:t>COWS-3</w:t>
      </w:r>
      <w:r>
        <w:rPr>
          <w:rFonts w:ascii="arial" w:eastAsia="arial" w:hAnsi="arial" w:cs="arial"/>
          <w:b w:val="0"/>
          <w:i w:val="0"/>
          <w:strike w:val="0"/>
          <w:noProof w:val="0"/>
          <w:color w:val="000000"/>
          <w:position w:val="0"/>
          <w:sz w:val="24"/>
          <w:u w:val="none"/>
          <w:vertAlign w:val="baseline"/>
        </w:rPr>
        <w:t>;</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Claimant’s Witness Statement signed on 30 October 2023 marked as exhibit </w:t>
      </w:r>
      <w:r>
        <w:rPr>
          <w:rFonts w:ascii="arial" w:eastAsia="arial" w:hAnsi="arial" w:cs="arial"/>
          <w:b w:val="0"/>
          <w:i/>
          <w:strike w:val="0"/>
          <w:noProof w:val="0"/>
          <w:color w:val="000000"/>
          <w:position w:val="0"/>
          <w:sz w:val="24"/>
          <w:u w:val="none"/>
          <w:vertAlign w:val="baseline"/>
        </w:rPr>
        <w:t>CLWS-1</w:t>
      </w:r>
      <w:r>
        <w:rPr>
          <w:rFonts w:ascii="arial" w:eastAsia="arial" w:hAnsi="arial" w:cs="arial"/>
          <w:b w:val="0"/>
          <w:i w:val="0"/>
          <w:strike w:val="0"/>
          <w:noProof w:val="0"/>
          <w:color w:val="000000"/>
          <w:position w:val="0"/>
          <w:sz w:val="24"/>
          <w:u w:val="none"/>
          <w:vertAlign w:val="baseline"/>
        </w:rPr>
        <w:t>;</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Written Submissions dated 18 December 2023;</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Written Submissions dated 28 December 2023;</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Bundle of Authorities filed on 2 January 2024; and</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Reply to Claimant’s Written Submissions dated 12 January 2024.</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According to the Claimant the Court has to decide upon whether firstly the Company has breached the fundamental terms of the Contract of Service, secondly whether the Claimant’s termination was in breach of the fundamental principles of natural justice and finally whether the termination was without just cause or excuse and an unfair dismissal. Whilst the Company would also claim that the Claimant had breached a fundamental term of the Contract of Service.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DECISION</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Chair and the Role of the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xml:space="preserve">  Before proceeding with the full award and answering the issues raised, it should be expressly stated that the original Chairperson of the Court has been transferred. The new Chair took over the case midway and proceeded until the award. This Court has already decided in earlier cases its position regarding the issue of taking over from another Chair, some of those cases are the cases of </w:t>
      </w:r>
      <w:r>
        <w:rPr>
          <w:rFonts w:ascii="arial" w:eastAsia="arial" w:hAnsi="arial" w:cs="arial"/>
          <w:b w:val="0"/>
          <w:i/>
          <w:strike w:val="0"/>
          <w:noProof w:val="0"/>
          <w:color w:val="000000"/>
          <w:position w:val="0"/>
          <w:sz w:val="24"/>
          <w:u w:val="none"/>
          <w:vertAlign w:val="baseline"/>
        </w:rPr>
        <w:t xml:space="preserve">Badariah Abdullah lwn. Malaysia Airports (Sepang) Sdn Bhd  </w:t>
      </w:r>
      <w:r>
        <w:rPr>
          <w:rFonts w:ascii="arial" w:eastAsia="arial" w:hAnsi="arial" w:cs="arial"/>
          <w:b w:val="0"/>
          <w:i w:val="0"/>
          <w:strike w:val="0"/>
          <w:noProof w:val="0"/>
          <w:color w:val="000000"/>
          <w:position w:val="0"/>
          <w:sz w:val="24"/>
          <w:u w:val="none"/>
          <w:vertAlign w:val="baseline"/>
        </w:rPr>
        <w:t xml:space="preserve">[2023] 2 LNS 1546, </w:t>
      </w:r>
      <w:r>
        <w:rPr>
          <w:rFonts w:ascii="arial" w:eastAsia="arial" w:hAnsi="arial" w:cs="arial"/>
          <w:b w:val="0"/>
          <w:i/>
          <w:strike w:val="0"/>
          <w:noProof w:val="0"/>
          <w:color w:val="000000"/>
          <w:position w:val="0"/>
          <w:sz w:val="24"/>
          <w:u w:val="none"/>
          <w:vertAlign w:val="baseline"/>
        </w:rPr>
        <w:t xml:space="preserve">Nor Azlina Abd Rahim lwn. Jurukur Perunding Services Sdn Bhd  </w:t>
      </w:r>
      <w:r>
        <w:rPr>
          <w:rFonts w:ascii="arial" w:eastAsia="arial" w:hAnsi="arial" w:cs="arial"/>
          <w:b w:val="0"/>
          <w:i w:val="0"/>
          <w:strike w:val="0"/>
          <w:noProof w:val="0"/>
          <w:color w:val="000000"/>
          <w:position w:val="0"/>
          <w:sz w:val="24"/>
          <w:u w:val="none"/>
          <w:vertAlign w:val="baseline"/>
        </w:rPr>
        <w:t xml:space="preserve">[2023] MELRU 1728 and </w:t>
      </w:r>
      <w:r>
        <w:rPr>
          <w:rFonts w:ascii="arial" w:eastAsia="arial" w:hAnsi="arial" w:cs="arial"/>
          <w:b w:val="0"/>
          <w:i/>
          <w:strike w:val="0"/>
          <w:noProof w:val="0"/>
          <w:color w:val="000000"/>
          <w:position w:val="0"/>
          <w:sz w:val="24"/>
          <w:u w:val="none"/>
          <w:vertAlign w:val="baseline"/>
        </w:rPr>
        <w:t xml:space="preserve">Chong Jee Fatt v. Tee E &amp; C (Malaysia) Sdn. Bhd.  </w:t>
      </w:r>
      <w:r>
        <w:rPr>
          <w:rFonts w:ascii="arial" w:eastAsia="arial" w:hAnsi="arial" w:cs="arial"/>
          <w:b w:val="0"/>
          <w:i w:val="0"/>
          <w:strike w:val="0"/>
          <w:noProof w:val="0"/>
          <w:color w:val="000000"/>
          <w:position w:val="0"/>
          <w:sz w:val="24"/>
          <w:u w:val="none"/>
          <w:vertAlign w:val="baseline"/>
        </w:rPr>
        <w:t>[2023] 3 ILR 204</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In those awards this Court referred to the case of </w:t>
      </w:r>
      <w:r>
        <w:rPr>
          <w:rFonts w:ascii="arial" w:eastAsia="arial" w:hAnsi="arial" w:cs="arial"/>
          <w:b w:val="0"/>
          <w:i/>
          <w:strike w:val="0"/>
          <w:noProof w:val="0"/>
          <w:color w:val="000000"/>
          <w:position w:val="0"/>
          <w:sz w:val="24"/>
          <w:u w:val="none"/>
          <w:vertAlign w:val="baseline"/>
        </w:rPr>
        <w:t xml:space="preserve">Bax Global (Malaysia) Sdn Bhd V. Sukhdev Singh Pritam Singh &amp; Anor  </w:t>
      </w:r>
      <w:r>
        <w:rPr>
          <w:rFonts w:ascii="arial" w:eastAsia="arial" w:hAnsi="arial" w:cs="arial"/>
          <w:b w:val="0"/>
          <w:i w:val="0"/>
          <w:strike w:val="0"/>
          <w:noProof w:val="0"/>
          <w:color w:val="000000"/>
          <w:position w:val="0"/>
          <w:sz w:val="24"/>
          <w:u w:val="none"/>
          <w:vertAlign w:val="baseline"/>
        </w:rPr>
        <w:t xml:space="preserve">[2011] 2 CLJ 534 and subsection 23(6)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It would not be prudent to repeat the same and as such, parties are welcome to view the said case for an explanation why the Chair proceeded in completing this case. Suffice that the Chair was confident in the belief that the Award would not be prejudiced by the change of the chairman of the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xml:space="preserve">  Similarly, the Court reiterates its stand in all three of the above cases of </w:t>
      </w:r>
      <w:r>
        <w:rPr>
          <w:rFonts w:ascii="arial" w:eastAsia="arial" w:hAnsi="arial" w:cs="arial"/>
          <w:b/>
          <w:i/>
          <w:strike w:val="0"/>
          <w:noProof w:val="0"/>
          <w:color w:val="000000"/>
          <w:position w:val="0"/>
          <w:sz w:val="24"/>
          <w:u w:val="none"/>
          <w:vertAlign w:val="baseline"/>
        </w:rPr>
        <w:t>Badariah</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Nor Azlina</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i/>
          <w:strike w:val="0"/>
          <w:noProof w:val="0"/>
          <w:color w:val="000000"/>
          <w:position w:val="0"/>
          <w:sz w:val="24"/>
          <w:u w:val="none"/>
          <w:vertAlign w:val="baseline"/>
        </w:rPr>
        <w:t>Chong Jee Fatt</w:t>
      </w:r>
      <w:r>
        <w:rPr>
          <w:rFonts w:ascii="arial" w:eastAsia="arial" w:hAnsi="arial" w:cs="arial"/>
          <w:b w:val="0"/>
          <w:i w:val="0"/>
          <w:strike w:val="0"/>
          <w:noProof w:val="0"/>
          <w:color w:val="000000"/>
          <w:position w:val="0"/>
          <w:sz w:val="24"/>
          <w:u w:val="none"/>
          <w:vertAlign w:val="baseline"/>
        </w:rPr>
        <w:t xml:space="preserve"> regarding the role of the Court in a matter referred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where the Court refers to the oft- cited Supreme Court case of </w:t>
      </w:r>
      <w:r>
        <w:rPr>
          <w:rFonts w:ascii="arial" w:eastAsia="arial" w:hAnsi="arial" w:cs="arial"/>
          <w:b w:val="0"/>
          <w:i/>
          <w:strike w:val="0"/>
          <w:noProof w:val="0"/>
          <w:color w:val="000000"/>
          <w:position w:val="0"/>
          <w:sz w:val="24"/>
          <w:u w:val="none"/>
          <w:vertAlign w:val="baseline"/>
        </w:rPr>
        <w:t xml:space="preserve">Wong Chee Hong v. Cathay Organisation Malaysia Sdn Bhd.  </w:t>
      </w:r>
      <w:r>
        <w:rPr>
          <w:rFonts w:ascii="arial" w:eastAsia="arial" w:hAnsi="arial" w:cs="arial"/>
          <w:b w:val="0"/>
          <w:i w:val="0"/>
          <w:strike w:val="0"/>
          <w:noProof w:val="0"/>
          <w:color w:val="000000"/>
          <w:position w:val="0"/>
          <w:sz w:val="24"/>
          <w:u w:val="none"/>
          <w:vertAlign w:val="baseline"/>
        </w:rPr>
        <w:t xml:space="preserve">[1988] 1 CLJ 45 and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2 MLJ 129. The accepted principles in those cases are clear and needs no further elaboration.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xml:space="preserve">  The Court notes the submissions by both parties on this matter, and further notes that this case is an application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as mentioned earlier above. Nonetheless, before going into the crux of the issues above, the Court emphasises the level of proof required in cases in the Industrial Court.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Burden and Onus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The Court refers to its previous cases with regards the burden of proof as well as adducing evidence in a case. The specific case referred is the case of </w:t>
      </w:r>
      <w:r>
        <w:rPr>
          <w:rFonts w:ascii="arial" w:eastAsia="arial" w:hAnsi="arial" w:cs="arial"/>
          <w:b w:val="0"/>
          <w:i/>
          <w:strike w:val="0"/>
          <w:noProof w:val="0"/>
          <w:color w:val="000000"/>
          <w:position w:val="0"/>
          <w:sz w:val="24"/>
          <w:u w:val="none"/>
          <w:vertAlign w:val="baseline"/>
        </w:rPr>
        <w:t xml:space="preserve">Mohamad Suffian Ismail v. Seacera Group Berhad  </w:t>
      </w:r>
      <w:r>
        <w:rPr>
          <w:rFonts w:ascii="arial" w:eastAsia="arial" w:hAnsi="arial" w:cs="arial"/>
          <w:b w:val="0"/>
          <w:i w:val="0"/>
          <w:strike w:val="0"/>
          <w:noProof w:val="0"/>
          <w:color w:val="000000"/>
          <w:position w:val="0"/>
          <w:sz w:val="24"/>
          <w:u w:val="none"/>
          <w:vertAlign w:val="baseline"/>
        </w:rPr>
        <w:t xml:space="preserve">[2023] MELRU 2317 whereby this Court refers to the Court of Appeal case of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 xml:space="preserve">[2002] 3 CLJ 314 and the case of </w:t>
      </w:r>
      <w:r>
        <w:rPr>
          <w:rFonts w:ascii="arial" w:eastAsia="arial" w:hAnsi="arial" w:cs="arial"/>
          <w:b w:val="0"/>
          <w:i/>
          <w:strike w:val="0"/>
          <w:noProof w:val="0"/>
          <w:color w:val="000000"/>
          <w:position w:val="0"/>
          <w:sz w:val="24"/>
          <w:u w:val="none"/>
          <w:vertAlign w:val="baseline"/>
        </w:rPr>
        <w:t xml:space="preserve">International Times &amp; Ors v. Leong Ho Yuen  </w:t>
      </w:r>
      <w:r>
        <w:rPr>
          <w:rFonts w:ascii="arial" w:eastAsia="arial" w:hAnsi="arial" w:cs="arial"/>
          <w:b w:val="0"/>
          <w:i w:val="0"/>
          <w:strike w:val="0"/>
          <w:noProof w:val="0"/>
          <w:color w:val="000000"/>
          <w:position w:val="0"/>
          <w:sz w:val="24"/>
          <w:u w:val="none"/>
          <w:vertAlign w:val="baseline"/>
        </w:rPr>
        <w:t>[1980] 1 MLJ 86</w:t>
      </w:r>
      <w:r>
        <w:rPr>
          <w:rFonts w:ascii="arial" w:eastAsia="arial" w:hAnsi="arial" w:cs="arial"/>
          <w:b/>
          <w:i/>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xml:space="preserve">  Both the cases cited in the </w:t>
      </w:r>
      <w:r>
        <w:rPr>
          <w:rFonts w:ascii="arial" w:eastAsia="arial" w:hAnsi="arial" w:cs="arial"/>
          <w:b/>
          <w:i/>
          <w:strike w:val="0"/>
          <w:noProof w:val="0"/>
          <w:color w:val="000000"/>
          <w:position w:val="0"/>
          <w:sz w:val="24"/>
          <w:u w:val="none"/>
          <w:vertAlign w:val="baseline"/>
        </w:rPr>
        <w:t>Mohamad Suffian</w:t>
      </w:r>
      <w:r>
        <w:rPr>
          <w:rFonts w:ascii="arial" w:eastAsia="arial" w:hAnsi="arial" w:cs="arial"/>
          <w:b w:val="0"/>
          <w:i w:val="0"/>
          <w:strike w:val="0"/>
          <w:noProof w:val="0"/>
          <w:color w:val="000000"/>
          <w:position w:val="0"/>
          <w:sz w:val="24"/>
          <w:u w:val="none"/>
          <w:vertAlign w:val="baseline"/>
        </w:rPr>
        <w:t xml:space="preserve"> case above are the standard and burden of proof required by the Court and will be used when scrutinising this case. It is important to emphasise these factors because the entire case is beholden to adjudicate the evidence submitted based on the burden and standard of the proof of cases cited above.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In is encumbered on the parties asserting the facts that it must be proven based on the balance of probabilities. This obligation has to be proven by both parties. This is not a straightforward retrenchment and redundancy case that the Court usually comes across. Notwithstanding all the issues, the first to prove their case has to be the Company.</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Company’s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The Company’s position is straightforward, it was having financial problems due to the lockdown. Instead of terminating their employees outright, the Company heeded the Government’s call to not terminate and instead looked at the alternatives. In this case, the Company opted into the Government’s ERP programme. However, it would seem that Government had stopped making the payments midway through the program. This forced the Claimant to write-in to the Company seeking clarification of her status.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xml:space="preserve">  During Cross examination of </w:t>
      </w:r>
      <w:r>
        <w:rPr>
          <w:rFonts w:ascii="arial" w:eastAsia="arial" w:hAnsi="arial" w:cs="arial"/>
          <w:b w:val="0"/>
          <w:i/>
          <w:strike w:val="0"/>
          <w:noProof w:val="0"/>
          <w:color w:val="000000"/>
          <w:position w:val="0"/>
          <w:sz w:val="24"/>
          <w:u w:val="none"/>
          <w:vertAlign w:val="baseline"/>
        </w:rPr>
        <w:t>COW-1</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val="0"/>
          <w:i/>
          <w:strike w:val="0"/>
          <w:noProof w:val="0"/>
          <w:color w:val="000000"/>
          <w:position w:val="0"/>
          <w:sz w:val="24"/>
          <w:u w:val="none"/>
          <w:vertAlign w:val="baseline"/>
        </w:rPr>
        <w:t>COW-2</w:t>
      </w:r>
      <w:r>
        <w:rPr>
          <w:rFonts w:ascii="arial" w:eastAsia="arial" w:hAnsi="arial" w:cs="arial"/>
          <w:b w:val="0"/>
          <w:i w:val="0"/>
          <w:strike w:val="0"/>
          <w:noProof w:val="0"/>
          <w:color w:val="000000"/>
          <w:position w:val="0"/>
          <w:sz w:val="24"/>
          <w:u w:val="none"/>
          <w:vertAlign w:val="baseline"/>
        </w:rPr>
        <w:t>, it was clear that all payments came from PERKESO to the Company. However, if the payments were not forwarded to the Company, then there would be no allowances forthcoming. The Court believes that the fault could not be attributed to the Company. The bulk of the fault ought to be the parties that was supposed to provide the said allowances.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The Company’s answers to the Claimant’s query was factual and clearly indicated that the failure was by PERKESO. The Company was also clear that the Claimant was still an employee of the Company. The actions taken was all that the Company could have taken in the circumstances of the case. After all the above, then the Company recalled the Claimant after the ERP period lapsed but informed the Claimant that she was transferred to Johor Bahru and to another company but within the group.</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The Company had invoked the terms stipulated in the Letter of Appointment – Confirmation. The specific provision is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H)</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TRANSFER</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The Company reserves the right to transfer you within the Group of Companies / related Companies / Subsidiaries / branches or department including relocation to a different premise or location should the need arise at any time at the sole discretion of the Management. You are required to carry out and it is mandatory.”</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The wordings are clear and concise and definitely does not need any further elaboration. The Claimant refused to honour the request to transfer. This is despite the fact that, according to the Company, the Claimant was well aware of the requirement. It was the failure of the Claimant to fulfil her obligations which led the Company to issue the termination letter dated 18 November 2020. According to the Company, that was all she wrote.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At this juncture it would seem as though the Company has tipped the scales slightly in their favour but, the Court will first review the issues raised by the Claimant before making any final decision.</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Claimant’s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The Claimant’s case is tiered, and this Court will look into the Claimant’s case. Firstly, with regards to the fundamental breach of the employment agreement. The Court understands that to be referring to the non-payment of salary for the six- month period which also covered most of the time of the Movement Control Order (“MCO”). However, as mentioned earlier above, the Claimant had agreed or perhaps more accurately acquiesced to the ERP.</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It would be inequitable for the Claimant to claim that the Company had treated her unfairly when she had already acquiesced to the said actions. As mentioned earlier the failure of the then Government to not fulfil its obligations under the ERP cannot now be heaped upon the Company, especially after the Claimant had acquiesced.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xml:space="preserve">  The next issue raised in the Statement of Case is regarding natural justice. The Court has already discussed the rules of natural justice at length in an earlier case namely the case of </w:t>
      </w:r>
      <w:r>
        <w:rPr>
          <w:rFonts w:ascii="arial" w:eastAsia="arial" w:hAnsi="arial" w:cs="arial"/>
          <w:b/>
          <w:i/>
          <w:strike w:val="0"/>
          <w:noProof w:val="0"/>
          <w:color w:val="000000"/>
          <w:position w:val="0"/>
          <w:sz w:val="24"/>
          <w:u w:val="none"/>
          <w:vertAlign w:val="baseline"/>
        </w:rPr>
        <w:t>Mohamad Suffian</w:t>
      </w:r>
      <w:r>
        <w:rPr>
          <w:rFonts w:ascii="arial" w:eastAsia="arial" w:hAnsi="arial" w:cs="arial"/>
          <w:b w:val="0"/>
          <w:i w:val="0"/>
          <w:strike w:val="0"/>
          <w:noProof w:val="0"/>
          <w:color w:val="000000"/>
          <w:position w:val="0"/>
          <w:sz w:val="24"/>
          <w:u w:val="none"/>
          <w:vertAlign w:val="baseline"/>
        </w:rPr>
        <w:t xml:space="preserve"> mentioned above. The Court does not wish to repeat the same but merely that the principles have been reiterated in the Federal Court case of </w:t>
      </w:r>
      <w:r>
        <w:rPr>
          <w:rFonts w:ascii="arial" w:eastAsia="arial" w:hAnsi="arial" w:cs="arial"/>
          <w:b w:val="0"/>
          <w:i/>
          <w:strike w:val="0"/>
          <w:noProof w:val="0"/>
          <w:color w:val="000000"/>
          <w:position w:val="0"/>
          <w:sz w:val="24"/>
          <w:u w:val="none"/>
          <w:vertAlign w:val="baseline"/>
        </w:rPr>
        <w:t xml:space="preserve">Majlis Peguam Malaysia v. Syed Ahmad Imdadz Said Abas &amp; Anor  </w:t>
      </w:r>
      <w:r>
        <w:rPr>
          <w:rFonts w:ascii="arial" w:eastAsia="arial" w:hAnsi="arial" w:cs="arial"/>
          <w:b w:val="0"/>
          <w:i w:val="0"/>
          <w:strike w:val="0"/>
          <w:noProof w:val="0"/>
          <w:color w:val="000000"/>
          <w:position w:val="0"/>
          <w:sz w:val="24"/>
          <w:u w:val="none"/>
          <w:vertAlign w:val="baseline"/>
        </w:rPr>
        <w:t xml:space="preserve">[2023] 1 LNS 2422. The Federal Court in the </w:t>
      </w:r>
      <w:r>
        <w:rPr>
          <w:rFonts w:ascii="arial" w:eastAsia="arial" w:hAnsi="arial" w:cs="arial"/>
          <w:b/>
          <w:i/>
          <w:strike w:val="0"/>
          <w:noProof w:val="0"/>
          <w:color w:val="000000"/>
          <w:position w:val="0"/>
          <w:sz w:val="24"/>
          <w:u w:val="none"/>
          <w:vertAlign w:val="baseline"/>
        </w:rPr>
        <w:t>Majlis Peguam Malaysia</w:t>
      </w:r>
      <w:r>
        <w:rPr>
          <w:rFonts w:ascii="arial" w:eastAsia="arial" w:hAnsi="arial" w:cs="arial"/>
          <w:b w:val="0"/>
          <w:i w:val="0"/>
          <w:strike w:val="0"/>
          <w:noProof w:val="0"/>
          <w:color w:val="000000"/>
          <w:position w:val="0"/>
          <w:sz w:val="24"/>
          <w:u w:val="none"/>
          <w:vertAlign w:val="baseline"/>
        </w:rPr>
        <w:t xml:space="preserve"> reminded the legal fraternity of the principle as enunciated by Raja Azlan Shah FJ (as he then was in that case) in another case namely the case of in </w:t>
      </w:r>
      <w:r>
        <w:rPr>
          <w:rFonts w:ascii="arial" w:eastAsia="arial" w:hAnsi="arial" w:cs="arial"/>
          <w:b w:val="0"/>
          <w:i/>
          <w:strike w:val="0"/>
          <w:noProof w:val="0"/>
          <w:color w:val="000000"/>
          <w:position w:val="0"/>
          <w:sz w:val="24"/>
          <w:u w:val="none"/>
          <w:vertAlign w:val="baseline"/>
        </w:rPr>
        <w:t xml:space="preserve">Ketua Pengarah Kastam v. Ho Kwan Seng  </w:t>
      </w:r>
      <w:r>
        <w:rPr>
          <w:rFonts w:ascii="arial" w:eastAsia="arial" w:hAnsi="arial" w:cs="arial"/>
          <w:b w:val="0"/>
          <w:i w:val="0"/>
          <w:strike w:val="0"/>
          <w:noProof w:val="0"/>
          <w:color w:val="000000"/>
          <w:position w:val="0"/>
          <w:sz w:val="24"/>
          <w:u w:val="none"/>
          <w:vertAlign w:val="baseline"/>
        </w:rPr>
        <w:t>[1975] 1 LNS 72; ; [1977] 2 MLJ 152.</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The Court applied the principles enunciated by the YAA Raja Azlan Shah FJ (as he then was) to this case. The two main principles are that the authority cannot take any action without first giving an opportunity to the relevant party the right to reply and counter the allegations made against him. Secondly, that the aggrieved party is allowed a fair hearing.</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The first element has been fulfilled on the grounds that the Claimant was given the avenue to appeal the transfer to Johor Bahru. The Company heard the appeal and nevertheless rejected the appeal for transfer.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xml:space="preserve">  The second element of is for a fair hearing, but the Claimant was not charged with any misconduct or any wrongdoing to warrant a hearing or the usual method the domestic inquiry. The Company had no necessity to conduct any domestic inquiry because the Claimant refused to be transferred.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rejecting the transfer, which in itself is deemed a misconduct, but the facts are manifestly clear that no domestic inquiry is required.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Looking at it from another perspective, the second element can also be fulfilled through this process in the Industrial Court. The parties will be able to air their grouses to an independent arbitrary court. The Court is of the view that the fact that the case has gone through a full trial then it has fulfilled the second element as stated by YAA.</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The Court will discuss the third issue raised in the Statement of Case in the summary or conclusion of this Award since it is the culmination of all the points above. The other issues raised in the Claimant’s submission are that the transfer was lateral and that it would not be beneficial to the Claimant. It has always been this Court’s view that the parties are bound to the contracts. The agreement is just that, terms that both parties have agreed to be bound too.</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The terms, as mentioned earlier in this Award, clearly states that the employees are subject to transfer and these employees should not be able to suddenly claim that the terms do not apply. It is unconscionable for any party to claim something against what has already been agreed upon, as laid out in the Letter of Appointment. There is no excuse, with the exception of that the Company was acting maliciously or with intent to force the Claimant’s resignation. Otherwise, despite the fact that the transfer was lateral, a legal transfer order is the discretion of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xml:space="preserve">  The Claimant claimed the transfer was malicious because there was no such post in Johor Bahru, no necessity for the transfer or some other exigencies that the Court could take cognizance off. The Court stands guided by the Court of Appeal case of </w:t>
      </w:r>
      <w:r>
        <w:rPr>
          <w:rFonts w:ascii="arial" w:eastAsia="arial" w:hAnsi="arial" w:cs="arial"/>
          <w:b w:val="0"/>
          <w:i/>
          <w:strike w:val="0"/>
          <w:noProof w:val="0"/>
          <w:color w:val="000000"/>
          <w:position w:val="0"/>
          <w:sz w:val="24"/>
          <w:u w:val="none"/>
          <w:vertAlign w:val="baseline"/>
        </w:rPr>
        <w:t xml:space="preserve">William Jacks &amp; Co. (M) Sdn. Bhd. v. S. Balasingam  </w:t>
      </w:r>
      <w:r>
        <w:rPr>
          <w:rFonts w:ascii="arial" w:eastAsia="arial" w:hAnsi="arial" w:cs="arial"/>
          <w:b w:val="0"/>
          <w:i w:val="0"/>
          <w:strike w:val="0"/>
          <w:noProof w:val="0"/>
          <w:color w:val="000000"/>
          <w:position w:val="0"/>
          <w:sz w:val="24"/>
          <w:u w:val="none"/>
          <w:vertAlign w:val="baseline"/>
        </w:rPr>
        <w:t>[1997] 3 CLJ 235 which held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[4]</w:t>
      </w:r>
      <w:r>
        <w:rPr>
          <w:rFonts w:ascii="arial" w:eastAsia="arial" w:hAnsi="arial" w:cs="arial"/>
          <w:b w:val="0"/>
          <w:i w:val="0"/>
          <w:strike w:val="0"/>
          <w:noProof w:val="0"/>
          <w:color w:val="000000"/>
          <w:position w:val="0"/>
          <w:sz w:val="18"/>
          <w:u w:val="none"/>
          <w:vertAlign w:val="baseline"/>
        </w:rPr>
        <w:t xml:space="preserve"> ‘Retrenchment’ has been defined as the discharge of surplus labour or staff by an employer for any reason whatsoever otherwise than as a punishment inflicted by way of disciplinary action. Whether the retrenchment exercise in a particular case is </w:t>
      </w:r>
      <w:r>
        <w:rPr>
          <w:rFonts w:ascii="arial" w:eastAsia="arial" w:hAnsi="arial" w:cs="arial"/>
          <w:b w:val="0"/>
          <w:i/>
          <w:strike w:val="0"/>
          <w:noProof w:val="0"/>
          <w:color w:val="000000"/>
          <w:position w:val="0"/>
          <w:sz w:val="18"/>
          <w:u w:val="none"/>
          <w:vertAlign w:val="baseline"/>
        </w:rPr>
        <w:t>bona fide</w:t>
      </w:r>
      <w:r>
        <w:rPr>
          <w:rFonts w:ascii="arial" w:eastAsia="arial" w:hAnsi="arial" w:cs="arial"/>
          <w:b w:val="0"/>
          <w:i w:val="0"/>
          <w:strike w:val="0"/>
          <w:noProof w:val="0"/>
          <w:color w:val="000000"/>
          <w:position w:val="0"/>
          <w:sz w:val="18"/>
          <w:u w:val="none"/>
          <w:vertAlign w:val="baseline"/>
        </w:rPr>
        <w:t xml:space="preserve"> or otherwise is a question of fact and of degree depending on the peculiar circumstances of the case. </w:t>
      </w:r>
      <w:r>
        <w:rPr>
          <w:rFonts w:ascii="arial" w:eastAsia="arial" w:hAnsi="arial" w:cs="arial"/>
          <w:b/>
          <w:i w:val="0"/>
          <w:strike w:val="0"/>
          <w:noProof w:val="0"/>
          <w:color w:val="000000"/>
          <w:position w:val="0"/>
          <w:sz w:val="18"/>
          <w:u w:val="none"/>
          <w:vertAlign w:val="baseline"/>
        </w:rPr>
        <w:t>It is well-settled that the employer is entitled to organise his business in the manner he considers best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So long as the managerial power is exercised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bona fide</w:t>
      </w:r>
      <w:r>
        <w:rPr>
          <w:rFonts w:ascii="arial" w:eastAsia="arial" w:hAnsi="arial" w:cs="arial"/>
          <w:b/>
          <w:i w:val="0"/>
          <w:strike w:val="0"/>
          <w:noProof w:val="0"/>
          <w:color w:val="000000"/>
          <w:position w:val="0"/>
          <w:sz w:val="18"/>
          <w:u w:val="none"/>
          <w:vertAlign w:val="baseline"/>
        </w:rPr>
        <w:t>, the decision is immune from examination even by the Industrial Court</w:t>
      </w:r>
      <w:r>
        <w:rPr>
          <w:rFonts w:ascii="arial" w:eastAsia="arial" w:hAnsi="arial" w:cs="arial"/>
          <w:b w:val="0"/>
          <w:i w:val="0"/>
          <w:strike w:val="0"/>
          <w:noProof w:val="0"/>
          <w:color w:val="000000"/>
          <w:position w:val="0"/>
          <w:sz w:val="18"/>
          <w:u w:val="none"/>
          <w:vertAlign w:val="baseline"/>
        </w:rPr>
        <w:t xml:space="preserve">. However, the Industrial Court is empowered, and indeed duty-bound, to investigate the facts and circumstances of the case to determine whether the exercise of power is in fact </w:t>
      </w:r>
      <w:r>
        <w:rPr>
          <w:rFonts w:ascii="arial" w:eastAsia="arial" w:hAnsi="arial" w:cs="arial"/>
          <w:b w:val="0"/>
          <w:i/>
          <w:strike w:val="0"/>
          <w:noProof w:val="0"/>
          <w:color w:val="000000"/>
          <w:position w:val="0"/>
          <w:sz w:val="18"/>
          <w:u w:val="none"/>
          <w:vertAlign w:val="baseline"/>
        </w:rPr>
        <w:t>bona fide</w:t>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xml:space="preserve">  Similarly, the Court also stands guided by subsection 30(4) whereby the Court has to ensure when making an Award that the Court takes cognisance of several factors which include the impact that it would have on the industry. If the Court were to make a decision that would literally be the lifting of the corporate veil of the said Company, it would only do so if there were merits to do so. The Court has made this expressly clear in the case of </w:t>
      </w:r>
      <w:r>
        <w:rPr>
          <w:rFonts w:ascii="arial" w:eastAsia="arial" w:hAnsi="arial" w:cs="arial"/>
          <w:b/>
          <w:i/>
          <w:strike w:val="0"/>
          <w:noProof w:val="0"/>
          <w:color w:val="000000"/>
          <w:position w:val="0"/>
          <w:sz w:val="24"/>
          <w:u w:val="none"/>
          <w:vertAlign w:val="baseline"/>
        </w:rPr>
        <w:t>Chong Jee Fatt</w:t>
      </w:r>
      <w:r>
        <w:rPr>
          <w:rFonts w:ascii="arial" w:eastAsia="arial" w:hAnsi="arial" w:cs="arial"/>
          <w:b w:val="0"/>
          <w:i w:val="0"/>
          <w:strike w:val="0"/>
          <w:noProof w:val="0"/>
          <w:color w:val="000000"/>
          <w:position w:val="0"/>
          <w:sz w:val="24"/>
          <w:u w:val="none"/>
          <w:vertAlign w:val="baseline"/>
        </w:rPr>
        <w:t xml:space="preserve">, where the Court discussed the lifting of the corporate veil and the Court of Appeal Case </w:t>
      </w:r>
      <w:r>
        <w:rPr>
          <w:rFonts w:ascii="arial" w:eastAsia="arial" w:hAnsi="arial" w:cs="arial"/>
          <w:b w:val="0"/>
          <w:i/>
          <w:strike w:val="0"/>
          <w:noProof w:val="0"/>
          <w:color w:val="000000"/>
          <w:position w:val="0"/>
          <w:sz w:val="24"/>
          <w:u w:val="none"/>
          <w:vertAlign w:val="baseline"/>
        </w:rPr>
        <w:t xml:space="preserve">Law Kam Loy &amp; Anor v. Boltex Sdn Bhd. &amp; Ors  </w:t>
      </w:r>
      <w:r>
        <w:rPr>
          <w:rFonts w:ascii="arial" w:eastAsia="arial" w:hAnsi="arial" w:cs="arial"/>
          <w:b w:val="0"/>
          <w:i w:val="0"/>
          <w:strike w:val="0"/>
          <w:noProof w:val="0"/>
          <w:color w:val="000000"/>
          <w:position w:val="0"/>
          <w:sz w:val="24"/>
          <w:u w:val="none"/>
          <w:vertAlign w:val="baseline"/>
        </w:rPr>
        <w:t>[2005] 3 CLJ 355.</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The Court would only lift the corporate veil if there were merits to do so. This can be achieved if the Claimant has any evidence to support its claims of malicious intent or with the purpose to force the Claimant to resign. In this case the Claimant’s support is based on the Claimant’s own views and not supported by any evidence. The Claimant could have requested, via subpoena, for the Company to bring documents to the Court to confirm the existence or non-existence of the post in Johor Bahru.</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The absence of any supporting evidence to show there was any negative intention by the Company means that the Court will have to return to the documentary evidence, which is the letter of employment. The terms being expressly stated and there being no exigencies against the Claimant that can be proven on the balance of probabilities, purports to the Court has no other option but to revert back to the terms of the contract.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Just Cause and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xml:space="preserve">  Now, the Court will look at the final issue whether the dismissal was without just cause and excuse as required in subsection 20(1)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This is the very core of every case in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as well as being the role and function of the Industrial Court. Notably the determination of whether the dismissal was with or without just cause and excuse requires a thorough examination of all the facts, evidence and submission of the parties.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xml:space="preserve">  The Court refers to the oft cited Federal Court case </w:t>
      </w:r>
      <w:r>
        <w:rPr>
          <w:rFonts w:ascii="arial" w:eastAsia="arial" w:hAnsi="arial" w:cs="arial"/>
          <w:b/>
          <w:i/>
          <w:strike w:val="0"/>
          <w:noProof w:val="0"/>
          <w:color w:val="000000"/>
          <w:position w:val="0"/>
          <w:sz w:val="24"/>
          <w:u w:val="none"/>
          <w:vertAlign w:val="baseline"/>
        </w:rPr>
        <w:t>Wong Chee Hong</w:t>
      </w:r>
      <w:r>
        <w:rPr>
          <w:rFonts w:ascii="arial" w:eastAsia="arial" w:hAnsi="arial" w:cs="arial"/>
          <w:b w:val="0"/>
          <w:i w:val="0"/>
          <w:strike w:val="0"/>
          <w:noProof w:val="0"/>
          <w:color w:val="000000"/>
          <w:position w:val="0"/>
          <w:sz w:val="24"/>
          <w:u w:val="none"/>
          <w:vertAlign w:val="baseline"/>
        </w:rPr>
        <w:t xml:space="preserve"> mentioned earlier above. The Court stands guided by the Federal Court’s decision which states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When the Industrial Court is dealing with a reference under</w:t>
      </w:r>
      <w:r>
        <w:rPr>
          <w:rFonts w:ascii="arial" w:eastAsia="arial" w:hAnsi="arial" w:cs="arial"/>
          <w:b w:val="0"/>
          <w:i w:val="0"/>
          <w:strike w:val="0"/>
          <w:noProof w:val="0"/>
          <w:color w:val="000000"/>
          <w:position w:val="0"/>
          <w:sz w:val="18"/>
          <w:u w:val="none"/>
          <w:vertAlign w:val="baseline"/>
        </w:rPr>
        <w:t xml:space="preserve"> s. 20</w:t>
      </w:r>
      <w:r>
        <w:rPr>
          <w:rFonts w:ascii="arial" w:eastAsia="arial" w:hAnsi="arial" w:cs="arial"/>
          <w:b/>
          <w:i w:val="0"/>
          <w:strike w:val="0"/>
          <w:noProof w:val="0"/>
          <w:color w:val="000000"/>
          <w:position w:val="0"/>
          <w:sz w:val="18"/>
          <w:u w:val="none"/>
          <w:vertAlign w:val="baseline"/>
        </w:rPr>
        <w:t>, the first thing that the Court will have to do is to ask itself a question whether there was a dismissal, and if so, whether it was with or without just cause or excuse.</w:t>
      </w:r>
      <w:r>
        <w:rPr>
          <w:rFonts w:ascii="arial" w:eastAsia="arial" w:hAnsi="arial" w:cs="arial"/>
          <w:b w:val="0"/>
          <w:i w:val="0"/>
          <w:strike w:val="0"/>
          <w:noProof w:val="0"/>
          <w:color w:val="000000"/>
          <w:position w:val="0"/>
          <w:sz w:val="18"/>
          <w:u w:val="none"/>
          <w:vertAlign w:val="baseline"/>
        </w:rPr>
        <w:t xml:space="preserve"> Dismissal without just cause or excuse may well be similar in concepts to the UK legislation on unfair dismissal, but these two are not exactly identical. Section 20 of our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is entirely different from para. (c) of s. 55(2) of the  UK Protection of 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1978. Therefore we cannot see how the test of unreasonableness which is the basis of the much advocated concept of constructive dismissal by a certain school of thought in UK should be introduced as an aid to the interpretation of the word "dismissal" in our s. 20. We think that the word “ dismissal “ in this section should be interpreted with reference to the common law principle</w:t>
      </w:r>
      <w:r>
        <w:rPr>
          <w:rFonts w:ascii="arial" w:eastAsia="arial" w:hAnsi="arial" w:cs="arial"/>
          <w:b/>
          <w:i w:val="0"/>
          <w:strike w:val="0"/>
          <w:noProof w:val="0"/>
          <w:color w:val="000000"/>
          <w:position w:val="0"/>
          <w:sz w:val="18"/>
          <w:u w:val="none"/>
          <w:vertAlign w:val="baseline"/>
        </w:rPr>
        <w:t>. Thus it would be a dismissal if an employer is guilty of a breach which goes to the root of the contract or if he has evinced an intention no longer to be bound by it</w:t>
      </w:r>
      <w:r>
        <w:rPr>
          <w:rFonts w:ascii="arial" w:eastAsia="arial" w:hAnsi="arial" w:cs="arial"/>
          <w:b w:val="0"/>
          <w:i w:val="0"/>
          <w:strike w:val="0"/>
          <w:noProof w:val="0"/>
          <w:color w:val="000000"/>
          <w:position w:val="0"/>
          <w:sz w:val="18"/>
          <w:u w:val="none"/>
          <w:vertAlign w:val="baseline"/>
        </w:rPr>
        <w:t xml:space="preserve">. In such situation the employee is entitled to regard the contract as terminated and himself as being dismissed. (See </w:t>
      </w:r>
      <w:r>
        <w:rPr>
          <w:rFonts w:ascii="arial" w:eastAsia="arial" w:hAnsi="arial" w:cs="arial"/>
          <w:b w:val="0"/>
          <w:i/>
          <w:strike w:val="0"/>
          <w:noProof w:val="0"/>
          <w:color w:val="000000"/>
          <w:position w:val="0"/>
          <w:sz w:val="18"/>
          <w:u w:val="none"/>
          <w:vertAlign w:val="baseline"/>
        </w:rPr>
        <w:t xml:space="preserve">Bouzourou v. The Ottoman Bank  </w:t>
      </w:r>
      <w:r>
        <w:rPr>
          <w:rFonts w:ascii="arial" w:eastAsia="arial" w:hAnsi="arial" w:cs="arial"/>
          <w:b w:val="0"/>
          <w:i w:val="0"/>
          <w:strike w:val="0"/>
          <w:noProof w:val="0"/>
          <w:color w:val="000000"/>
          <w:position w:val="0"/>
          <w:sz w:val="18"/>
          <w:u w:val="none"/>
          <w:vertAlign w:val="baseline"/>
        </w:rPr>
        <w:t xml:space="preserve">[1930] AC 271 and </w:t>
      </w:r>
      <w:r>
        <w:rPr>
          <w:rFonts w:ascii="arial" w:eastAsia="arial" w:hAnsi="arial" w:cs="arial"/>
          <w:b w:val="0"/>
          <w:i/>
          <w:strike w:val="0"/>
          <w:noProof w:val="0"/>
          <w:color w:val="000000"/>
          <w:position w:val="0"/>
          <w:sz w:val="18"/>
          <w:u w:val="none"/>
          <w:vertAlign w:val="baseline"/>
        </w:rPr>
        <w:t xml:space="preserve">Donovan v. Invicta Airways Ltd.  </w:t>
      </w:r>
      <w:r>
        <w:rPr>
          <w:rFonts w:ascii="arial" w:eastAsia="arial" w:hAnsi="arial" w:cs="arial"/>
          <w:b w:val="0"/>
          <w:i w:val="0"/>
          <w:strike w:val="0"/>
          <w:noProof w:val="0"/>
          <w:color w:val="000000"/>
          <w:position w:val="0"/>
          <w:sz w:val="18"/>
          <w:u w:val="none"/>
          <w:vertAlign w:val="baseline"/>
        </w:rPr>
        <w:t>[1970] Lloyd’s LR 486).</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Although the decision above refers to the employer but this Court believes it is also applicable to the employee. The above case was looking at the scope of the word dismissal, and for the purpose of this case, includes the dismissal of the Claimant. Furthermore, the Company has always maintained that the contract between the Company and the Claimant was the paramount consideration. In fact, it could be construed that it was the Claimant that did not want to be bound by the contract between the Company and the employees. This is because it was the Claimant that did not want to be bound to the terms of the contract of employment, as mentioned earlier.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The above is in furtherance of the discussion regarding natural justice, since the Claimant had in fact written an appeal to the transfer but it was turned down. The fact that there was a written appeal not to transfer is further evidence that the Claimant was aware that the transfer within the group of companies was legal. Furthermore, it reiterates the legal obligation between the parties is binding.</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xml:space="preserve">  The fact that the Company took action due to the Claimant not wanting to fulfil her obligations in the contract is only logical. The question before the Court is whether the dismissal was with just cause and excuse. The Court has to answer in the affirmative. Whilst the Court is acutely aware that the powers of the Court under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are social in nature with the law being rather accommodating to the employees. This does not overrule the basic tenets of the law, whereby a legal contract binds the parties to the said contract. Since there are no evidences that have compromised the sanctity of the agreement, then the parties are still bound to it.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Therefore, based on all the above, the Court believes that the Company had just cause and excuse to dismiss the Claimant. Nonetheless, the Court also believes that the Company ought to have tried to negotiate with PERKESO regarding the nonpayment of the ERP for the employers. Based on the Statement of Case and Statement in Reply, this point has not been argued by the Company. The reply was that it should have been paid by PERKESO.</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True, PERKESO had to make the payments but surely the Company has a role to play to ensure the rights of their employees in the ERP are protected. Therefore, the Court orders that the Company pay the remainder of the amount not paid to the Claimant amounting to Ringgit Malaysia two thousand and four hundred (RM2,400.00) which is equivalent to the four months that the Claimant did not received.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xml:space="preserve">  Therefore, based on all the factors above, based on the principles in subsection 30(5),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namely equity, good conscience and substantial merits of the case without regard to technicalities and legal form and all the evidence adduced in this Court, this Court finds on a balance of probabilities that the Claimant was dismissed with just cause and excuse because the Claimant has failed to prove that there was any exigencies or negative intent by the Company for issuing the transfer letter. The Court also orders under subsection 30(6)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that the Company to pay the Claimant Ringgit Malaysia two thousand and four hundred (RM2,400.00) for contractual obligations that must be fulfilled by the Company.</w:t>
      </w:r>
      <w:r>
        <w:t>
</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Selvi a/p Athmoolam v Fleet Care Malaysia Sdn Bhd  [2024] ILJU 162</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x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x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x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Selvi a/p Athmoolam v Fleet Care Malaysia Sdn Bhd  [2024] ILJU 162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VP-6XK3-MP8R-44FK-00000-00">
    <vt:lpwstr>Doc::/shared/document|contextualFeaturePermID::1522468</vt:lpwstr>
  </property>
  <property fmtid="{D5CDD505-2E9C-101B-9397-08002B2CF9AE}" pid="4" name="LNDeliveryID">
    <vt:lpwstr>286221419</vt:lpwstr>
  </property>
  <property fmtid="{D5CDD505-2E9C-101B-9397-08002B2CF9AE}" pid="5" name="UserPermID">
    <vt:lpwstr>urn:user:PA196491919</vt:lpwstr>
  </property>
</Properties>
</file>