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Tan Heng Kit v Trio Mantap Sdn Bhd  [2022] ILJU 110</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NOOR AZZAH ABDUL AZIZ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2448 OF 2022</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14 November 2022</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The claimant self-represented.</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Khoo Ai Theng (Ng Kee Way &amp; Co)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36"/>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Noor Azzah Abdul Aziz C"/>
            <w:bookmarkEnd w:id="1"/>
            <w:r>
              <w:rPr>
                <w:rFonts w:ascii="arial" w:eastAsia="arial" w:hAnsi="arial" w:cs="arial"/>
                <w:b/>
                <w:i w:val="0"/>
                <w:strike w:val="0"/>
                <w:noProof w:val="0"/>
                <w:color w:val="000000"/>
                <w:position w:val="0"/>
                <w:sz w:val="30"/>
                <w:u w:val="none"/>
                <w:vertAlign w:val="baseline"/>
              </w:rPr>
              <w:t>Noor Azzah Abdul Aziz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made under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Tan Heng Kit</w:t>
      </w:r>
      <w:r>
        <w:rPr>
          <w:rFonts w:ascii="arial" w:eastAsia="arial" w:hAnsi="arial" w:cs="arial"/>
          <w:b w:val="0"/>
          <w:i w:val="0"/>
          <w:strike w:val="0"/>
          <w:noProof w:val="0"/>
          <w:color w:val="000000"/>
          <w:position w:val="0"/>
          <w:sz w:val="24"/>
          <w:u w:val="none"/>
          <w:vertAlign w:val="baseline"/>
        </w:rPr>
        <w:t xml:space="preserve"> (hereinafter referred to as “the Claimant”) by </w:t>
      </w:r>
      <w:r>
        <w:rPr>
          <w:rFonts w:ascii="arial" w:eastAsia="arial" w:hAnsi="arial" w:cs="arial"/>
          <w:b/>
          <w:i w:val="0"/>
          <w:strike w:val="0"/>
          <w:noProof w:val="0"/>
          <w:color w:val="000000"/>
          <w:position w:val="0"/>
          <w:sz w:val="24"/>
          <w:u w:val="none"/>
          <w:vertAlign w:val="baseline"/>
        </w:rPr>
        <w:t>Trio Mantap Sdn. Bhd.</w:t>
      </w:r>
      <w:r>
        <w:rPr>
          <w:rFonts w:ascii="arial" w:eastAsia="arial" w:hAnsi="arial" w:cs="arial"/>
          <w:b w:val="0"/>
          <w:i w:val="0"/>
          <w:strike w:val="0"/>
          <w:noProof w:val="0"/>
          <w:color w:val="000000"/>
          <w:position w:val="0"/>
          <w:sz w:val="24"/>
          <w:u w:val="none"/>
          <w:vertAlign w:val="baseline"/>
        </w:rPr>
        <w:t xml:space="preserve"> (hereinafter referred to as “the Company”) on 4 August 2020.</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AWARD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Ministerial reference in this case required the Court to hear and determine the Claimant’s complaint of dismissal by the Company on 4 August 2020 and was received by the Industrial Court on 20 April 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Hearing of this case proceeded on 11 April 2022 and concluded on 28 June 2022. In this trial, the following witnesses have been called by the parties: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witness:</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CLW-1 : Mr. Tan Heng Kit, the Claimant.</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witness:</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 xml:space="preserve">COW-1 : Ms. Low Sze Chie, Head of Sales (Manager) of the Company. </w:t>
      </w:r>
      <w:r>
        <w:t>
</w:t>
      </w:r>
    </w:p>
    <w:p/>
    <w:p>
      <w:pPr>
        <w:keepNext w:val="0"/>
        <w:spacing w:before="120" w:after="0" w:line="300" w:lineRule="atLeast"/>
        <w:ind w:left="0" w:right="0" w:firstLine="0"/>
        <w:jc w:val="both"/>
      </w:pP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This Court had considered all the notes of proceedings in this matter, and the following documents in handing down this Award:</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Pleadings</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Statement of Case dated 24 September 2021;</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Statement in Reply dated 5 October 2021.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Bundle of Documents</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Documents marked as “COB-1”.</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Witness Statements</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Witness Statement of Tan Heng Kit marked as “CLWS-1”;</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of Low Sze Chie marked as “COWS-1”.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Submissions</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Submission of Company dated 1 August 2022;</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Submission dated 4 August 2022;</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Submission in Reply of Company dated 30 August 2022;</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Reply to Company’s Written Submission dated 1 September 2022.</w:t>
      </w:r>
    </w:p>
    <w:p/>
    <w:p>
      <w:pPr>
        <w:keepNext w:val="0"/>
        <w:spacing w:before="120"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A. FACTUAL MATRIX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dispute before this Court is the claim by the Claimant that he had been wrongfully dismissed by the Company on 4 August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Company avers that there is no wrongful dismissal. The Claimant was not an employee of the Company. There was no letter of appointment and no letter of confirmation issued to the Claimant. The Company merely appoint the Claimant on a job to job basis.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B. THE COMPANY’S CASE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Company denies the allegation that the Claimant was wrongfully dismissed as the Claimant was only serving the Company on a job to job basis. The Claimant was paid until 6 March 2020 due to his assigned job with the Company ended on 6 March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Company avers that –</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was no 3 months probationary contract as alleged by the Claimant;</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at all material time is 68 years old and exceeding the retirement age;</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approached the Company and asked whether the Company could offer him a job;</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informed the Claimant that the job offered will be on job to job basis which means whenever is required;</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all this while was employed on job to job basis (whenever required) but not a permanent worker, therefore there is no contract signed;</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also informed the Claimant that there will be no letter of employment given and the job was on job to job basis due to his old age;</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informed the Claimant that the paid is calculated on daily basis ie RM43.60 per day;</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worked in the office of the Company in end of February ie from 26 February to 28 February (Wednesday to Friday), and early of March ie 2 March to 6 March (Monday to Friday);</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After working on a job basis, the Claimant numerous times asked whether the Company could offer him a permanent job and the Company rejected his request, but the Claimant then keep harassing Ms. Kenix (COW-1) for the issue;</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has empty knowledge in handling computer and due to this the Company no longer assigned any daily job to the Claimant;</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Due to the Claimant’s failure to complete the assigned task when working with the Company, the Company then decided not to assign further task to the Claimant and therefore retract back the decision to give the Company’s Car.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Company further avers that –</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on a good faith basis asked whether the Claimant want to become English Tutor for one Mr. NT Lo, who is looking for English tutor, and ask whether the Claimant want to take the job and the Claimant agreed;</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job will be paid by Mr. NT Lo directly;</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has no legal relationship with Mr. NT Lo and Mr. NT Lo is not the managing director of the Company.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The Company contends that Ms. Kenix’s refusal to reply to the Claimant was due to the Claimant previously keep sending unnecessary messages to Ms. Kenix’s </w:t>
      </w:r>
      <w:r>
        <w:rPr>
          <w:rFonts w:ascii="arial" w:eastAsia="arial" w:hAnsi="arial" w:cs="arial"/>
          <w:b w:val="0"/>
          <w:i/>
          <w:strike w:val="0"/>
          <w:noProof w:val="0"/>
          <w:color w:val="000000"/>
          <w:position w:val="0"/>
          <w:sz w:val="24"/>
          <w:u w:val="none"/>
          <w:vertAlign w:val="baseline"/>
        </w:rPr>
        <w:t>WhatsApp</w:t>
      </w:r>
      <w:r>
        <w:rPr>
          <w:rFonts w:ascii="arial" w:eastAsia="arial" w:hAnsi="arial" w:cs="arial"/>
          <w:b w:val="0"/>
          <w:i w:val="0"/>
          <w:strike w:val="0"/>
          <w:noProof w:val="0"/>
          <w:color w:val="000000"/>
          <w:position w:val="0"/>
          <w:sz w:val="24"/>
          <w:u w:val="none"/>
          <w:vertAlign w:val="baseline"/>
        </w:rPr>
        <w:t xml:space="preserve"> and the issue of job to job basis concept was explained to the Claimant before but the Claimant failed to comprehend that.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Company further contends that despite numerous explanations that the Company is not hiring the Claimant on permanent basis but on job to job basis, the Claimant keep sending messages to harass Ms. Kenix.</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Therefore, the Company prays that the Claimant’s claim be dismissed.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C. THE CLAIMANT’S CASE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The Claimant commenced employment with the Company on a 3-month probationary contract on 26 February 2020, at the age of 68, as an Insurance Consultant, to handle car insurance and road-tax renewals, at a basic salary of RM2,200.00.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The Claimant states that he was told on 28 February 2020 by his manager, Ms. Kenix Low (COW-1), whom the Claimant reports directly to, that his job scope would also include the provision of private English speech coaching to the Managing Director (MD), Mr. NT Lo, at his Bukit Segar Cheras home from 6.30 am to 8.30 am, and after that, the Claimant was to continue with his work at the Taman Midah FORD Cheras office until 6.00 pm daily, with weekends off.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The Claimant further states that Ms. Kenix also informed the Claimant that a company car was being prepared for the purpose of this extra job of giving private English speech coaching to the MD. The Claimant was asked to get his driving licence renewed, which he did on 4 March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No letter of appointment was issued to the Claimant even though Ms. Kenix had told him that it was still “being prepared”, the same way the Claimant was told his company car was “being prepared”.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The Claimant contends that without any warning, the Claimant was asked to meet with the Manager in her office on 10 March 2020. There, the Claimant was told matter-of-factly by Ms. Kenix that his tutoring session with the MD would commence the following day (11 March 2020) at 7.30 am to 9.00 am, instead of 6.30 am to 8.30 am, and that there would be no company car provided, and that his salary was no longer RM2,200.00 but only RM1,500.00 per month. Ms. Kenix also told the Claimant that after the tutoring session over, he was no longer required to proceed to the Taman Midah FORD Cheras Office to continue working until 6.00 pm as agreed earlier, but that the Claimant can have “the rest of the day off”.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The Claimant further contends that with a demotion in salary and the promised company car benefit withdrawn, the Claimant was kept in the dark as to why he was suddenly demoted and assigned with only a tutoring job, reduced to a salary of RM1,500.00 per month without any good reason given, as there was no appraisal conducted, no verbal or written warning of any wrongdoing issued, no counselling given, no domestic inquiry conducted, no show-cause letter issued, and no termination letter given, yet he was asked to remove his personal belongings, vacate his desk, and return all company property, including his employee security card on 12 March 2020, even after Ms. Kenix had informed his team mates on 10 March 2020 that he would be away from the office working on a project with the MD, which implied that the Claimant would be coming back to the office once the project with the MD was over.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The Claimant then wrote to Ms. Kenix on the evening after removing his personal belongings, and vacating his workstation on the morning of 12 March 2020, asking for the reason as to why he had been wrongly demoted on 10 March 2020 and then asked to vacate his workstation on 12 March 2020, when it was understood that he would be returning to his workplace once his project with the MD was over. However, there was no reply from Ms. Kenix.</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The Claimant avers that in his </w:t>
      </w:r>
      <w:r>
        <w:rPr>
          <w:rFonts w:ascii="arial" w:eastAsia="arial" w:hAnsi="arial" w:cs="arial"/>
          <w:b w:val="0"/>
          <w:i/>
          <w:strike w:val="0"/>
          <w:noProof w:val="0"/>
          <w:color w:val="000000"/>
          <w:position w:val="0"/>
          <w:sz w:val="24"/>
          <w:u w:val="none"/>
          <w:vertAlign w:val="baseline"/>
        </w:rPr>
        <w:t>WhatsApp</w:t>
      </w:r>
      <w:r>
        <w:rPr>
          <w:rFonts w:ascii="arial" w:eastAsia="arial" w:hAnsi="arial" w:cs="arial"/>
          <w:b w:val="0"/>
          <w:i w:val="0"/>
          <w:strike w:val="0"/>
          <w:noProof w:val="0"/>
          <w:color w:val="000000"/>
          <w:position w:val="0"/>
          <w:sz w:val="24"/>
          <w:u w:val="none"/>
          <w:vertAlign w:val="baseline"/>
        </w:rPr>
        <w:t xml:space="preserve"> letter on 12 March 2020 to Ms. Kenix, the Claimant had also appealed that he be allowed to complete his 3-month probationary period as contracted, before Ms. Kenix decide on whether to extend the probationary period, or confirm the Claimant’s appointment, or to terminate the contract if she so decided. But the Claimant’s request was unreasonably turned down with a totally silent response.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The Claimant therefore contends that he was wrongfully and unjustly disciplined with an arbitrary demotion on 10 March 2020 without just cause and excuse followed by a wrongful dismissal, also without just cause and excuse and was against the rules of natural justice on 12 March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The Claimant prays that the Court order reinstatement with full backwages, or alternatively, order the Company to pay full backwages in lieu of reinstatement plus compensation for loss of employment, as if the Claimant was never wrongfully dismissed without just cause and excuse and against the rules of natural justice, taking into account that there are exceptions to the rules that need to be made on a case-to-case basis, for justice to be done, considering that the Claimant could still work from age 68 to his retirement at age 94, for another 26 years, if he had not been wrongfully dismissed, based on the senior-citizen employee retirement age precedent set by the ex-Prime Minister, Tun Mahathir.</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D. ROLE OF INDUSTRIAL COURT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In</w:t>
      </w:r>
      <w:r>
        <w:rPr>
          <w:rFonts w:ascii="arial" w:eastAsia="arial" w:hAnsi="arial" w:cs="arial"/>
          <w:b w:val="0"/>
          <w:i/>
          <w:strike w:val="0"/>
          <w:noProof w:val="0"/>
          <w:color w:val="000000"/>
          <w:position w:val="0"/>
          <w:sz w:val="24"/>
          <w:u w:val="none"/>
          <w:vertAlign w:val="baseline"/>
        </w:rPr>
        <w:t xml:space="preserve"> Wong Chee Hong v. Cathay Organisation (M) Sdn. Bhd. </w:t>
      </w:r>
      <w:r>
        <w:rPr>
          <w:rFonts w:ascii="arial" w:eastAsia="arial" w:hAnsi="arial" w:cs="arial"/>
          <w:b w:val="0"/>
          <w:i w:val="0"/>
          <w:strike w:val="0"/>
          <w:noProof w:val="0"/>
          <w:color w:val="000000"/>
          <w:position w:val="0"/>
          <w:sz w:val="24"/>
          <w:u w:val="none"/>
          <w:vertAlign w:val="baseline"/>
        </w:rPr>
        <w:t xml:space="preserve"> [1988] 1 MLJ 92 the Federal Court held that the role of the Industrial Court pertaining to a reference under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is to ask itself a question whether there was a dismissal; and, if so, whether it was with or without just cause or excuse. His Lordship Tun Salleh Abas LP at page 302:</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the first thing that the Court will have to do is to ask itself a question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whether there was a dismissal, and if so, whether it was with or without just cause or excuse.”. </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His Lordship Raja Azlan Shah CJ (Malaya) (as His Royal Highness then was) in a Federal Court Case of </w:t>
      </w:r>
      <w:r>
        <w:rPr>
          <w:rFonts w:ascii="arial" w:eastAsia="arial" w:hAnsi="arial" w:cs="arial"/>
          <w:b w:val="0"/>
          <w:i/>
          <w:strike w:val="0"/>
          <w:noProof w:val="0"/>
          <w:color w:val="000000"/>
          <w:position w:val="0"/>
          <w:sz w:val="24"/>
          <w:u w:val="none"/>
          <w:vertAlign w:val="baseline"/>
        </w:rPr>
        <w:t xml:space="preserve">Goon Kwee Phoy v. J&amp;P Coats (M) Bhd. </w:t>
      </w:r>
      <w:r>
        <w:rPr>
          <w:rFonts w:ascii="arial" w:eastAsia="arial" w:hAnsi="arial" w:cs="arial"/>
          <w:b w:val="0"/>
          <w:i w:val="0"/>
          <w:strike w:val="0"/>
          <w:noProof w:val="0"/>
          <w:color w:val="000000"/>
          <w:position w:val="0"/>
          <w:sz w:val="24"/>
          <w:u w:val="none"/>
          <w:vertAlign w:val="baseline"/>
        </w:rPr>
        <w:t xml:space="preserve"> [1981] 1 LNS 30; ; [1981] 2 MLJ 129 at page 136 held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“Where representations are made and are referred to the Industrial Court for enquiry,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it is the duty of that court to determine whether the termination or dismissal is with or without just cause or excuse.</w:t>
      </w:r>
      <w:r>
        <w:rPr>
          <w:rFonts w:ascii="arial" w:eastAsia="arial" w:hAnsi="arial" w:cs="arial"/>
          <w:b w:val="0"/>
          <w:i/>
          <w:strike w:val="0"/>
          <w:noProof w:val="0"/>
          <w:color w:val="000000"/>
          <w:position w:val="0"/>
          <w:sz w:val="18"/>
          <w:u w:val="none"/>
          <w:vertAlign w:val="baseline"/>
        </w:rPr>
        <w:t xml:space="preserve"> If the employer chooses to give a reason for the action taken by him, the duty of the Industrial Court will be to enquire whether the excuse or reason has or has not been made out.</w:t>
      </w:r>
      <w:r>
        <w:rPr>
          <w:rFonts w:ascii="arial" w:eastAsia="arial" w:hAnsi="arial" w:cs="arial"/>
          <w:b w:val="0"/>
          <w:i/>
          <w:strike w:val="0"/>
          <w:noProof w:val="0"/>
          <w:color w:val="000000"/>
          <w:position w:val="0"/>
          <w:sz w:val="18"/>
          <w:u w:val="single"/>
          <w:vertAlign w:val="baseline"/>
        </w:rPr>
        <w:t xml:space="preserve"> If it finds as a fact that it has not been proved, then the inevitable conclusion must be the termination or dismissal was without just cause or excuse.</w:t>
      </w:r>
      <w:r>
        <w:rPr>
          <w:rFonts w:ascii="arial" w:eastAsia="arial" w:hAnsi="arial" w:cs="arial"/>
          <w:b w:val="0"/>
          <w:i/>
          <w:strike w:val="0"/>
          <w:noProof w:val="0"/>
          <w:color w:val="000000"/>
          <w:position w:val="0"/>
          <w:sz w:val="18"/>
          <w:u w:val="none"/>
          <w:vertAlign w:val="baseline"/>
        </w:rPr>
        <w:t xml:space="preserve"> The proper enquiry of the court is the reason advanced by it and that court or the High Court cannot go into another reason not relied on by the employer or find one for it.” </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E. BURDEN OF PROOF AND STANDARD OF PROOF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In the case of</w:t>
      </w:r>
      <w:r>
        <w:rPr>
          <w:rFonts w:ascii="arial" w:eastAsia="arial" w:hAnsi="arial" w:cs="arial"/>
          <w:b w:val="0"/>
          <w:i/>
          <w:strike w:val="0"/>
          <w:noProof w:val="0"/>
          <w:color w:val="000000"/>
          <w:position w:val="0"/>
          <w:sz w:val="24"/>
          <w:u w:val="none"/>
          <w:vertAlign w:val="baseline"/>
        </w:rPr>
        <w:t xml:space="preserve"> 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 [2002] 3 CLJ 314 the Court of Appeal had laid down the principle that the standard of proof that is required to prove a case in the Industrial Court is one that is on the balance of probabilities: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Industrial Court should not be burdened with the technicalities regarding the standard of proof, the rules of evidence and procedures that are applied in the court of law. The Industrial Court should be allowed to discharge its functions as it was intended to by statute and to conduct its proceeding as a ‘court of arbitration’.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It should be more flexible in arriving at its decision, so long as it gives special regard to substantial merits and decide a case in accordance with equity and good conscience.”. </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As the fact of dismissal is disputed, the burden of proof is on the Claimant to show on a balance of probabilities that there is an actual dismissal. In order to prove that he had been dismissed, the Claimant must first establish that he was in fact employed by the Company and an employer-employee relationship existed between him and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Upon the fact of dismissal being established, the Court has to consider on a balance of probabilities whether the said dismissal of the Claimant was with just cause or excuse. The burden of proof at this point shifts to the employer or the Company to show that the Claimant’s dismissal was with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F. ISSUES TO BE DECIDED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The issues to be determined in this case are –</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Whether the Claimant is a “workman” within the definition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and</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Whether the Claimant had been dismissed by the Company, and if so, whether the said dismissal of the Claimant was with just cause or excuse.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G. EVALUATION OF EVIDENCE AND FINDINGS OF THE COURT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 xml:space="preserve">(i) Whether the Claimant is a “workman” within the definition of the 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single"/>
          <w:vertAlign w:val="baseline"/>
        </w:rPr>
        <w:t xml:space="preserve"> </w:t>
      </w:r>
      <w:r>
        <w:rPr>
          <w:rFonts w:ascii="arial" w:eastAsia="arial" w:hAnsi="arial" w:cs="arial"/>
          <w:b/>
          <w:i/>
          <w:strike w:val="0"/>
          <w:noProof w:val="0"/>
          <w:color w:val="000000"/>
          <w:position w:val="0"/>
          <w:sz w:val="24"/>
          <w:u w:val="single"/>
          <w:vertAlign w:val="baseline"/>
        </w:rPr>
        <w:t>177</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The Court needs to decide if the Claimant is a “workman” first because otherwise, he will not be covered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The words “contract of employment”, “employer” dan “workman” are defined in section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‘“contract of employment” means any agreement, whether oral or in writing and whether express or implied, whereby one person agrees toemploy another as a workman and that other agrees to serve his employer as a workman;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“employer” means any person or body of persons, whether corporate or unincorporate, who employs a workman under a contract of employment, and includes the Government and any statutory authority, unless otherwise expressly stated in this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“workman” means any person, including an apprentice, employed by an employer under a contract of employment to work for hire or reward and for the purposes of any proceedings in relation to a trade dispute includes any such person who has been dismissed, discharged or retrenched in connection with or as a consequence of that dispute or whose dismissal, discharge or retrenchment has led to that dispute.’. </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The term “workman” was deliberated by the Federal Court in the decision of</w:t>
      </w:r>
      <w:r>
        <w:rPr>
          <w:rFonts w:ascii="arial" w:eastAsia="arial" w:hAnsi="arial" w:cs="arial"/>
          <w:b w:val="0"/>
          <w:i/>
          <w:strike w:val="0"/>
          <w:noProof w:val="0"/>
          <w:color w:val="000000"/>
          <w:position w:val="0"/>
          <w:sz w:val="24"/>
          <w:u w:val="none"/>
          <w:vertAlign w:val="baseline"/>
        </w:rPr>
        <w:t xml:space="preserve"> Dr A Dutt v. Assunta Hospital </w:t>
      </w:r>
      <w:r>
        <w:rPr>
          <w:rFonts w:ascii="arial" w:eastAsia="arial" w:hAnsi="arial" w:cs="arial"/>
          <w:b w:val="0"/>
          <w:i w:val="0"/>
          <w:strike w:val="0"/>
          <w:noProof w:val="0"/>
          <w:color w:val="000000"/>
          <w:position w:val="0"/>
          <w:sz w:val="24"/>
          <w:u w:val="none"/>
          <w:vertAlign w:val="baseline"/>
        </w:rPr>
        <w:t xml:space="preserve"> [1981] 1 LNS 5. The question that arose, inter alia, was whether the Industrial Court was correct in arriving at a conclusion whether the appellant was a workman under subsection 20(1)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In his judgment, Chang Min Tat FJ said: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“As for the determination whether Dr. Dutt was or was not a workman within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we have, in an earlier decision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Assunta Hospital v. Dr A Dutt </w:t>
      </w:r>
      <w:r>
        <w:rPr>
          <w:rFonts w:ascii="arial" w:eastAsia="arial" w:hAnsi="arial" w:cs="arial"/>
          <w:b w:val="0"/>
          <w:i w:val="0"/>
          <w:strike w:val="0"/>
          <w:noProof w:val="0"/>
          <w:color w:val="000000"/>
          <w:position w:val="0"/>
          <w:sz w:val="18"/>
          <w:u w:val="none"/>
          <w:vertAlign w:val="baseline"/>
        </w:rPr>
        <w:t xml:space="preserve"> [1981] 1 MLJ 115, </w:t>
      </w:r>
      <w:r>
        <w:rPr>
          <w:rFonts w:ascii="arial" w:eastAsia="arial" w:hAnsi="arial" w:cs="arial"/>
          <w:b w:val="0"/>
          <w:i/>
          <w:strike w:val="0"/>
          <w:noProof w:val="0"/>
          <w:color w:val="000000"/>
          <w:position w:val="0"/>
          <w:sz w:val="18"/>
          <w:u w:val="none"/>
          <w:vertAlign w:val="baseline"/>
        </w:rPr>
        <w:t>said that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the question is a mixed question of fact and law and it is for the Industrial Court to determine this question</w:t>
      </w:r>
      <w:r>
        <w:rPr>
          <w:rFonts w:ascii="arial" w:eastAsia="arial" w:hAnsi="arial" w:cs="arial"/>
          <w:b w:val="0"/>
          <w:i w:val="0"/>
          <w:strike w:val="0"/>
          <w:noProof w:val="0"/>
          <w:color w:val="000000"/>
          <w:position w:val="0"/>
          <w:sz w:val="18"/>
          <w:u w:val="single"/>
          <w:vertAlign w:val="baseline"/>
        </w:rPr>
        <w:t>.</w:t>
      </w:r>
      <w:r>
        <w:rPr>
          <w:rFonts w:ascii="arial" w:eastAsia="arial" w:hAnsi="arial" w:cs="arial"/>
          <w:b w:val="0"/>
          <w:i/>
          <w:strike w:val="0"/>
          <w:noProof w:val="0"/>
          <w:color w:val="000000"/>
          <w:position w:val="0"/>
          <w:sz w:val="18"/>
          <w:u w:val="none"/>
          <w:vertAlign w:val="baseline"/>
        </w:rPr>
        <w:t xml:space="preserve"> The fact is the ascertainment of the relevant conduct of the parties under their contract and the inference proper to be drawn therefrom as to the terms of the contract and the question of law,</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once the terms have been ascertained, is the classification of the contract for services or for service:</w:t>
      </w:r>
      <w:r>
        <w:rPr>
          <w:rFonts w:ascii="arial" w:eastAsia="arial" w:hAnsi="arial" w:cs="arial"/>
          <w:b w:val="0"/>
          <w:i/>
          <w:strike w:val="0"/>
          <w:noProof w:val="0"/>
          <w:color w:val="000000"/>
          <w:position w:val="0"/>
          <w:sz w:val="18"/>
          <w:u w:val="none"/>
          <w:vertAlign w:val="baseline"/>
        </w:rPr>
        <w:t xml:space="preserve"> see also</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Australian Timber Workers Union v Monaro Sawmills Pty Ltd </w:t>
      </w:r>
      <w:r>
        <w:rPr>
          <w:rFonts w:ascii="arial" w:eastAsia="arial" w:hAnsi="arial" w:cs="arial"/>
          <w:b w:val="0"/>
          <w:i w:val="0"/>
          <w:strike w:val="0"/>
          <w:noProof w:val="0"/>
          <w:color w:val="000000"/>
          <w:position w:val="0"/>
          <w:sz w:val="18"/>
          <w:u w:val="none"/>
          <w:vertAlign w:val="baseline"/>
        </w:rPr>
        <w:t xml:space="preserve"> (1980) 29 ALR 322.</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In</w:t>
      </w:r>
      <w:r>
        <w:rPr>
          <w:rFonts w:ascii="arial" w:eastAsia="arial" w:hAnsi="arial" w:cs="arial"/>
          <w:b w:val="0"/>
          <w:i/>
          <w:strike w:val="0"/>
          <w:noProof w:val="0"/>
          <w:color w:val="000000"/>
          <w:position w:val="0"/>
          <w:sz w:val="24"/>
          <w:u w:val="none"/>
          <w:vertAlign w:val="baseline"/>
        </w:rPr>
        <w:t xml:space="preserve"> Hoh Kiang Ngan v. Mahkamah Perusahaan Malaysia &amp; Anor </w:t>
      </w:r>
      <w:r>
        <w:rPr>
          <w:rFonts w:ascii="arial" w:eastAsia="arial" w:hAnsi="arial" w:cs="arial"/>
          <w:b w:val="0"/>
          <w:i w:val="0"/>
          <w:strike w:val="0"/>
          <w:noProof w:val="0"/>
          <w:color w:val="000000"/>
          <w:position w:val="0"/>
          <w:sz w:val="24"/>
          <w:u w:val="none"/>
          <w:vertAlign w:val="baseline"/>
        </w:rPr>
        <w:t xml:space="preserve"> [1996] 4 CLJ 687, the Federal Court made a comparison between a “contract of service” and an “independent contractor who is engaged under a contract for service”, with the latter not being categorised as a workman: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“In our judgment, the correct test to be applied in determining whether a claimant is a workman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is that enunciated by Chang Min Tat FJ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Dr A Dutt v. Assunta Hospital </w:t>
      </w:r>
      <w:r>
        <w:rPr>
          <w:rFonts w:ascii="arial" w:eastAsia="arial" w:hAnsi="arial" w:cs="arial"/>
          <w:b w:val="0"/>
          <w:i w:val="0"/>
          <w:strike w:val="0"/>
          <w:noProof w:val="0"/>
          <w:color w:val="000000"/>
          <w:position w:val="0"/>
          <w:sz w:val="18"/>
          <w:u w:val="none"/>
          <w:vertAlign w:val="baseline"/>
        </w:rPr>
        <w:t xml:space="preserve"> [1981] 1 MLJ 304 </w:t>
      </w:r>
      <w:r>
        <w:rPr>
          <w:rFonts w:ascii="arial" w:eastAsia="arial" w:hAnsi="arial" w:cs="arial"/>
          <w:b w:val="0"/>
          <w:i/>
          <w:strike w:val="0"/>
          <w:noProof w:val="0"/>
          <w:color w:val="000000"/>
          <w:position w:val="0"/>
          <w:sz w:val="18"/>
          <w:u w:val="none"/>
          <w:vertAlign w:val="baseline"/>
        </w:rPr>
        <w:t>at p. 311.</w:t>
      </w:r>
      <w:r>
        <w:rPr>
          <w:rFonts w:ascii="arial" w:eastAsia="arial" w:hAnsi="arial" w:cs="arial"/>
          <w:b w:val="0"/>
          <w:i/>
          <w:strike w:val="0"/>
          <w:noProof w:val="0"/>
          <w:color w:val="000000"/>
          <w:position w:val="0"/>
          <w:sz w:val="18"/>
          <w:u w:val="single"/>
          <w:vertAlign w:val="baseline"/>
        </w:rPr>
        <w:t xml:space="preserve"> We accordingly hold that a workman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is one who is engaged under a contract of service. An independent contractor who is engaged under a contract for services is not a workman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w:t>
      </w:r>
      <w:r>
        <w:rPr>
          <w:rFonts w:ascii="arial" w:eastAsia="arial" w:hAnsi="arial" w:cs="arial"/>
          <w:b w:val="0"/>
          <w:i/>
          <w:strike w:val="0"/>
          <w:noProof w:val="0"/>
          <w:color w:val="000000"/>
          <w:position w:val="0"/>
          <w:sz w:val="18"/>
          <w:u w:val="none"/>
          <w:vertAlign w:val="baseline"/>
        </w:rPr>
        <w:t xml:space="preserve"> We take this view because it provides, as earlier observed, for a flexible approach to the determination of the question. It is fairly plain to see why flexibility is achieved by having resort to this test.”.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xml:space="preserve">  In the present case, based on the evidence adduced before the Court, this Court finds that the Claimant had failed to prove on a balance of probabilities that he is a “workman” within the definition of section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This Court also finds that there was no contract of service between the Company and the Claimant at all times. Nor was there any letter of offer or letter of confirmation issued by the Company to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Ms. Low Sze Chie, Head of Sales (Manager) of the Company (COW 1) in her Witness Statement (COWS-1) and in cross-examination gave evidence as follows:</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not a permanent employee of the Company. The Claimant merely work at the Company on a job to job basis.</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no letter of employment issued to the Claimant.</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at all material time is 68 years old and exceeding the retirement age.</w:t>
      </w:r>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approached the Company and asked whether the Company could offer him a job. The Company had informed the Claimant that the job offered will be on job to job basis which means whenever is required.</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also informed the Claimant the paid is calculated on daily basis ie RM43.60 per day.</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worked in the office of the Company end of February ie from 26 February to 28 February (Wednesday to Friday), and early of March ie 2 March to 6 March (Monday to Friday).</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paid RM341.38 as Casual Wages for February 2020 (and March 2020) via Cash Voucher on 5 March 2020 (page 7 in COB-1).</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The Claimant (CLW-1) when cross-examined by the learned Counsel for the Company admitted that there was no letter of offer and no letter of confirmation to work as a permanent employee from the Company:</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Ok. And normally after the probation, there will be a letter of confirmation if you were confirmed as a permanent employee?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Yes.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Agree?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Yes.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Ok. Do you agree with me in your case, in the current case, there’s no letter of offer and there’s no letter of confirmation of work as a permanent employee. Agree or disagree?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Agree. Company not following the law.</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Agree?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A: Agree.”. </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In the case of</w:t>
      </w:r>
      <w:r>
        <w:rPr>
          <w:rFonts w:ascii="arial" w:eastAsia="arial" w:hAnsi="arial" w:cs="arial"/>
          <w:b w:val="0"/>
          <w:i/>
          <w:strike w:val="0"/>
          <w:noProof w:val="0"/>
          <w:color w:val="000000"/>
          <w:position w:val="0"/>
          <w:sz w:val="24"/>
          <w:u w:val="none"/>
          <w:vertAlign w:val="baseline"/>
        </w:rPr>
        <w:t xml:space="preserve"> Nova Charm Sdn Bhd v. Ooi Hock Huat </w:t>
      </w:r>
      <w:r>
        <w:rPr>
          <w:rFonts w:ascii="arial" w:eastAsia="arial" w:hAnsi="arial" w:cs="arial"/>
          <w:b w:val="0"/>
          <w:i w:val="0"/>
          <w:strike w:val="0"/>
          <w:noProof w:val="0"/>
          <w:color w:val="000000"/>
          <w:position w:val="0"/>
          <w:sz w:val="24"/>
          <w:u w:val="none"/>
          <w:vertAlign w:val="baseline"/>
        </w:rPr>
        <w:t xml:space="preserve"> [2002] 1 ILR 706, the Industrial Court held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The court is of the view that the conduct of the parties in the performance of the services point to</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an arrangement for the rendition of delivery services by the claimant on an ad hoc and casual basis rather than one where there a contract of service between an employer and employee.</w:t>
      </w:r>
      <w:r>
        <w:rPr>
          <w:rFonts w:ascii="arial" w:eastAsia="arial" w:hAnsi="arial" w:cs="arial"/>
          <w:b w:val="0"/>
          <w:i/>
          <w:strike w:val="0"/>
          <w:noProof w:val="0"/>
          <w:color w:val="000000"/>
          <w:position w:val="0"/>
          <w:sz w:val="18"/>
          <w:u w:val="none"/>
          <w:vertAlign w:val="baseline"/>
        </w:rPr>
        <w:t xml:space="preserve"> Indeed, the only element in this case that is the slightest indication of an employment relationship is the fact that the claimant used the company’s van to perform the services. This sole factor is clearly not determinative of the character of the relationship when the entire facts and circumstances of the case are viewed in totality.</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For the reasons above, the court holds that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the claimant has failed to discharge the burden of proving that he was a workman within the meaning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1967.”. </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Parties bound by pleadings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The Claimant in his Statement of Case states that he was wrongfully dismissed by the Company from his Insurance Consultant desk-job on 12 March 2020, and which led to his subsequent wrongful dismissal as a private English speech tutor to the MD (Managing Director, Mr. NT Lo) on 15 March 2020. However, during trial in Court, the Claimant claimed that he was constructively dismissed himself.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The Claimant (CLW-1) in his Witness Statement (CLWS-1) at paragraph 4.14 states that “... for non-compliance of labour laws and my wrongful (constructive) dismissal on 10.3.2020, in having my monthly salary reduced from RM2,200 to RM1,500 without just cause or excuse,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Further, during cross-examination by the learned Counsel for the Company, the Claimant admitted that he was constructively dismissed but not unlawfully dismissed. The Claimant admitted that the Statement of Case did not plead anything with regard to the constructive dismissal:</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Yes. Ok, I put it that way. You deem yourself constructive dismiss by Trio Mantap. Am I right? Because Trio, you mentioned that Trio Mantap reduced your salary from RM2,200 to RM1,500?</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Yes.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So, constructive dismiss by Trio Mantap on 10 March 2020. Agree or disagree?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Yes, yes, agree.”.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I just quoted whatever you said. And the wrongfully dismissal for Mr. NT Lo from stop hiring you as a private tutor?</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No. He did not give any termination letter to me. So, it was still constructive dismissal.</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Ok, so for both cases, for both cases, Trio Mantap and NT Lo are constructive dismissal?</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A: Constructive dismissal, correct.”. </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xml:space="preserve">  This Court refers to the case relied on by the learned Counsel for the Company in its Written Submission, </w:t>
      </w:r>
      <w:r>
        <w:rPr>
          <w:rFonts w:ascii="arial" w:eastAsia="arial" w:hAnsi="arial" w:cs="arial"/>
          <w:b w:val="0"/>
          <w:i/>
          <w:strike w:val="0"/>
          <w:noProof w:val="0"/>
          <w:color w:val="000000"/>
          <w:position w:val="0"/>
          <w:sz w:val="24"/>
          <w:u w:val="none"/>
          <w:vertAlign w:val="baseline"/>
        </w:rPr>
        <w:t xml:space="preserve">Tan Keng Yong &amp; Anor v Tan Hwa Ling &amp; Ors </w:t>
      </w:r>
      <w:r>
        <w:rPr>
          <w:rFonts w:ascii="arial" w:eastAsia="arial" w:hAnsi="arial" w:cs="arial"/>
          <w:b w:val="0"/>
          <w:i w:val="0"/>
          <w:strike w:val="0"/>
          <w:noProof w:val="0"/>
          <w:color w:val="000000"/>
          <w:position w:val="0"/>
          <w:sz w:val="24"/>
          <w:u w:val="none"/>
          <w:vertAlign w:val="baseline"/>
        </w:rPr>
        <w:t xml:space="preserve"> [2022] 3 CLJ 274, whereby the Court of Appeal held: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r>
        <w:rPr>
          <w:rFonts w:ascii="arial" w:eastAsia="arial" w:hAnsi="arial" w:cs="arial"/>
          <w:b/>
          <w:i/>
          <w:strike w:val="0"/>
          <w:noProof w:val="0"/>
          <w:color w:val="000000"/>
          <w:position w:val="0"/>
          <w:sz w:val="18"/>
          <w:u w:val="none"/>
          <w:vertAlign w:val="baseline"/>
        </w:rPr>
        <w:t>[70]</w:t>
      </w:r>
      <w:r>
        <w:rPr>
          <w:rFonts w:ascii="arial" w:eastAsia="arial" w:hAnsi="arial" w:cs="arial"/>
          <w:b w:val="0"/>
          <w:i/>
          <w:strike w:val="0"/>
          <w:noProof w:val="0"/>
          <w:color w:val="000000"/>
          <w:position w:val="0"/>
          <w:sz w:val="18"/>
          <w:u w:val="none"/>
          <w:vertAlign w:val="baseline"/>
        </w:rPr>
        <w:t xml:space="preserve"> On the first issue,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it is trite law that parties are bound by their pleadings.</w:t>
      </w:r>
      <w:r>
        <w:rPr>
          <w:rFonts w:ascii="arial" w:eastAsia="arial" w:hAnsi="arial" w:cs="arial"/>
          <w:b w:val="0"/>
          <w:i/>
          <w:strike w:val="0"/>
          <w:noProof w:val="0"/>
          <w:color w:val="000000"/>
          <w:position w:val="0"/>
          <w:sz w:val="18"/>
          <w:u w:val="none"/>
          <w:vertAlign w:val="baseline"/>
        </w:rPr>
        <w:t xml:space="preserve"> Abundance of authorities decided on the issue, Federal Court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Anjalai Ammal &amp; Anor v. Abdul Kareem </w:t>
      </w:r>
      <w:r>
        <w:rPr>
          <w:rFonts w:ascii="arial" w:eastAsia="arial" w:hAnsi="arial" w:cs="arial"/>
          <w:b w:val="0"/>
          <w:i w:val="0"/>
          <w:strike w:val="0"/>
          <w:noProof w:val="0"/>
          <w:color w:val="000000"/>
          <w:position w:val="0"/>
          <w:sz w:val="18"/>
          <w:u w:val="none"/>
          <w:vertAlign w:val="baseline"/>
        </w:rPr>
        <w:t xml:space="preserve"> [1968] 1 LNS 8; ; [1969] 1 MLJ 22 </w:t>
      </w:r>
      <w:r>
        <w:rPr>
          <w:rFonts w:ascii="arial" w:eastAsia="arial" w:hAnsi="arial" w:cs="arial"/>
          <w:b w:val="0"/>
          <w:i/>
          <w:strike w:val="0"/>
          <w:noProof w:val="0"/>
          <w:color w:val="000000"/>
          <w:position w:val="0"/>
          <w:sz w:val="18"/>
          <w:u w:val="none"/>
          <w:vertAlign w:val="baseline"/>
        </w:rPr>
        <w:t>had made the following observation and had opined that:</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There is considerable authority in regard to the purpose and effect of particulars filed pursuant to O. 19 r. 7A of the Rules of the Supreme Court. At p. 31 of Halsbury (3rd Edn.) Vol 3, the learned commentator has this to say:</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A party is bound by his pleadings unless he is allowed to amend them, and</w:t>
      </w:r>
      <w:r>
        <w:rPr>
          <w:rFonts w:ascii="arial" w:eastAsia="arial" w:hAnsi="arial" w:cs="arial"/>
          <w:b w:val="0"/>
          <w:i/>
          <w:strike w:val="0"/>
          <w:noProof w:val="0"/>
          <w:color w:val="000000"/>
          <w:position w:val="0"/>
          <w:sz w:val="18"/>
          <w:u w:val="single"/>
          <w:vertAlign w:val="baseline"/>
        </w:rPr>
        <w:t xml:space="preserve"> he is therefore bound by his particulars, which are, in effect, part of the pleadings under which they are delivered</w:t>
      </w:r>
      <w:r>
        <w:rPr>
          <w:rFonts w:ascii="arial" w:eastAsia="arial" w:hAnsi="arial" w:cs="arial"/>
          <w:b w:val="0"/>
          <w:i w:val="0"/>
          <w:strike w:val="0"/>
          <w:noProof w:val="0"/>
          <w:color w:val="000000"/>
          <w:position w:val="0"/>
          <w:sz w:val="18"/>
          <w:u w:val="single"/>
          <w:vertAlign w:val="baseline"/>
        </w:rPr>
        <w:t xml:space="preserve">. </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Thomson v. Birkley [1883] 47 LTR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 700 Watkin Williams J says:</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object of particulars is to prevent surprise and to limit and particularise events</w:t>
      </w:r>
      <w:r>
        <w:rPr>
          <w:rFonts w:ascii="arial" w:eastAsia="arial" w:hAnsi="arial" w:cs="arial"/>
          <w:b w:val="0"/>
          <w:i/>
          <w:strike w:val="0"/>
          <w:noProof w:val="0"/>
          <w:color w:val="000000"/>
          <w:position w:val="0"/>
          <w:sz w:val="18"/>
          <w:u w:val="none"/>
          <w:vertAlign w:val="baseline"/>
        </w:rPr>
        <w:t xml:space="preserve"> in order that both parties should come to trial fully prepared for the issues. </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 xml:space="preserve">In Spedding v. Fitzpatrick </w:t>
      </w:r>
      <w:r>
        <w:rPr>
          <w:rFonts w:ascii="arial" w:eastAsia="arial" w:hAnsi="arial" w:cs="arial"/>
          <w:b w:val="0"/>
          <w:i w:val="0"/>
          <w:strike w:val="0"/>
          <w:noProof w:val="0"/>
          <w:color w:val="000000"/>
          <w:position w:val="0"/>
          <w:sz w:val="18"/>
          <w:u w:val="none"/>
          <w:vertAlign w:val="baseline"/>
        </w:rPr>
        <w:t xml:space="preserve"> (1889) 36 Ch D 410</w:t>
      </w:r>
      <w:r>
        <w:rPr>
          <w:rFonts w:ascii="arial" w:eastAsia="arial" w:hAnsi="arial" w:cs="arial"/>
          <w:b w:val="0"/>
          <w:i/>
          <w:strike w:val="0"/>
          <w:noProof w:val="0"/>
          <w:color w:val="000000"/>
          <w:position w:val="0"/>
          <w:sz w:val="18"/>
          <w:u w:val="none"/>
          <w:vertAlign w:val="baseline"/>
        </w:rPr>
        <w:t xml:space="preserve"> at 413 Cotton LJ says:</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The object of particulars is to enable the party asking for them to know what case he has to meet at the trial, and so to save unnecessary expense and</w:t>
      </w:r>
      <w:r>
        <w:rPr>
          <w:rFonts w:ascii="arial" w:eastAsia="arial" w:hAnsi="arial" w:cs="arial"/>
          <w:b w:val="0"/>
          <w:i/>
          <w:strike w:val="0"/>
          <w:noProof w:val="0"/>
          <w:color w:val="000000"/>
          <w:position w:val="0"/>
          <w:sz w:val="18"/>
          <w:u w:val="single"/>
          <w:vertAlign w:val="baseline"/>
        </w:rPr>
        <w:t xml:space="preserve"> avoid avowing parties to be taken by surprise. </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 xml:space="preserve">In Thorp v. Holdsworth </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val="0"/>
            <w:strike w:val="0"/>
            <w:noProof w:val="0"/>
            <w:color w:val="0077CC"/>
            <w:position w:val="0"/>
            <w:sz w:val="18"/>
            <w:u w:val="single"/>
            <w:shd w:val="clear" w:color="auto" w:fill="FFFFFF"/>
            <w:vertAlign w:val="baseline"/>
          </w:rPr>
          <w:t>(1876) Ch 637</w:t>
        </w:r>
      </w:hyperlink>
      <w: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0pt">
            <v:imagedata r:id="rId8" o:title=""/>
          </v:shape>
        </w:pict>
      </w:r>
      <w:r>
        <w:rPr>
          <w:rFonts w:ascii="arial" w:eastAsia="arial" w:hAnsi="arial" w:cs="arial"/>
          <w:b w:val="0"/>
          <w:i/>
          <w:strike w:val="0"/>
          <w:noProof w:val="0"/>
          <w:color w:val="000000"/>
          <w:position w:val="0"/>
          <w:sz w:val="18"/>
          <w:u w:val="none"/>
          <w:vertAlign w:val="baseline"/>
        </w:rPr>
        <w:t xml:space="preserve"> at 639 Jessel Mr says:</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The whole object of pleadings is to bring the parties to an issue and the meaning of the rules of R XIX was to prevent the issue being enlarged, which would prevent either party from knowing when the cause came on for trial, what the real point to be discussed and decided was. In fact,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whole meaning of the system is to narrow the parties to definite issues,</w:t>
      </w:r>
      <w:r>
        <w:rPr>
          <w:rFonts w:ascii="arial" w:eastAsia="arial" w:hAnsi="arial" w:cs="arial"/>
          <w:b w:val="0"/>
          <w:i/>
          <w:strike w:val="0"/>
          <w:noProof w:val="0"/>
          <w:color w:val="000000"/>
          <w:position w:val="0"/>
          <w:sz w:val="18"/>
          <w:u w:val="none"/>
          <w:vertAlign w:val="baseline"/>
        </w:rPr>
        <w:t xml:space="preserve"> and thereby to diminish expense and delay, especially as regards the amount of testimony required on either side at the hearing.</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 xml:space="preserve">Finally, in Yorkshire Provident Life Assurance Co. v. Gilbert &amp; Rivington </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val="0"/>
            <w:strike w:val="0"/>
            <w:noProof w:val="0"/>
            <w:color w:val="0077CC"/>
            <w:position w:val="0"/>
            <w:sz w:val="18"/>
            <w:u w:val="single"/>
            <w:shd w:val="clear" w:color="auto" w:fill="FFFFFF"/>
            <w:vertAlign w:val="baseline"/>
          </w:rPr>
          <w:t>[1895] 2 QB 114</w:t>
        </w:r>
      </w:hyperlink>
      <w:r>
        <w:t xml:space="preserve"> </w:t>
      </w:r>
      <w:r>
        <w:pict>
          <v:shape id="_x0000_i1026" type="#_x0000_t75" style="width:11pt;height:10pt">
            <v:imagedata r:id="rId8" o:title=""/>
          </v:shape>
        </w:pict>
      </w:r>
      <w:r>
        <w:rPr>
          <w:rFonts w:ascii="arial" w:eastAsia="arial" w:hAnsi="arial" w:cs="arial"/>
          <w:b w:val="0"/>
          <w:i/>
          <w:strike w:val="0"/>
          <w:noProof w:val="0"/>
          <w:color w:val="000000"/>
          <w:position w:val="0"/>
          <w:sz w:val="18"/>
          <w:u w:val="none"/>
          <w:vertAlign w:val="baseline"/>
        </w:rPr>
        <w:t xml:space="preserve"> at 152 Lindley LJ says:</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What is the effect of these particulars? I take it the effect of these particulars is this, that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the issues to be tried are limited by these particulars in the first instance.</w:t>
      </w:r>
      <w:r>
        <w:rPr>
          <w:rFonts w:ascii="arial" w:eastAsia="arial" w:hAnsi="arial" w:cs="arial"/>
          <w:b w:val="0"/>
          <w:i/>
          <w:strike w:val="0"/>
          <w:noProof w:val="0"/>
          <w:color w:val="000000"/>
          <w:position w:val="0"/>
          <w:sz w:val="18"/>
          <w:u w:val="none"/>
          <w:vertAlign w:val="baseline"/>
        </w:rPr>
        <w:t xml:space="preserve"> I do not mean to say that leave cannot be obtained to add to the particulars — of course it can; but the moment these particulars are delivered and until some further order is obtained for me delivery of further particulars, the effect of delivering the particulars is to cut down the matters in question in the action to the particulars.</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Therefore, in my opinion, the learned trial judge, in the instant case,</w:t>
      </w:r>
      <w:r>
        <w:rPr>
          <w:rFonts w:ascii="arial" w:eastAsia="arial" w:hAnsi="arial" w:cs="arial"/>
          <w:b w:val="0"/>
          <w:i/>
          <w:strike w:val="0"/>
          <w:noProof w:val="0"/>
          <w:color w:val="000000"/>
          <w:position w:val="0"/>
          <w:sz w:val="18"/>
          <w:u w:val="single"/>
          <w:vertAlign w:val="baseline"/>
        </w:rPr>
        <w:t xml:space="preserve"> had departed from the strict rules of procedure, in deciding the case on an issue not raised in the pleadings</w:t>
      </w:r>
      <w:r>
        <w:rPr>
          <w:rFonts w:ascii="arial" w:eastAsia="arial" w:hAnsi="arial" w:cs="arial"/>
          <w:b w:val="0"/>
          <w:i/>
          <w:strike w:val="0"/>
          <w:noProof w:val="0"/>
          <w:color w:val="000000"/>
          <w:position w:val="0"/>
          <w:sz w:val="18"/>
          <w:u w:val="none"/>
          <w:vertAlign w:val="baseline"/>
        </w:rPr>
        <w:t xml:space="preserve"> and on the assumption of a fact which the appellants were not obliged to call evidence to rebut.”. </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It is trite law that parties are bound by their pleadings. After perusing the pleadings and from the facts and evidence before the Court, this Court finds that the Claimant himself is not certain as to the nature of his dismissal. The Claimant failed to prove his case is wrongful dismissal as pleaded in his Statement of Case, hence during hearing he testifies that his case is constructive dismissal, which was never pleaded in the Claimant’s pleadings.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Mr. NT Lo is not related to the Company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The Claimant in his Statement of Case pleads that on 28 February 2020, he was told by Ms. Kenix Low (COW-1) that his job scope would also include the provision of private English speech coaching to the Managing Director, Mr. NT Lo, at his Bukit Segar Cheras home from 6.30 am to 8.30 am. However, the Claimant had failed to prove that Mr. NT Lo was the Managing Director of the Company, nor had Mr. NT Lo any connection with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Ms. Low Sze Chie (COW-1) in her Written Statement (COWS-1) states that Mr. NT Lo has no legal relationship with the Company. The Company had also adduced the SSM Search of the Company in pages 1 – 6 of COB-1:</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“5.Q:</w:t>
      </w:r>
      <w:r>
        <w:rPr>
          <w:rFonts w:ascii="arial" w:eastAsia="arial" w:hAnsi="arial" w:cs="arial"/>
          <w:b w:val="0"/>
          <w:i/>
          <w:strike w:val="0"/>
          <w:noProof w:val="0"/>
          <w:color w:val="000000"/>
          <w:position w:val="0"/>
          <w:sz w:val="18"/>
          <w:u w:val="none"/>
          <w:vertAlign w:val="baseline"/>
        </w:rPr>
        <w:t xml:space="preserve"> Who is Mr NT Lo?</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Due to the Claimant keep on asking the Company to hire him and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out from sympathy, we suggest him to become a private English tutor for one Mr. NT Lo but Mr. NT Lo in fact has no legal relationship with our Company. We only come across this Mr. NT Lo need a tutor, and coincidentally the Claimant can speak well English and we therefore recommend him this job.</w:t>
      </w:r>
      <w:r>
        <w:rPr>
          <w:rFonts w:ascii="arial" w:eastAsia="arial" w:hAnsi="arial" w:cs="arial"/>
          <w:b w:val="0"/>
          <w:i w:val="0"/>
          <w:strike w:val="0"/>
          <w:noProof w:val="0"/>
          <w:color w:val="000000"/>
          <w:position w:val="0"/>
          <w:sz w:val="18"/>
          <w:u w:val="none"/>
          <w:vertAlign w:val="baseline"/>
        </w:rPr>
        <w:t xml:space="preserve">”. </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Moreover, the Claimant had also failed to call or subpoena Mr. NT Lo to testify for the Claimant and to prove his assertions. The general rule is that all facts in issue and all relevant facts must be proved by evidence, as stated in the case of </w:t>
      </w:r>
      <w:r>
        <w:rPr>
          <w:rFonts w:ascii="arial" w:eastAsia="arial" w:hAnsi="arial" w:cs="arial"/>
          <w:b w:val="0"/>
          <w:i/>
          <w:strike w:val="0"/>
          <w:noProof w:val="0"/>
          <w:color w:val="000000"/>
          <w:position w:val="0"/>
          <w:sz w:val="24"/>
          <w:u w:val="none"/>
          <w:vertAlign w:val="baseline"/>
        </w:rPr>
        <w:t xml:space="preserve">Pembangunan Maha Murni Sdn. Bhd. v Jururus Ladang Sdn. Bhd. </w:t>
      </w:r>
      <w:r>
        <w:rPr>
          <w:rFonts w:ascii="arial" w:eastAsia="arial" w:hAnsi="arial" w:cs="arial"/>
          <w:b w:val="0"/>
          <w:i w:val="0"/>
          <w:strike w:val="0"/>
          <w:noProof w:val="0"/>
          <w:color w:val="000000"/>
          <w:position w:val="0"/>
          <w:sz w:val="24"/>
          <w:u w:val="none"/>
          <w:vertAlign w:val="baseline"/>
        </w:rPr>
        <w:t xml:space="preserve"> [1986] 2 MLJ 30</w:t>
      </w:r>
      <w:r>
        <w:rPr>
          <w:rFonts w:ascii="arial" w:eastAsia="arial" w:hAnsi="arial" w:cs="arial"/>
          <w:b/>
          <w:i w:val="0"/>
          <w:strike w:val="0"/>
          <w:noProof w:val="0"/>
          <w:color w:val="000000"/>
          <w:position w:val="0"/>
          <w:sz w:val="24"/>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“Now,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general rule is that all facts in issue and relevant facts must be proved by evidence.</w:t>
      </w:r>
      <w:r>
        <w:rPr>
          <w:rFonts w:ascii="arial" w:eastAsia="arial" w:hAnsi="arial" w:cs="arial"/>
          <w:b w:val="0"/>
          <w:i/>
          <w:strike w:val="0"/>
          <w:noProof w:val="0"/>
          <w:color w:val="000000"/>
          <w:position w:val="0"/>
          <w:sz w:val="18"/>
          <w:u w:val="none"/>
          <w:vertAlign w:val="baseline"/>
        </w:rPr>
        <w:t xml:space="preserve"> There are, however, two classes of facts which need not be proved, viz. (a) facts judicially noticed and (b) facts admitted.”.</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Admissibility of the Claimant’s document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The Claimant in this case had tendered a</w:t>
      </w:r>
      <w:r>
        <w:rPr>
          <w:rFonts w:ascii="arial" w:eastAsia="arial" w:hAnsi="arial" w:cs="arial"/>
          <w:b w:val="0"/>
          <w:i/>
          <w:strike w:val="0"/>
          <w:noProof w:val="0"/>
          <w:color w:val="000000"/>
          <w:position w:val="0"/>
          <w:sz w:val="24"/>
          <w:u w:val="none"/>
          <w:vertAlign w:val="baseline"/>
        </w:rPr>
        <w:t xml:space="preserve"> WhatsApp</w:t>
      </w:r>
      <w:r>
        <w:rPr>
          <w:rFonts w:ascii="arial" w:eastAsia="arial" w:hAnsi="arial" w:cs="arial"/>
          <w:b w:val="0"/>
          <w:i w:val="0"/>
          <w:strike w:val="0"/>
          <w:noProof w:val="0"/>
          <w:color w:val="000000"/>
          <w:position w:val="0"/>
          <w:sz w:val="24"/>
          <w:u w:val="none"/>
          <w:vertAlign w:val="baseline"/>
        </w:rPr>
        <w:t xml:space="preserve"> conversation which the Claimant claims to be the conversation between the Claimant and Ms. Low Sze Chie (COW-1) regarding his employment with the Company and with Mr. NT Lo. This </w:t>
      </w:r>
      <w:r>
        <w:rPr>
          <w:rFonts w:ascii="arial" w:eastAsia="arial" w:hAnsi="arial" w:cs="arial"/>
          <w:b w:val="0"/>
          <w:i/>
          <w:strike w:val="0"/>
          <w:noProof w:val="0"/>
          <w:color w:val="000000"/>
          <w:position w:val="0"/>
          <w:sz w:val="24"/>
          <w:u w:val="none"/>
          <w:vertAlign w:val="baseline"/>
        </w:rPr>
        <w:t>WhatsApp</w:t>
      </w:r>
      <w:r>
        <w:rPr>
          <w:rFonts w:ascii="arial" w:eastAsia="arial" w:hAnsi="arial" w:cs="arial"/>
          <w:b w:val="0"/>
          <w:i w:val="0"/>
          <w:strike w:val="0"/>
          <w:noProof w:val="0"/>
          <w:color w:val="000000"/>
          <w:position w:val="0"/>
          <w:sz w:val="24"/>
          <w:u w:val="none"/>
          <w:vertAlign w:val="baseline"/>
        </w:rPr>
        <w:t xml:space="preserve"> conversation was marked as “ID” and has not been converted as exhibit, even though this Court had explained to the Claimant during hearing on the procedure on the admissibility of the document.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In the case of</w:t>
      </w:r>
      <w:r>
        <w:rPr>
          <w:rFonts w:ascii="arial" w:eastAsia="arial" w:hAnsi="arial" w:cs="arial"/>
          <w:b w:val="0"/>
          <w:i/>
          <w:strike w:val="0"/>
          <w:noProof w:val="0"/>
          <w:color w:val="000000"/>
          <w:position w:val="0"/>
          <w:sz w:val="24"/>
          <w:u w:val="none"/>
          <w:vertAlign w:val="baseline"/>
        </w:rPr>
        <w:t xml:space="preserve"> Azabar Holdings Sdn Bhd (dalam likuidasi) v. Kumarappan @ Thannirmalai a/l KM &amp; Anor </w:t>
      </w:r>
      <w:r>
        <w:rPr>
          <w:rFonts w:ascii="arial" w:eastAsia="arial" w:hAnsi="arial" w:cs="arial"/>
          <w:b w:val="0"/>
          <w:i w:val="0"/>
          <w:strike w:val="0"/>
          <w:noProof w:val="0"/>
          <w:color w:val="000000"/>
          <w:position w:val="0"/>
          <w:sz w:val="24"/>
          <w:u w:val="none"/>
          <w:vertAlign w:val="baseline"/>
        </w:rPr>
        <w:t xml:space="preserve"> [2020] MLJU 2534</w:t>
      </w:r>
      <w:r>
        <w:rPr>
          <w:rFonts w:ascii="arial" w:eastAsia="arial" w:hAnsi="arial" w:cs="arial"/>
          <w:b/>
          <w:i w:val="0"/>
          <w:strike w:val="0"/>
          <w:noProof w:val="0"/>
          <w:color w:val="000000"/>
          <w:position w:val="0"/>
          <w:sz w:val="24"/>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“[22] Unfortunately, the two Powers of Attorney, which were “Part C Documents”, were not adduced into evidence by the Plaintiff and were merely marked as “Identification Document” (ID). Both Powers of Attorney were only identification documents in the non-agreed bundle and were never converted to court exhibits.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Documents marked as ID are not exhibits and cannot be relied upon.”. </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xml:space="preserve">  Therefore based on the case, this Court could not take into consideration the Claimant’s </w:t>
      </w:r>
      <w:r>
        <w:rPr>
          <w:rFonts w:ascii="arial" w:eastAsia="arial" w:hAnsi="arial" w:cs="arial"/>
          <w:b w:val="0"/>
          <w:i/>
          <w:strike w:val="0"/>
          <w:noProof w:val="0"/>
          <w:color w:val="000000"/>
          <w:position w:val="0"/>
          <w:sz w:val="24"/>
          <w:u w:val="none"/>
          <w:vertAlign w:val="baseline"/>
        </w:rPr>
        <w:t>WhatsApp</w:t>
      </w:r>
      <w:r>
        <w:rPr>
          <w:rFonts w:ascii="arial" w:eastAsia="arial" w:hAnsi="arial" w:cs="arial"/>
          <w:b w:val="0"/>
          <w:i w:val="0"/>
          <w:strike w:val="0"/>
          <w:noProof w:val="0"/>
          <w:color w:val="000000"/>
          <w:position w:val="0"/>
          <w:sz w:val="24"/>
          <w:u w:val="none"/>
          <w:vertAlign w:val="baseline"/>
        </w:rPr>
        <w:t xml:space="preserve"> conversation as it is marked “ID” and not part of the exhibits, hence cannot be relied upon by this Court. Furthermore, the </w:t>
      </w:r>
      <w:r>
        <w:rPr>
          <w:rFonts w:ascii="arial" w:eastAsia="arial" w:hAnsi="arial" w:cs="arial"/>
          <w:b w:val="0"/>
          <w:i/>
          <w:strike w:val="0"/>
          <w:noProof w:val="0"/>
          <w:color w:val="000000"/>
          <w:position w:val="0"/>
          <w:sz w:val="24"/>
          <w:u w:val="none"/>
          <w:vertAlign w:val="baseline"/>
        </w:rPr>
        <w:t>WhatsApp</w:t>
      </w:r>
      <w:r>
        <w:rPr>
          <w:rFonts w:ascii="arial" w:eastAsia="arial" w:hAnsi="arial" w:cs="arial"/>
          <w:b w:val="0"/>
          <w:i w:val="0"/>
          <w:strike w:val="0"/>
          <w:noProof w:val="0"/>
          <w:color w:val="000000"/>
          <w:position w:val="0"/>
          <w:sz w:val="24"/>
          <w:u w:val="none"/>
          <w:vertAlign w:val="baseline"/>
        </w:rPr>
        <w:t xml:space="preserve"> conversation tendered by the Claimant was not a complete document as the Claimant in cross-examination by the learned Counsel for the Company had admitted that some media files were omitted.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Claimant’s representation was made out of time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The Claimant in his Statement of Case contends that he was wrongfully dismissed by the Company without just cause or excuse on 12 March 2020. Referring to the Ministerial reference in this case, it states that the date of dismissal was on 4 August 2020, and the date of filing was on 30 September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Consequently, the Claimant in cross-examination by the learned Counsel for the Company admitted that he did not lodge a complaint to the Industrial Relations Department within 60 days from the date of the dismissal:</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Agree. Ok, so my question to you is knowing the fact that the, the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time limitations of filing a complaint to the Industrial Department was 60 days, so, do you agree with me that you did not do anything within the 60 days from the date on, from the date on 10 March 2020 by lodging a complaint to Industrial Relationship Department?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Cannot be done because we are under lock down.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Agree or disagree?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You’re saying that I did not lodge any, of course, I agree, yes.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You agree?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A: Yes, yes.”. </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H. CONCLUSION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xml:space="preserve">  In conclusion, based on the facts and evidence before the Court, this Court finds that the Claimant had failed to prove on a balance of probabilities that he is a “workman” within the definition of section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therefore not covered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For that reason, the second issue on whether the Claimant had been dismissed by the Company and whether the said dismissal was with just cause or excuse, does not arise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xml:space="preserve">  In arriving at this decision, this Court have taken into consideration the totality of the facts and evidence adduced by both parties and bearing in mind subsection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according to the principles of equity, good conscience and substantial merits of the case without regard to technicalities and legal form.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Accordingly, the Claimant’s claim is hereby dismissed.</w:t>
      </w:r>
      <w:r>
        <w:t>
</w:t>
      </w:r>
    </w:p>
    <w:p/>
    <w:p>
      <w:pPr>
        <w:ind w:left="200"/>
      </w:pPr>
      <w:r>
        <w:br/>
      </w:r>
      <w:r>
        <w:pict>
          <v:line id="_x0000_s1027"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Tan Heng Kit v Trio Mantap Sdn Bhd  [2022] ILJU 110</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iclr.co.uk/pubrefLookup/redirectTo?ref=1876+CH+637" TargetMode="External" /><Relationship Id="rId8" Type="http://schemas.openxmlformats.org/officeDocument/2006/relationships/image" Target="media/image1.png" /><Relationship Id="rId9" Type="http://schemas.openxmlformats.org/officeDocument/2006/relationships/hyperlink" Target="https://iclr.co.uk/pubrefLookup/redirectTo?ref=1895+2+QB+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 Heng Kit v Trio Mantap Sdn Bhd  [2022] ILJU 110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9C-B2D3-MB49-04NF-00000-00">
    <vt:lpwstr>Doc::/shared/document|contextualFeaturePermID::1522468</vt:lpwstr>
  </property>
  <property fmtid="{D5CDD505-2E9C-101B-9397-08002B2CF9AE}" pid="4" name="LNDeliveryID">
    <vt:lpwstr>283245358</vt:lpwstr>
  </property>
  <property fmtid="{D5CDD505-2E9C-101B-9397-08002B2CF9AE}" pid="5" name="UserPermID">
    <vt:lpwstr>urn:user:PA196491919</vt:lpwstr>
  </property>
</Properties>
</file>