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Tan Jing Shyuan v BP Diagnostic Centre Sdn Bhd  [2026] ILJU 54</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NORAMILIA MOHD SAAD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235 OF 2026</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3 February 2026</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Rathi Jebaratnam (with Pavitra Muthiah) (Dinesh Ratnarajah Partnership)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Pang Zi Qi (with Chan Su-Yin)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0"/>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Noramilia Mohd Saad C"/>
            <w:bookmarkEnd w:id="1"/>
            <w:r>
              <w:rPr>
                <w:rFonts w:ascii="arial" w:eastAsia="arial" w:hAnsi="arial" w:cs="arial"/>
                <w:b/>
                <w:i w:val="0"/>
                <w:strike w:val="0"/>
                <w:noProof w:val="0"/>
                <w:color w:val="000000"/>
                <w:position w:val="0"/>
                <w:sz w:val="30"/>
                <w:u w:val="none"/>
                <w:vertAlign w:val="baseline"/>
              </w:rPr>
              <w:t>Noramilia Mohd Saad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matter arises from a reference made the Honourable Minister of Human Resources pursuant to 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Tan Jing Shyuan</w:t>
      </w:r>
      <w:r>
        <w:rPr>
          <w:rFonts w:ascii="arial" w:eastAsia="arial" w:hAnsi="arial" w:cs="arial"/>
          <w:b w:val="0"/>
          <w:i w:val="0"/>
          <w:strike w:val="0"/>
          <w:noProof w:val="0"/>
          <w:color w:val="000000"/>
          <w:position w:val="0"/>
          <w:sz w:val="24"/>
          <w:u w:val="none"/>
          <w:vertAlign w:val="baseline"/>
        </w:rPr>
        <w:t xml:space="preserve"> (hereinafter referred to as “the Claimant”) on 13 November 2019 by </w:t>
      </w:r>
      <w:r>
        <w:rPr>
          <w:rFonts w:ascii="arial" w:eastAsia="arial" w:hAnsi="arial" w:cs="arial"/>
          <w:b/>
          <w:i w:val="0"/>
          <w:strike w:val="0"/>
          <w:noProof w:val="0"/>
          <w:color w:val="000000"/>
          <w:position w:val="0"/>
          <w:sz w:val="24"/>
          <w:u w:val="none"/>
          <w:vertAlign w:val="baseline"/>
        </w:rPr>
        <w:t>BP Diagnostic Centre Sdn Bhd</w:t>
      </w:r>
      <w:r>
        <w:rPr>
          <w:rFonts w:ascii="arial" w:eastAsia="arial" w:hAnsi="arial" w:cs="arial"/>
          <w:b w:val="0"/>
          <w:i w:val="0"/>
          <w:strike w:val="0"/>
          <w:noProof w:val="0"/>
          <w:color w:val="000000"/>
          <w:position w:val="0"/>
          <w:sz w:val="24"/>
          <w:u w:val="none"/>
          <w:vertAlign w:val="baseline"/>
        </w:rPr>
        <w:t xml:space="preserve"> (hereinafter referred to as “the Company”).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PROCEDURAL HISTORY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This case was partly heard before the former Chairman of Court 5, Yang Arif Tuan Ahmad Zakhi Bin Mohd Daud who had since retired from service. The former Chairman heard the Claimant and the First Company’s witness testimony himself. Upon the retirement of the former Chairman, the case was assigned to me for continuation and conclusion.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In the circumstances, this Award has been prepared and delivered upon my consideration of the proceedings duly recorded through the Court’s recording system and the notes of proceedings written by me and the former Chairman, the testimony of the witnesses, together with the cause papers and bundles of documents filed and tendered before the Court, all of which form part of the record of this case. In detail, the cause papers considered by the Court are as follows:</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18.9.2020;</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21.10.2020;</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27.11.2020;</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 of Documents - CLB-1;</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Supplementary Bundle of Documents - CLB-2;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Supplementary Bundle of Documents (2) - CLB-3;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Supplementary Bundle of Documents (3) - CLB-4;</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 of Documents - COB-1;</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Supplementary Bundle of Documents - COB-2;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Witness statement - CLW-1S;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Witness Statement of Siow Loke Khee - COWS-2;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Notes of Evidence;</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Written Submissions; and</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 of Authorities</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INTRODUCTION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xml:space="preserve">  The Claimant in this case contends that despite the agreement being titled “Terms of Engagement – On Demand Partnership Scheme” (“ODS”), the actual working relationship reflected an employer-employee arrangement under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citing mandatory rosters, fixed working hours, non-compete clauses, and disciplinary control. She alleges constructive dismissal due to non-payment of salary and commissions, unilateral attempts to impose less favorable terms, failure to renew her engagement, and intimidation through a false police report regarding a whitening light machine. The Company on the other hand maintains that the Claimant was an independent contractor engaged under a contract for service, emphasizing her autonomy to accept or reject work slots, freedom to work elsewhere, payment by session and profit-sharing rather than fixed salary, absence of Employee Provident Fund (“EPF”), Social Security Organisation (“SOCSO”), and annual leave, and the fixed-term nature of the engagement with proper notice of non-renewal. The Company denies any outstanding payments, claims overpayment, justifies the police report as a legitimate measure, and argues that the Industrial Court lacks jurisdiction as the Claimant was not a “workman”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Claimant’s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xml:space="preserve">  The Claimant, was engaged by the Company as a dentist at BP Specialist Centre Klang under ODS dated 16 December 2017. While the Company labels this as a partnership arrangement, the Claimant asserts that the substance of the ODS and the actual working relationship clearly establish an employer-employee relationship under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Claimant was paid the monthly wage or salary based on sessional rate (weekdays and weekend and public holiday) and sessional rewards. The Claimant was also entitled to net profits, apportioned on a 50:50 basis between the Company and her, from any monthly sales exceeding RM12,000.00 arising from her dental services and sales provided for the Company and performed at the dental clinic at BP Specialist Centre Klang as commission</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emphasizes that the title of the document does not determine the legal nature of the relationship. Instead, the Court must look at the real terms and conditions and the degree of control exercised by the Company, which included:</w:t>
      </w:r>
      <w:r>
        <w:t>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was mandatory for the Claimant to provide her services as a dentist at the BP Specialist Centre Klang as instructed by the Company;</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profits of Company were shared between the Company and the Claimant;</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required to work for a minimum of 25 days per month;</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must strictly adhere to the roster provided by the Company;</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stipulated working days and working hours to be complied with by the Claimant;</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employment contract was renewable by the Company on a yearly basis;</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subjected to a competency evaluation by the Company for the first 6 months;</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registered the Claimant for the Indemnity Insurance Coverage;</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required to perform the duties and tasks relating to or connected with marketing and promoting the Company’s services and to contribute towards further development of the Company’s operations;</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must obey the rules and regulations/policies of the Company;</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required to adhere to the rules and regulation/policies of the Company;</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required to abide by the Company’s hours of work/shift duty;</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will be subjected to disciplinary and/or legal action should there be a breach of the Company’s Code of Conduct;</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the right to transfer the Claimant to other branches of the Company or to other companies within the Company’s Group;</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not allowed to compete with the Company or any of its related companies by practicing medicine or any related aspect thereof practiced by the Claimant within the geographical area circumscribed by a radius of ten (10) km from any outlets of the Company in Malaysia in which she performed substantial services during the terms of the contract of employment;</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not allowed to engage in any way that may result in a conflict of interest with the Company, including conduction the same business of her own and rendering the same services to others at the expense of the Company facilities to get personal benefits;</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shall not solicit or accept any gratification.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Claimant alleges constructive dismissal due to the Company’s fundamental breaches of the engagement terms, which include:</w:t>
      </w:r>
      <w:r>
        <w:t>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Non-payment of Salary and Commissions: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The Claimant was entitled to a salary of RM13,200 for September 2019 and commissions of RM10,800 for July 2019 and RM11,752.50 for August 2019. Despite repeated requests and promises from the Company, these payments were not made by the agreed deadlines, causing financial hardship to the Claimant.</w:t>
      </w:r>
      <w:r>
        <w:t>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Unilateral Variation of Contract Terms: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The Company attempted to impose a new contract with less favorable terms, including reduced remuneration and a requirement to work at an unlicensed clinic. The Claimant expressed concerns about the validity of the new contract and refused to sign it, as it breached the terms of her existing engagement.</w:t>
      </w:r>
      <w:r>
        <w:t>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Failure to Renew Engagement: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Despite the Claimant’s engagement being automatically renewed in the past, the Company decided not to renew her engagement ending on 14 January 2020, citing alleged excessive dentist coverage and insufficient ODS slots. The Claimant contends that this decision was made in bad faith and was a pretext to terminate her employment.</w:t>
      </w:r>
      <w:r>
        <w:t>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Police Report and Intimidation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Following her letter of constructive dismissal dated 13 November 2019, the Company escalated matters by making a false police report on 9 January 2020, alleging that the Claimant had stolen a whitening light machine. The Claimant strongly denies these allegations and lodged her own police report on 7 August 2020, stating that:</w:t>
      </w:r>
    </w:p>
    <w:p>
      <w:pPr>
        <w:keepNext w:val="0"/>
        <w:numPr>
          <w:numId w:val="4"/>
        </w:numPr>
        <w:spacing w:before="120" w:after="0" w:line="240" w:lineRule="atLeast"/>
        <w:ind w:left="1520" w:right="0"/>
        <w:jc w:val="both"/>
      </w:pPr>
      <w:r>
        <w:rPr>
          <w:rFonts w:ascii="arial" w:eastAsia="arial" w:hAnsi="arial" w:cs="arial"/>
          <w:b w:val="0"/>
          <w:i w:val="0"/>
          <w:strike w:val="0"/>
          <w:noProof w:val="0"/>
          <w:color w:val="000000"/>
          <w:position w:val="0"/>
          <w:sz w:val="18"/>
          <w:u w:val="none"/>
          <w:vertAlign w:val="baseline"/>
        </w:rPr>
        <w:t>she never removed or possessed the whitening light machine;</w:t>
      </w:r>
    </w:p>
    <w:p>
      <w:pPr>
        <w:keepNext w:val="0"/>
        <w:numPr>
          <w:numId w:val="5"/>
        </w:numPr>
        <w:spacing w:before="120" w:after="0" w:line="240" w:lineRule="atLeast"/>
        <w:ind w:left="1520" w:right="0"/>
        <w:jc w:val="both"/>
      </w:pPr>
      <w:r>
        <w:rPr>
          <w:rFonts w:ascii="arial" w:eastAsia="arial" w:hAnsi="arial" w:cs="arial"/>
          <w:b w:val="0"/>
          <w:i w:val="0"/>
          <w:strike w:val="0"/>
          <w:noProof w:val="0"/>
          <w:color w:val="000000"/>
          <w:position w:val="0"/>
          <w:sz w:val="18"/>
          <w:u w:val="none"/>
          <w:vertAlign w:val="baseline"/>
        </w:rPr>
        <w:t>the Company’s report was baseless and intended to intimidate her after she claimed constructive dismissal;</w:t>
      </w:r>
    </w:p>
    <w:p>
      <w:pPr>
        <w:keepNext w:val="0"/>
        <w:numPr>
          <w:numId w:val="6"/>
        </w:numPr>
        <w:spacing w:before="120" w:after="0" w:line="240" w:lineRule="atLeast"/>
        <w:ind w:left="1520" w:right="0"/>
        <w:jc w:val="both"/>
      </w:pPr>
      <w:r>
        <w:rPr>
          <w:rFonts w:ascii="arial" w:eastAsia="arial" w:hAnsi="arial" w:cs="arial"/>
          <w:b w:val="0"/>
          <w:i w:val="0"/>
          <w:strike w:val="0"/>
          <w:noProof w:val="0"/>
          <w:color w:val="000000"/>
          <w:position w:val="0"/>
          <w:sz w:val="18"/>
          <w:u w:val="none"/>
          <w:vertAlign w:val="baseline"/>
        </w:rPr>
        <w:t>the Company had previously forced her to reimburse RM5,500 for the whitening light machine despite her objections, which she viewed as unlawful and in bad faith.</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This conduct further demonstrates the Company’s mala fide intention to victimize the Claimant and exert undue pressure on her. Therefore, the Claimant seeks the following reliefs:</w:t>
      </w:r>
      <w:r>
        <w:t>
</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reinstatement to her former position without loss of seniority and benefits, or compensation in lieu of reinstatement;</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punitive compensation due to the Company’s reckless and mala fide conduct, including non-payment of remuneration, forcing her to sign a less favorable contract, and making a false police report against her;</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backwages calculated based on her average monthly income of RM21,597.48, which includes her ODS salary and commissions; and</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payment of all allowances, bonuses, and appropriate contributions towards EPF and SOCSO;</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Company’s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Company submits that the Claimant was not an employee but was engaged under a contract for service pursuant to the ODS dated 16 December 2017. This arrangement was specifically designed to provide flexibility and autonomy to dental practitioners, and the Claimant voluntarily agreed to these terms.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Under Section 2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the term “workman” refers to a person employed under a contract of service. The Claimant does not fall within this definition because her engagement was under a contract for service, which is legally distinct from a contract of employment. The agreement expressly states that the Claimant was engaged as a visiting dentist under the ODS, which is a commercial arrangement between independent professionals and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The Company claims that the Claimant was not under the direct control or supervision of the Company in the manner typical of employees. She had the freedom to accept or reject slots offered by the Company based on her availability. When not scheduled at the Company’s outlets, the Claimant was free to work elsewhere or operate her own practice without restriction.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Claimant was paid fees, not a fixed salary, based on the number of sessions conducted. She was entitled to 50% of net profits from monthly sales exceeding RM15,000 arising from her dental services. Payments varied monthly depending on the actual sessions attended, which is characteristic of an independent contractor arrangement.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The Claimant was not entitled to statutory employee benefits, such as EPF contributions, SOCSO contributions, annual leave, or medical benefits. These terms were agreed upon by both parties and adhered to throughout the engagement. The absence of these benefits further confirms that the Claimant was not an employee under Malaysian employment law.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Further, the Claimant’s engagement was for a fixed term, expiring on 14 January 2020. The Company provided three months’ written notice of non-renewal, as stipulated in the agreement. Non-renewal of a fixed-term contract does not amount to dismissal under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The Company denies owing any payments and claims an overpayment of RM25,404.42, which the Claimant has not refunded.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The Company alleges that a whitening light machine went missing under the Claimant’s care, prompting a police report. This was a legitimate step taken to protect Company property and does not amount to intimidation or mala fide conduct.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The Company emphasizes that the Claimant was engaged as an independent contractor, not as an employee. The ODS was a mutually agreed arrangement, and the Company fulfilled its obligations under the contract. The Claimant’s allegations of constructive dismissal are misconceived and unsustainable in law.</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FUNCTION OF THE INDUSTRIAL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It is trite law that in a reference made pursuant to section 20(3)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primary duty of the Court is to determine whether a dismissal has in fact taken place, and if so, whether such dismissal was with or without just cause or excuse. This fundamental principle was firmly established by the Federal Court in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[1988] 1 CLJ Rep 298; [1988] 1 MLJ 92, where it was held that the Industrial Court must direct its inquiry into the existence of a dismissal and, upon such finding, examine the justification for 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However, the Court’s duty to inquire into the merits of a dismissal is premised upon the existence of jurisdiction. Before the Court can proceed to examine the issue of just cause or excuse, it must first be satisfied that the relationship between the parties falls within the scope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the Company in this case has expressly denied that the Claimant is employed under contract of service. Jurisdiction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arises only where the Claimant satisfies the statutory definition of a “workman” as provided under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Where the status of the Claimant is in dispute, specifically where it is contended that the individual was an independent contractor under a contract for service rather than a contract of service, this issue becomes a condition precedent to the exercise of the Court’s jurisdiction. Such a dispute is not merely a secondary matter but a threshold matter that must be determined at the outset. If the Claimant is found not to be a “workman” within the meaning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the Court has no jurisdiction to adjudicate upon the alleged dismissal or the question of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PRELIMINARY ISSUE: JURISDICTION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In determining whether the Claimant was a workman within the meaning of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one must examine the nature, purpose, and operational reality of the arrangement between the parties.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The true distinction lies not merely in the labels adopted by the parties, but in the underlying intention of the engagement and the manner in which it is carried out in practice.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As a general principle, the engagement of an independent contractor under a contract for service is driven by the need to obtain specific expertise, specialized skills, or defined outcomes without creating an employer–employee relationship. Such arrangements are typically adopted where the services required are specialized, project-based, or temporary in nature, and do not warrant the creation of a permanent employment position.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Operational flexibility is an inherent feature of a contract-for-service arrangement. The contractor retains the ability to engage services as and when required, scale the scope of work according to operational needs, and avoid fixed workforce structures. Payment is typically tied to deliverables or services rendered, rather than to continuous service.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From a financial and administrative perspective, such arrangements also facilitate cost management and predictability. Payment is typically tied to services rendered or deliverables achieved, rather than to a continuing obligation to pay wages or salaries. Organisations are thereby relieved of statutory employment-related obligations such as contributions to EPF and SOCSO, paid leave entitlements, bonuses, or retirement benefits which are normally associated with contract of service.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An independent contractor ordinarily exercises autonomy over the manner and method of performing the work and bears responsibility for their own tax obligations, insurance coverage, and regulatory compliance. The contractual arrangement is governed by agreed terms and deliverables rather than the incidents of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This clear delineation is intended to protect the entity from the statutory protection and termination rigors associated with traditional employment. However, for this protection to be held, the Court must be satisfied that the arrangement maintains the true characteristics of an independent partnership rather than a master-servant relationship.</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Law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Under Section 20(1)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right to make a representation for unfair dismissal is reserved exclusively for a “workman.” Section 20(1)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provides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“(1) </w:t>
      </w:r>
      <w:r>
        <w:rPr>
          <w:rFonts w:ascii="arial" w:eastAsia="arial" w:hAnsi="arial" w:cs="arial"/>
          <w:b w:val="0"/>
          <w:i/>
          <w:strike w:val="0"/>
          <w:noProof w:val="0"/>
          <w:color w:val="000000"/>
          <w:position w:val="0"/>
          <w:sz w:val="18"/>
          <w:u w:val="none"/>
          <w:vertAlign w:val="baseline"/>
        </w:rPr>
        <w:t>Where a workman, irrespective of whether he is a member of a trade union of workmen or otherwise, considers that he has been dismissed without just cause or excuse by his employer, he may make representations in writing to the Director General to be reinstated in his former employment; the representations may be filed at the office of the Director General nearest to the place of employment from which the workman was dismissed.</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xml:space="preserve">  The term “workman” is defined in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any person, including an apprentice, employed by an employer under a contract of employment to work for hire or reward and for the purposes of any proceedings in relation to a trade dispute includes any such person who has been dismissed, discharged or retrenched in connection with or as a consequence of that dispute or whose dismissal, discharge or retrenchment has led to the dispute</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Further, the term ‘contract of employment’ is defined under is defined under the same section as: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…any agreement, whether oral or in writing and whether express or implied, whereby one person agrees to employ another as a workman and that other agrees to serve his employer as a workman.</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xml:space="preserve">  It is clear from these definitions that the protections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apply only where a contract of service exists. Consequently, an independent contractor engaged under a contract for services falls outside the Court’s jurisdiction.</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Judicial Interpretation and the Test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The authoritative test for determining who qualifies as a “workman” under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was settled by the Federal Court in </w:t>
      </w:r>
      <w:r>
        <w:rPr>
          <w:rFonts w:ascii="arial" w:eastAsia="arial" w:hAnsi="arial" w:cs="arial"/>
          <w:b w:val="0"/>
          <w:i/>
          <w:strike w:val="0"/>
          <w:noProof w:val="0"/>
          <w:color w:val="000000"/>
          <w:position w:val="0"/>
          <w:sz w:val="24"/>
          <w:u w:val="none"/>
          <w:vertAlign w:val="baseline"/>
        </w:rPr>
        <w:t xml:space="preserve">Kiang Ngan v. Mahkamah Perusahaan Malaysia &amp; Anor </w:t>
      </w:r>
      <w:r>
        <w:rPr>
          <w:rFonts w:ascii="arial" w:eastAsia="arial" w:hAnsi="arial" w:cs="arial"/>
          <w:b w:val="0"/>
          <w:i w:val="0"/>
          <w:strike w:val="0"/>
          <w:noProof w:val="0"/>
          <w:color w:val="000000"/>
          <w:position w:val="0"/>
          <w:sz w:val="24"/>
          <w:u w:val="none"/>
          <w:vertAlign w:val="baseline"/>
        </w:rPr>
        <w:t>[1996] 4 CLJ 687. The Federal Court held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In our judgment, the correct test to be applied in determining whether a claimant is a workman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is that enunciated by Chang Min Tat FJ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Dr A Dutt v. Assunta Hospital </w:t>
      </w:r>
      <w:r>
        <w:rPr>
          <w:rFonts w:ascii="arial" w:eastAsia="arial" w:hAnsi="arial" w:cs="arial"/>
          <w:b w:val="0"/>
          <w:i w:val="0"/>
          <w:strike w:val="0"/>
          <w:noProof w:val="0"/>
          <w:color w:val="000000"/>
          <w:position w:val="0"/>
          <w:sz w:val="18"/>
          <w:u w:val="none"/>
          <w:vertAlign w:val="baseline"/>
        </w:rPr>
        <w:t>[1981] CLJU 5; [1981] 1 LNS 5; [1981] 1 MLJ 304</w:t>
      </w:r>
      <w:r>
        <w:rPr>
          <w:rFonts w:ascii="arial" w:eastAsia="arial" w:hAnsi="arial" w:cs="arial"/>
          <w:b w:val="0"/>
          <w:i/>
          <w:strike w:val="0"/>
          <w:noProof w:val="0"/>
          <w:color w:val="000000"/>
          <w:position w:val="0"/>
          <w:sz w:val="18"/>
          <w:u w:val="none"/>
          <w:vertAlign w:val="baseline"/>
        </w:rPr>
        <w:t xml:space="preserve"> at p. 311. We accordingly hold that a workman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is one who is engaged under a contract of service. An independent contractor who is engaged under a contract for services is not a workman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We take this view because it provides, as earlier observed, for a flexible approach to the determination of the question. It is fairly plain to see why flexibility is achieved by having resorted to this test.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all cases where it becomes necessary to determine whether a contract is one of service or for services, the degree of control which an employer exercises over a claimant is an important factor, although it may not be the sole criterion. The terms of the contract between the parties must, therefore, first be ascertained. Where this is in writing, the task is to interpret its terms in order to determine the nature of the latter’s duties and functions. Where it is not then its terms must be established and construed. But in the vast majority of cases there are facts which go to show the nature, degree and extent of control. These include, but are not confined to, the conduct of the parties at all relevant times. Their determination is a question of fact. When all the features of the engagement have been identified, it becomes necessary to determine whether the contract falls into one category or the other, that is to say, whether it is a contract of service or a contract for services.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There is not a single satisfactory test that is available for the determination of the issue…</w:t>
      </w:r>
      <w:r>
        <w:rPr>
          <w:rFonts w:ascii="arial" w:eastAsia="arial" w:hAnsi="arial" w:cs="arial"/>
          <w:b/>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The Federal Court in this case endorsed a flexible, multi-factorial approach, noting that while the degree of control is an important factor, it is not the sole criterion. The task requires first ascertaining the terms of the contract and then examining all features of the engagement including the conduct of the parties to determine its true legal character</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On the issue of control, the modern employment arrangements, particularly involving highly skilled professionals, render the traditional control test insufficient as a standalone determinant. As stated in Halsbury’s Laws of Malaysia, vol. 7 (2000 edn) at p. 8:</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test that used to be considered sufficient, that is to say the control test, can no longer be considered sufficient, especially in the case of highly skilled individuals, and it is now only one of the particular factors which may assist a court or tribunal in deciding the point.</w:t>
      </w:r>
      <w:r>
        <w:rPr>
          <w:rFonts w:ascii="arial" w:eastAsia="arial" w:hAnsi="arial" w:cs="arial"/>
          <w:b/>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xml:space="preserve">  The Privy Council in the case of </w:t>
      </w:r>
      <w:r>
        <w:rPr>
          <w:rFonts w:ascii="arial" w:eastAsia="arial" w:hAnsi="arial" w:cs="arial"/>
          <w:b w:val="0"/>
          <w:i/>
          <w:strike w:val="0"/>
          <w:noProof w:val="0"/>
          <w:color w:val="000000"/>
          <w:position w:val="0"/>
          <w:sz w:val="24"/>
          <w:u w:val="none"/>
          <w:vertAlign w:val="baseline"/>
        </w:rPr>
        <w:t xml:space="preserve">Lee Ting Sang v. Chung Chi-Keung &amp; Anor </w:t>
      </w:r>
      <w:hyperlink r:id="rId7" w:history="1">
        <w:r>
          <w:rPr>
            <w:rFonts w:ascii="arial" w:eastAsia="arial" w:hAnsi="arial" w:cs="arial"/>
            <w:b w:val="0"/>
            <w:i w:val="0"/>
            <w:strike w:val="0"/>
            <w:noProof w:val="0"/>
            <w:color w:val="0077CC"/>
            <w:position w:val="0"/>
            <w:sz w:val="24"/>
            <w:u w:val="single"/>
            <w:shd w:val="clear" w:color="auto" w:fill="FFFFFF"/>
            <w:vertAlign w:val="baseline"/>
          </w:rPr>
          <w:t>[1990] 2 AC 382</w:t>
        </w:r>
      </w:hyperlink>
      <w: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0pt">
            <v:imagedata r:id="rId8" o:title=""/>
          </v:shape>
        </w:pict>
      </w:r>
      <w:r>
        <w:rPr>
          <w:rFonts w:ascii="arial" w:eastAsia="arial" w:hAnsi="arial" w:cs="arial"/>
          <w:b w:val="0"/>
          <w:i w:val="0"/>
          <w:strike w:val="0"/>
          <w:noProof w:val="0"/>
          <w:color w:val="000000"/>
          <w:position w:val="0"/>
          <w:sz w:val="24"/>
          <w:u w:val="none"/>
          <w:vertAlign w:val="baseline"/>
        </w:rPr>
        <w:t xml:space="preserve"> had to determine what is the standard to apply to answer the question whether the workman was working as an employee or as an independent contractor. Their Lordships agreed with the Court of Appeal when they said that the matter had never been better put than by Cooke J in </w:t>
      </w:r>
      <w:r>
        <w:rPr>
          <w:rFonts w:ascii="arial" w:eastAsia="arial" w:hAnsi="arial" w:cs="arial"/>
          <w:b w:val="0"/>
          <w:i/>
          <w:strike w:val="0"/>
          <w:noProof w:val="0"/>
          <w:color w:val="000000"/>
          <w:position w:val="0"/>
          <w:sz w:val="24"/>
          <w:u w:val="none"/>
          <w:vertAlign w:val="baseline"/>
        </w:rPr>
        <w:t xml:space="preserve">Market Investigations Ltd v. Minister of Social Security </w:t>
      </w:r>
      <w:r>
        <w:rPr>
          <w:rFonts w:ascii="arial" w:eastAsia="arial" w:hAnsi="arial" w:cs="arial"/>
          <w:b w:val="0"/>
          <w:i w:val="0"/>
          <w:strike w:val="0"/>
          <w:noProof w:val="0"/>
          <w:color w:val="000000"/>
          <w:position w:val="0"/>
          <w:sz w:val="24"/>
          <w:u w:val="none"/>
          <w:vertAlign w:val="baseline"/>
        </w:rPr>
        <w:t>[1969] 2 QB 173</w:t>
      </w:r>
      <w:r>
        <w:rPr>
          <w:rFonts w:ascii="arial" w:eastAsia="arial" w:hAnsi="arial" w:cs="arial"/>
          <w:b/>
          <w:i w:val="0"/>
          <w:strike w:val="0"/>
          <w:noProof w:val="0"/>
          <w:color w:val="000000"/>
          <w:position w:val="0"/>
          <w:sz w:val="24"/>
          <w:u w:val="none"/>
          <w:vertAlign w:val="baseline"/>
        </w:rPr>
        <w:t>, pp. 184 to 185:</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fundamental test to be applied is this: ‘Is the person who has engaged himself to perform these services performing them as a person in business on his own account?’ If the answer to that question is ‘yes’, then the contract is a contract for services. If the answer is ‘no’, then the contract is a contract of service. No exhaustive list has been compiled and perhaps no exhaustive list can be compiled of the considerations which are relevant in determining that question, nor can strict rules be laid down as to the relative weight which the various considerations should carry in particular cases. The most that can be said is that control will no doubt always have to be considered, although it can no longer be regarded as the sole determining factor; and that factors which may be of importance are such matters as whether the man performing the services provides his own equipment, whether he hires his own helpers, what degree of financial risk he takes, what degree of responsibility for investment and management he has, and whether and how far he has an opportunity of profiting from sound management in the performance of his task.</w:t>
      </w:r>
      <w:r>
        <w:rPr>
          <w:rFonts w:ascii="arial" w:eastAsia="arial" w:hAnsi="arial" w:cs="arial"/>
          <w:b/>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xml:space="preserve">  Further guidance is found in </w:t>
      </w:r>
      <w:r>
        <w:rPr>
          <w:rFonts w:ascii="arial" w:eastAsia="arial" w:hAnsi="arial" w:cs="arial"/>
          <w:b w:val="0"/>
          <w:i/>
          <w:strike w:val="0"/>
          <w:noProof w:val="0"/>
          <w:color w:val="000000"/>
          <w:position w:val="0"/>
          <w:sz w:val="24"/>
          <w:u w:val="none"/>
          <w:vertAlign w:val="baseline"/>
        </w:rPr>
        <w:t xml:space="preserve">Ready Mixed Concrete (South East) Ltd v. Minister of Pensions </w:t>
      </w:r>
      <w:hyperlink r:id="rId9" w:history="1">
        <w:r>
          <w:rPr>
            <w:rFonts w:ascii="arial" w:eastAsia="arial" w:hAnsi="arial" w:cs="arial"/>
            <w:b w:val="0"/>
            <w:i w:val="0"/>
            <w:strike w:val="0"/>
            <w:noProof w:val="0"/>
            <w:color w:val="0077CC"/>
            <w:position w:val="0"/>
            <w:sz w:val="24"/>
            <w:u w:val="single"/>
            <w:shd w:val="clear" w:color="auto" w:fill="FFFFFF"/>
            <w:vertAlign w:val="baseline"/>
          </w:rPr>
          <w:t>[1968] 1 WLR 439</w:t>
        </w:r>
      </w:hyperlink>
      <w:r>
        <w:t xml:space="preserve"> </w:t>
      </w:r>
      <w:r>
        <w:pict>
          <v:shape id="_x0000_i1026" type="#_x0000_t75" style="width:11pt;height:10pt">
            <v:imagedata r:id="rId8" o:title=""/>
          </v:shape>
        </w:pict>
      </w:r>
      <w:r>
        <w:rPr>
          <w:rFonts w:ascii="arial" w:eastAsia="arial" w:hAnsi="arial" w:cs="arial"/>
          <w:b/>
          <w:i w:val="0"/>
          <w:strike w:val="0"/>
          <w:noProof w:val="0"/>
          <w:color w:val="000000"/>
          <w:position w:val="0"/>
          <w:sz w:val="24"/>
          <w:u w:val="none"/>
          <w:vertAlign w:val="baseline"/>
        </w:rPr>
        <w:t>, at p. 440</w:t>
      </w:r>
      <w:r>
        <w:rPr>
          <w:rFonts w:ascii="arial" w:eastAsia="arial" w:hAnsi="arial" w:cs="arial"/>
          <w:b w:val="0"/>
          <w:i w:val="0"/>
          <w:strike w:val="0"/>
          <w:noProof w:val="0"/>
          <w:color w:val="000000"/>
          <w:position w:val="0"/>
          <w:sz w:val="24"/>
          <w:u w:val="none"/>
          <w:vertAlign w:val="baseline"/>
        </w:rPr>
        <w:t xml:space="preserve"> where MacKenna J set out three conditions to be fulfilled before a contract of service exists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A contract of service exists if these three conditions are fulfilled. (i) The servant agrees that, in consideration of a wage or other remuneration, he will provide his own work and skill in the performance of some service for his master. (ii) He agrees, expressly or impliedly, that in the performance of that service he will be subject to the other’s control in a sufficient degree to make that other master. (iii) The other provisions of the contract are consistent with its being a contract of service. I need say little about (i) and (ii).</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As to (i). There must be a wage or other remuneration. Otherwise there will be no consideration, and without consideration no contract of any kind. The servant must be obliged to provide his own work and skill. Freedom to do a job either by one’s own hands or by another’s is inconsistent with a contract of service, though a limited or occasional power of delegation may not be: see Atiyah’s Vicarious Liability in the Law of Torts (1967) pp. 59 to 61 and the cases cited by him.</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As to (ii). Control includes the power of deciding the thing to be done, the way in which it shall be done, the means to be employed in doing it, the time when and the place where it shall be done. All these aspects of control must be considered in deciding whether the right exists in a sufficient degree to make one party the master and the other his servant. The right need not be unrestricted.</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“What matters is lawful authority to command so far as there is scope for it. And there must always be some room for it, if only in incidental or collateral matters.”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Zuijs v. Wirth Brothers Proprietary, Ltd. </w:t>
      </w:r>
      <w:r>
        <w:rPr>
          <w:rFonts w:ascii="arial" w:eastAsia="arial" w:hAnsi="arial" w:cs="arial"/>
          <w:b w:val="0"/>
          <w:i w:val="0"/>
          <w:strike w:val="0"/>
          <w:noProof w:val="0"/>
          <w:color w:val="000000"/>
          <w:position w:val="0"/>
          <w:sz w:val="18"/>
          <w:u w:val="none"/>
          <w:vertAlign w:val="baseline"/>
        </w:rPr>
        <w:t>[1955] 93 C.L.R. 561</w:t>
      </w:r>
      <w:r>
        <w:rPr>
          <w:rFonts w:ascii="arial" w:eastAsia="arial" w:hAnsi="arial" w:cs="arial"/>
          <w:b w:val="0"/>
          <w:i/>
          <w:strike w:val="0"/>
          <w:noProof w:val="0"/>
          <w:color w:val="000000"/>
          <w:position w:val="0"/>
          <w:sz w:val="18"/>
          <w:u w:val="none"/>
          <w:vertAlign w:val="baseline"/>
        </w:rPr>
        <w:t>, 571.</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To find where the right resides one must look first to the express terms of the contract, and if they deal fully with the matter one may look no further. If the contract does not expressly provide which party shall have the right, the question must be answered in the ordinary way by implication.</w:t>
      </w:r>
      <w:r>
        <w:rPr>
          <w:rFonts w:ascii="arial" w:eastAsia="arial" w:hAnsi="arial" w:cs="arial"/>
          <w:b/>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xml:space="preserve">  Finally, the Court may also have regard to the extent to which the individual is integrated into, or forms part and parcel of, the employer’s organisational structure, as articulated in </w:t>
      </w:r>
      <w:r>
        <w:rPr>
          <w:rFonts w:ascii="arial" w:eastAsia="arial" w:hAnsi="arial" w:cs="arial"/>
          <w:b w:val="0"/>
          <w:i/>
          <w:strike w:val="0"/>
          <w:noProof w:val="0"/>
          <w:color w:val="000000"/>
          <w:position w:val="0"/>
          <w:sz w:val="24"/>
          <w:u w:val="none"/>
          <w:vertAlign w:val="baseline"/>
        </w:rPr>
        <w:t xml:space="preserve">Bank Voor Handel En Scheepvaart NV v Slatford </w:t>
      </w:r>
      <w:r>
        <w:rPr>
          <w:rFonts w:ascii="arial" w:eastAsia="arial" w:hAnsi="arial" w:cs="arial"/>
          <w:b w:val="0"/>
          <w:i w:val="0"/>
          <w:strike w:val="0"/>
          <w:noProof w:val="0"/>
          <w:color w:val="000000"/>
          <w:position w:val="0"/>
          <w:sz w:val="24"/>
          <w:u w:val="none"/>
          <w:vertAlign w:val="baseline"/>
        </w:rPr>
        <w:t>[1953] 1 QB 248. While integration is not, in itself, determinative, it remains a relevant indicator which, when assessed together with all other surrounding circumstances, may support the finding that the engagement constitutes a contract of service rather than a contract for services.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Burden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xml:space="preserve">  It is trite law that the legal burden of proof rests upon the party asserting the existence of the employment relationship. The Claimant must prove, on a balance of probabilities, that a contract of service existed between herself and the Company. This principle was clearly articulated in </w:t>
      </w:r>
      <w:r>
        <w:rPr>
          <w:rFonts w:ascii="arial" w:eastAsia="arial" w:hAnsi="arial" w:cs="arial"/>
          <w:b w:val="0"/>
          <w:i/>
          <w:strike w:val="0"/>
          <w:noProof w:val="0"/>
          <w:color w:val="000000"/>
          <w:position w:val="0"/>
          <w:sz w:val="24"/>
          <w:u w:val="none"/>
          <w:vertAlign w:val="baseline"/>
        </w:rPr>
        <w:t xml:space="preserve">J Mathew Miranda v. Bahtera Glokal Sdn. Bhd. </w:t>
      </w:r>
      <w:r>
        <w:rPr>
          <w:rFonts w:ascii="arial" w:eastAsia="arial" w:hAnsi="arial" w:cs="arial"/>
          <w:b w:val="0"/>
          <w:i w:val="0"/>
          <w:strike w:val="0"/>
          <w:noProof w:val="0"/>
          <w:color w:val="000000"/>
          <w:position w:val="0"/>
          <w:sz w:val="24"/>
          <w:u w:val="none"/>
          <w:vertAlign w:val="baseline"/>
        </w:rPr>
        <w:t>[2018] 1 ILR 253, where the Court held:</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Where the very fact of employment is in dispute, the Court cannot proceed to consider the issue of dismissal or just cause unless and until the claimant first discharges this burden.</w:t>
      </w:r>
      <w:r>
        <w:rPr>
          <w:rFonts w:ascii="arial" w:eastAsia="arial" w:hAnsi="arial" w:cs="arial"/>
          <w:b/>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 xml:space="preserve">The maxim </w:t>
      </w:r>
      <w:r>
        <w:rPr>
          <w:rFonts w:ascii="arial" w:eastAsia="arial" w:hAnsi="arial" w:cs="arial"/>
          <w:b w:val="0"/>
          <w:i/>
          <w:strike w:val="0"/>
          <w:noProof w:val="0"/>
          <w:color w:val="000000"/>
          <w:position w:val="0"/>
          <w:sz w:val="24"/>
          <w:u w:val="none"/>
          <w:vertAlign w:val="baseline"/>
        </w:rPr>
        <w:t>actori incumbit probatio</w:t>
      </w:r>
      <w:r>
        <w:rPr>
          <w:rFonts w:ascii="arial" w:eastAsia="arial" w:hAnsi="arial" w:cs="arial"/>
          <w:b w:val="0"/>
          <w:i w:val="0"/>
          <w:strike w:val="0"/>
          <w:noProof w:val="0"/>
          <w:color w:val="000000"/>
          <w:position w:val="0"/>
          <w:sz w:val="24"/>
          <w:u w:val="none"/>
          <w:vertAlign w:val="baseline"/>
        </w:rPr>
        <w:t xml:space="preserve"> governs this inquiry. The Court’s primary task is thus to determine whether the Claimant has adduced sufficient evidence to discharge this burden and establish her status as a “workman” employed under a contract of service.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EVALUATION AND FINDINGS</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Terms in ODS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The threshold issue before the Court is the legal character of the relationship between the parties. While the Claimant contends that the operational realities reflected a degree of control consistent with a contract of service, this claim requires careful scrutiny of the contractual instrument itself i.e. the ODS. The Court must determine the true nature of the engagement by examining both the express terms of the ODS and the manner in which they were implemented in practice.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The relationship between the parties is governed by a written agreement known as the ODS. The execution, authenticity, and validity of the ODS are not in dispute. There is no allegation that the agreement was entered into by both parties are under duress, misrepresentation, unequal bargaining power, or mistake. Neither is it contended that the ODS was a sham or a device designed to camouflage a true employment relationship. In these circumstances, the Court is entitled to treat the ODS as a genuine reflection of the parties’ intended legal arrangement, subject always to scrutiny of its practical operation.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Clause 1 of the ODS lies at the very heart of the parties’ relationship. It provides clear and unequivocal terms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You are not regarded as an employee of the Company and your contract with the Company shall be regarded as that of a Visiting Dentist providing dental services for the Company under a contract for services. You shall conduct services as specified of the hereunder for the Company as an independent contractor, and not as an agent or employee of the Company. You shall in the provision of the dental services as set out hereunder work closely with and in accordance with the requirements and guidelines by the Company. In the premises, any rights and/or entitlement under any laws regulations governing employer-employee relationship does not arise including but not limited to io any rights to Annual Leave, EPF contributions, SOCSO contributions and any other employee related benefits.</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The language of the ODS is plain, clear, and unambiguous. The agreement expressly characterizes the Claimant as a “Visiting Dentist” engaged as an independent contractor and not as an employee or agent of the Company, and it expressly excludes the application of statutory employment benefits. The Court finds that, at the time of entering into the ODS, both parties intended the relationship to be governed by a contract for services and not a contract of service.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It is well settled principles of contractual interpretation that where the words of an agreement are clear and unequivocal, the Court must give effect to them as the best evidence of the parties’ intention at the time of contracting. This court finds support for the findings made herein by referring to the instructive passages in the judgment of his lordship Justice Gopal Sri Ram JCA in the Court of Appeal case of </w:t>
      </w:r>
      <w:r>
        <w:rPr>
          <w:rFonts w:ascii="arial" w:eastAsia="arial" w:hAnsi="arial" w:cs="arial"/>
          <w:b w:val="0"/>
          <w:i/>
          <w:strike w:val="0"/>
          <w:noProof w:val="0"/>
          <w:color w:val="000000"/>
          <w:position w:val="0"/>
          <w:sz w:val="24"/>
          <w:u w:val="none"/>
          <w:vertAlign w:val="baseline"/>
        </w:rPr>
        <w:t xml:space="preserve">Datuk Yap Pak Leong v. Sababumi (Sandakan) Sdn Bhd </w:t>
      </w:r>
      <w:r>
        <w:rPr>
          <w:rFonts w:ascii="arial" w:eastAsia="arial" w:hAnsi="arial" w:cs="arial"/>
          <w:b w:val="0"/>
          <w:i w:val="0"/>
          <w:strike w:val="0"/>
          <w:noProof w:val="0"/>
          <w:color w:val="000000"/>
          <w:position w:val="0"/>
          <w:sz w:val="24"/>
          <w:u w:val="none"/>
          <w:vertAlign w:val="baseline"/>
        </w:rPr>
        <w:t>[1997] 1 CLJ 23:</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That the role of the court in upholding agreements adverted to by Lord Wright is not confined to documents drafted by laymen and includes those prepared by lawyers was recognised by Gibbs J (as he then was)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Australian Broadcasting Commission v. Australasian Performing Right Association Ltd </w:t>
      </w:r>
      <w:r>
        <w:rPr>
          <w:rFonts w:ascii="arial" w:eastAsia="arial" w:hAnsi="arial" w:cs="arial"/>
          <w:b w:val="0"/>
          <w:i w:val="0"/>
          <w:strike w:val="0"/>
          <w:noProof w:val="0"/>
          <w:color w:val="000000"/>
          <w:position w:val="0"/>
          <w:sz w:val="18"/>
          <w:u w:val="none"/>
          <w:vertAlign w:val="baseline"/>
        </w:rPr>
        <w:t>[1973] 129 CLR 99</w:t>
      </w:r>
      <w:r>
        <w:rPr>
          <w:rFonts w:ascii="arial" w:eastAsia="arial" w:hAnsi="arial" w:cs="arial"/>
          <w:b w:val="0"/>
          <w:i/>
          <w:strike w:val="0"/>
          <w:noProof w:val="0"/>
          <w:color w:val="000000"/>
          <w:position w:val="0"/>
          <w:sz w:val="18"/>
          <w:u w:val="none"/>
          <w:vertAlign w:val="baseline"/>
        </w:rPr>
        <w:t>. He said (at p. 109):</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It is trite law that the primary duty of a Court in construing a written contract is to endeavour to discover the intention of the parties from the words of the 3instrument in which the contract is embodied. Of course the whole of the instrument has to be considered, since the meaning of any one part of it may be revealed by other parts and the words of every clause must if possible be construed so as to render them all harmonious one with another.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If the words used are unambiguous the Court must give effect to them, notwithstanding that the result may appear capricious or unreasonable, and notwithstanding that it may be guessed or suspected that the parties intended something different. The Court has no power to remake or amend a contract for the purpose of avoiding a result which is considered to be inconvenient or unjust.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On the other hand, if the language is open to two constructions, that will be preferred which will avoid consequences which appear to be capricious, unreasonable, inconvenient or unjust ‘even though the construction adopted is not the most obvious or the most grammatically accurate’, to use the words from earlier authority cited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Locke v. Dunlop </w:t>
      </w:r>
      <w:r>
        <w:rPr>
          <w:rFonts w:ascii="arial" w:eastAsia="arial" w:hAnsi="arial" w:cs="arial"/>
          <w:b w:val="0"/>
          <w:i w:val="0"/>
          <w:strike w:val="0"/>
          <w:noProof w:val="0"/>
          <w:color w:val="000000"/>
          <w:position w:val="0"/>
          <w:sz w:val="18"/>
          <w:u w:val="none"/>
          <w:vertAlign w:val="baseline"/>
        </w:rPr>
        <w:t>[1888] 39 Ch D 387</w:t>
      </w:r>
      <w:r>
        <w:rPr>
          <w:rFonts w:ascii="arial" w:eastAsia="arial" w:hAnsi="arial" w:cs="arial"/>
          <w:b w:val="0"/>
          <w:i/>
          <w:strike w:val="0"/>
          <w:noProof w:val="0"/>
          <w:color w:val="000000"/>
          <w:position w:val="0"/>
          <w:sz w:val="18"/>
          <w:u w:val="none"/>
          <w:vertAlign w:val="baseline"/>
        </w:rPr>
        <w:t>, 393,which although spoken in relation to a will are applicable to the construction of written instruments generally; see also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Bottomley’s Case </w:t>
      </w:r>
      <w:r>
        <w:rPr>
          <w:rFonts w:ascii="arial" w:eastAsia="arial" w:hAnsi="arial" w:cs="arial"/>
          <w:b w:val="0"/>
          <w:i w:val="0"/>
          <w:strike w:val="0"/>
          <w:noProof w:val="0"/>
          <w:color w:val="000000"/>
          <w:position w:val="0"/>
          <w:sz w:val="18"/>
          <w:u w:val="none"/>
          <w:vertAlign w:val="baseline"/>
        </w:rPr>
        <w:t>[1880] 16 Ch. D. 681</w:t>
      </w:r>
      <w:r>
        <w:rPr>
          <w:rFonts w:ascii="arial" w:eastAsia="arial" w:hAnsi="arial" w:cs="arial"/>
          <w:b w:val="0"/>
          <w:i/>
          <w:strike w:val="0"/>
          <w:noProof w:val="0"/>
          <w:color w:val="000000"/>
          <w:position w:val="0"/>
          <w:sz w:val="18"/>
          <w:u w:val="none"/>
          <w:vertAlign w:val="baseline"/>
        </w:rPr>
        <w:t>, 686. Further, it will be permissible to depart from the ordinary meaning of the words of one provision so far as is necessary to avoid an inconsistency between that provision and the rest of the instrument. Finally the statement of Lord Wright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Hillas &amp; Co. Ltd. v. Arcos Ltd. </w:t>
      </w:r>
      <w:r>
        <w:rPr>
          <w:rFonts w:ascii="arial" w:eastAsia="arial" w:hAnsi="arial" w:cs="arial"/>
          <w:b w:val="0"/>
          <w:i w:val="0"/>
          <w:strike w:val="0"/>
          <w:noProof w:val="0"/>
          <w:color w:val="000000"/>
          <w:position w:val="0"/>
          <w:sz w:val="18"/>
          <w:u w:val="none"/>
          <w:vertAlign w:val="baseline"/>
        </w:rPr>
        <w:t>[1932] 147 LT 503</w:t>
      </w:r>
      <w:r>
        <w:rPr>
          <w:rFonts w:ascii="arial" w:eastAsia="arial" w:hAnsi="arial" w:cs="arial"/>
          <w:b w:val="0"/>
          <w:i/>
          <w:strike w:val="0"/>
          <w:noProof w:val="0"/>
          <w:color w:val="000000"/>
          <w:position w:val="0"/>
          <w:sz w:val="18"/>
          <w:u w:val="none"/>
          <w:vertAlign w:val="baseline"/>
        </w:rPr>
        <w:t>, 514, that the Court should construe commercial contracts ‘fairly and broadly, without being too astute or subtle in finding defects’, should not in my opinion be understood as limited to documents drawn by businessmen for themselves and without legal assistance (cf.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Upper Hunter County District Council v. Australian Chilling and Freezing Co. Ltd. </w:t>
      </w:r>
      <w:r>
        <w:rPr>
          <w:rFonts w:ascii="arial" w:eastAsia="arial" w:hAnsi="arial" w:cs="arial"/>
          <w:b w:val="0"/>
          <w:i w:val="0"/>
          <w:strike w:val="0"/>
          <w:noProof w:val="0"/>
          <w:color w:val="000000"/>
          <w:position w:val="0"/>
          <w:sz w:val="18"/>
          <w:u w:val="none"/>
          <w:vertAlign w:val="baseline"/>
        </w:rPr>
        <w:t>[1968] 118 CLR 4299</w:t>
      </w:r>
      <w:r>
        <w:rPr>
          <w:rFonts w:ascii="arial" w:eastAsia="arial" w:hAnsi="arial" w:cs="arial"/>
          <w:b w:val="0"/>
          <w:i/>
          <w:strike w:val="0"/>
          <w:noProof w:val="0"/>
          <w:color w:val="000000"/>
          <w:position w:val="0"/>
          <w:sz w:val="18"/>
          <w:u w:val="none"/>
          <w:vertAlign w:val="baseline"/>
        </w:rPr>
        <w:t>, 437, (Emphasis added).</w:t>
      </w:r>
      <w:r>
        <w:t>
</w:t>
      </w:r>
    </w:p>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We find the opinion expressed by Gibb J in the foregoing passage to coincide with what we apprehend to be the true legal principles that govern the interpretation of contracts. For that reason we would gratefully adopt his honour’s views as our own.</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It boils down to this. Where a contract is couched in unambiguous language, the Court must give effect to it. But where the terms of a contract are ambiguous then the Court may imply a term in order to uphold the transaction.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Luggage Distributors (M) Sdn Bhd v. Tan Hor Teng &amp; Anor </w:t>
      </w:r>
      <w:r>
        <w:rPr>
          <w:rFonts w:ascii="arial" w:eastAsia="arial" w:hAnsi="arial" w:cs="arial"/>
          <w:b w:val="0"/>
          <w:i w:val="0"/>
          <w:strike w:val="0"/>
          <w:noProof w:val="0"/>
          <w:color w:val="000000"/>
          <w:position w:val="0"/>
          <w:sz w:val="18"/>
          <w:u w:val="none"/>
          <w:vertAlign w:val="baseline"/>
        </w:rPr>
        <w:t>[1995] 3 CLJ 520.</w:t>
      </w:r>
      <w:r>
        <w:rPr>
          <w:rFonts w:ascii="arial" w:eastAsia="arial" w:hAnsi="arial" w:cs="arial"/>
          <w:b/>
          <w:i w:val="0"/>
          <w:strike w:val="0"/>
          <w:noProof w:val="0"/>
          <w:color w:val="000000"/>
          <w:position w:val="0"/>
          <w:sz w:val="18"/>
          <w:u w:val="none"/>
          <w:vertAlign w:val="baseline"/>
        </w:rPr>
        <w:t>”</w:t>
      </w:r>
      <w:r>
        <w:t>
</w:t>
      </w:r>
    </w:p>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In the present case, no such ambiguity arises. The parties’ express designation of the engagement as one with an independent contractor provides a compelling starting point for the Court’s analysis and supports the conclusion that the ODS was intended as a contract for services.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Remuneration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The Claimant claims that she was paid the monthly wage or salary based on sessional rate (weekdays and weekend and public holiday) and sessional rewards. She was also entitled to net profits, apportioned on a 50:50 basis between the Company and her, from any monthly sales exceeding RM12,000.00 arising from her dental services and sales provided for the Company and performed at the dental clinic at BP Specialist Centre Klang as commission. The remuneration is to be paid on the 7th of each month, and the commission is to be paid within 2 months from the date Thus, based on this arrangement, it is not a term usually associated with independent contractor.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The court now refers to clause 4 of the ODS: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4. Remuneration</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summary of your monthly wage calculation is as follows:</w:t>
      </w:r>
    </w:p>
    <w:p/>
    <w:tbl>
      <w:tblPr>
        <w:tblW w:w="5000" w:type="pct"/>
        <w:jc w:val="center"/>
        <w:tblBorders>
          <w:top w:val="single" w:sz="8" w:space="0" w:color="BCBEC0"/>
          <w:left w:val="single" w:sz="8" w:space="0" w:color="BCBEC0"/>
          <w:bottom w:val="single" w:sz="8" w:space="0" w:color="BCBEC0"/>
          <w:right w:val="single" w:sz="8" w:space="0" w:color="BCBEC0"/>
          <w:insideH w:val="nil"/>
          <w:insideV w:val="nil"/>
        </w:tblBorders>
        <w:tblLayout w:type="fixed"/>
        <w:tblCellMar>
          <w:left w:w="108" w:type="dxa"/>
          <w:right w:w="108" w:type="dxa"/>
        </w:tblCellMar>
      </w:tblPr>
      <w:tblGrid>
        <w:gridCol w:w="3486"/>
        <w:gridCol w:w="3485"/>
        <w:gridCol w:w="3485"/>
      </w:tblGrid>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Fee Schedule</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RM</w:t>
            </w:r>
          </w:p>
        </w:tc>
        <w:tc>
          <w:tcPr>
            <w:tcW w:w="3413"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Remark</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Sessional Rate</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200</w:t>
            </w:r>
          </w:p>
        </w:tc>
        <w:tc>
          <w:tcPr>
            <w:tcW w:w="3413"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1 session = 4 hours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(8.00 am -12.00 pm or 1.00 pm to 5.00 pm) 1 day = 2 sessions = RM 400</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Sessional Rate (Saturday/ Sunday/ Public Holiday</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300</w:t>
            </w:r>
          </w:p>
        </w:tc>
        <w:tc>
          <w:tcPr>
            <w:tcW w:w="3413"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1 session = 5 hours (8.00 am - 1.00 pm)</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Sessional Rewards (Double weekday rate on Sunday/ Public</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Holiday subject to fulfillment of minimum sessions)</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400</w:t>
            </w:r>
          </w:p>
        </w:tc>
        <w:tc>
          <w:tcPr>
            <w:tcW w:w="3413"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1 session = 5 hours (8.00 am - 1.00 pm) The Management has the discretion to change the hours of service in accordance to the exigencies of service. Please be notified that payments of sessional rate is subject to you payments of sessional rate is subject to you punching in and out for confirmation of attendance purpose and attendance purposes (i.e. in/out for work, in/out for meal break)</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EPF/SOCSO</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Not applicable</w:t>
            </w:r>
          </w:p>
        </w:tc>
        <w:tc>
          <w:tcPr>
            <w:tcW w:w="3413"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w:t>
            </w:r>
          </w:p>
        </w:tc>
      </w:tr>
      <w:tr>
        <w:tblPrEx>
          <w:tblW w:w="5000" w:type="pct"/>
          <w:tblLayout w:type="fixed"/>
        </w:tblPrEx>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PCB (Income tax)</w:t>
            </w:r>
          </w:p>
        </w:tc>
        <w:tc>
          <w:tcPr>
            <w:tcW w:w="3413" w:type="dxa"/>
            <w:tcBorders>
              <w:bottom w:val="single" w:sz="2" w:space="0" w:color="BCBEC0"/>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No arrangement from BP DC</w:t>
            </w:r>
          </w:p>
        </w:tc>
        <w:tc>
          <w:tcPr>
            <w:tcW w:w="3413" w:type="dxa"/>
            <w:tcBorders>
              <w:bottom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Doctor self-declaration and submission to LHDN</w:t>
            </w:r>
          </w:p>
        </w:tc>
      </w:tr>
      <w:tr>
        <w:tblPrEx>
          <w:tblW w:w="5000" w:type="pct"/>
          <w:tblLayout w:type="fixed"/>
        </w:tblPrEx>
        <w:tc>
          <w:tcPr>
            <w:tcW w:w="3413"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MMI Insurance and APC</w:t>
            </w:r>
          </w:p>
        </w:tc>
        <w:tc>
          <w:tcPr>
            <w:tcW w:w="3413" w:type="dxa"/>
            <w:tcBorders>
              <w:right w:val="single" w:sz="2" w:space="0" w:color="BCBEC0"/>
            </w:tcBorders>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Borne by BP DC</w:t>
            </w:r>
          </w:p>
        </w:tc>
        <w:tc>
          <w:tcPr>
            <w:tcW w:w="3413" w:type="dxa"/>
            <w:tcMar>
              <w:top w:w="100" w:type="dxa"/>
              <w:bottom w:w="100" w:type="dxa"/>
            </w:tcMar>
            <w:vAlign w:val="top"/>
          </w:tcPr>
          <w:p>
            <w:pPr>
              <w:spacing w:after="0" w:line="220" w:lineRule="atLeast"/>
              <w:ind w:left="0"/>
              <w:jc w:val="left"/>
            </w:pPr>
            <w:r>
              <w:rPr>
                <w:rFonts w:ascii="arial" w:eastAsia="arial" w:hAnsi="arial" w:cs="arial"/>
                <w:b w:val="0"/>
                <w:i/>
                <w:strike w:val="0"/>
                <w:noProof w:val="0"/>
                <w:color w:val="000000"/>
                <w:position w:val="0"/>
                <w:sz w:val="18"/>
                <w:u w:val="none"/>
                <w:vertAlign w:val="baseline"/>
              </w:rPr>
              <w:t>-</w:t>
            </w:r>
          </w:p>
        </w:tc>
      </w:tr>
    </w:tbl>
    <w:p/>
    <w:p>
      <w:pPr>
        <w:keepNext w:val="0"/>
        <w:spacing w:after="0" w:line="240" w:lineRule="atLeast"/>
        <w:ind w:left="400" w:right="0" w:firstLine="0"/>
        <w:jc w:val="both"/>
      </w:pPr>
      <w:r>
        <w:rPr>
          <w:rFonts w:ascii="arial" w:eastAsia="arial" w:hAnsi="arial" w:cs="arial"/>
          <w:b w:val="0"/>
          <w:i/>
          <w:strike w:val="0"/>
          <w:noProof w:val="0"/>
          <w:color w:val="000000"/>
          <w:position w:val="0"/>
          <w:sz w:val="18"/>
          <w:u w:val="none"/>
          <w:vertAlign w:val="baseline"/>
        </w:rPr>
        <w:t>You will also be entitled to net profits, apportioned on a 50:50 basis between you and the Company, from any monthly sales exceeding RM12,000.00 arising from your dental services and sales provided for the Company and performed at the dental clinic at BP Specialist Centre the al clinic at BP Specialist Centre Klang.</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The Court is unable to accept the Claimant’s contention that her remuneration structure bore the hallmarks of a monthly wage or salary indicative of a contract of service. Although the Claimant was paid by reference to sessional rates for weekdays, weekends and public holidays, together with sessional incentives, such payments were not fixed wages, but fees tied directly to services rendered. More significantly, the Claimant was contractually entitled to a 50:50 share of net profits derived from monthly sales exceeding RM12,000.00 arising from her dental services. This profit- sharing mechanism is fundamentally inconsistent with salaried employment and instead reflects a commercial arrangement involving shared business risk and reward.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The timing of payment whether monthly or otherwise does not, without more, convert service fees into wages. What is determinative is the substance of the remuneration structure. Here, the Claimant’s income fluctuated according to her sessions worked and the revenue generated, rather than being a guaranteed fixed sum. Such variability is fundamentally incompatible to the economic dependency typically associated with a contract of service.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Viewed holistically, the remuneration framework placed the Claimant squarely in the position of a person carrying on a business venture. It integrated her financial interests with the clinic’s commercial performance, contrasting starkly with the fixed wage and financial security of an employee. Consequently, this factor provides decisive evidence against a contract of service and strongly supports the finding of a contract for services.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Statutory Contributions (EPF and SOCSO) and Tax Deduction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A further and material indicator negating the existence of a contract of service lies in the parties’ express agreement on statutory contributions and tax obligations. Under the ODS, the Claimant was unequivocally not entitled to EPF or SOCSO contributions, nor to any benefits ordinarily associated with employment. The Claimant also expressly undertook responsibility for her own income tax.</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These are not mere administrative details. Statutory obligations to contribute to EPF and SOCSO are non-waivable in a contract of service. Their express exclusion, agreed by a professional party, constitutes objective evidence that the engagement was intended to fall outside the employment framework. This intention was consistently reflected in practice. The Claimant’s remuneration i.e. sessional rate and profit-sharing was paid in full without deductions for EPF, SOCSO, or tax deduction. The complete absence of these mandatory statutory contributions is a compelling objective fact that powerfully corroborates the absence of an employer-employee relationship.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The Claimant’s alleges that she raised concerns regarding the non-payment of EPF and SOCSO contributions. However, no documentary evidence has been adduced to support this allegation. This evidentiary vacuum further confirms that the parties operated strictly in accordance with the ODS terms. In this case, the Claimant consistently accepted and enjoyed the benefits and commercial advantages peculiar to this contractual arrangement. This absence of contributions reinforces the conclusion that no employment relationship, as defined under the law, was ever intended.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This financial architecture profit-sharing remuneration combined with the assumption of personal tax and statutory liability in the ODS is the hallmark of an individual operating a business on her own account. It stands in stark contrast to the fixed-wage structure and economic dependency of a salaried employee, whose remuneration is subject to statutory deductions at source. This factor alone is strongly indicative of a contract for services.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It is a well-established principle that a party who has voluntarily entered into an agreement and, over a prolonged period, derived benefit from its terms, cannot upon the cessation of the relationship seek to resile from those very terms. The Claimant cannot selectively assert the status of an employee only when it becomes legally advantageous to do so, having conducted herself in accordance with the ODS throughout the duration of the engagement.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xml:space="preserve">  The Industrial Court has consistently held that the absence of EPF and SOCSO contributions, together with the lack of employment benefits, constitutes a significant indicator that no contract of service exists. Reference may be made to </w:t>
      </w:r>
      <w:r>
        <w:rPr>
          <w:rFonts w:ascii="arial" w:eastAsia="arial" w:hAnsi="arial" w:cs="arial"/>
          <w:b w:val="0"/>
          <w:i/>
          <w:strike w:val="0"/>
          <w:noProof w:val="0"/>
          <w:color w:val="000000"/>
          <w:position w:val="0"/>
          <w:sz w:val="24"/>
          <w:u w:val="none"/>
          <w:vertAlign w:val="baseline"/>
        </w:rPr>
        <w:t xml:space="preserve">Klinik Bukit Jambul v. Balavendrian Anthony </w:t>
      </w:r>
      <w:r>
        <w:rPr>
          <w:rFonts w:ascii="arial" w:eastAsia="arial" w:hAnsi="arial" w:cs="arial"/>
          <w:b w:val="0"/>
          <w:i w:val="0"/>
          <w:strike w:val="0"/>
          <w:noProof w:val="0"/>
          <w:color w:val="000000"/>
          <w:position w:val="0"/>
          <w:sz w:val="24"/>
          <w:u w:val="none"/>
          <w:vertAlign w:val="baseline"/>
        </w:rPr>
        <w:t xml:space="preserve">[2002] 3 ILR 638, </w:t>
      </w:r>
      <w:r>
        <w:rPr>
          <w:rFonts w:ascii="arial" w:eastAsia="arial" w:hAnsi="arial" w:cs="arial"/>
          <w:b w:val="0"/>
          <w:i/>
          <w:strike w:val="0"/>
          <w:noProof w:val="0"/>
          <w:color w:val="000000"/>
          <w:position w:val="0"/>
          <w:sz w:val="24"/>
          <w:u w:val="none"/>
          <w:vertAlign w:val="baseline"/>
        </w:rPr>
        <w:t xml:space="preserve">Radakrishna Subramaniam v. Lourdes Medical Centre Sdn. Bhd. </w:t>
      </w:r>
      <w:r>
        <w:rPr>
          <w:rFonts w:ascii="arial" w:eastAsia="arial" w:hAnsi="arial" w:cs="arial"/>
          <w:b w:val="0"/>
          <w:i w:val="0"/>
          <w:strike w:val="0"/>
          <w:noProof w:val="0"/>
          <w:color w:val="000000"/>
          <w:position w:val="0"/>
          <w:sz w:val="24"/>
          <w:u w:val="none"/>
          <w:vertAlign w:val="baseline"/>
        </w:rPr>
        <w:t xml:space="preserve">[2012] 2 LNS 1708, and </w:t>
      </w:r>
      <w:r>
        <w:rPr>
          <w:rFonts w:ascii="arial" w:eastAsia="arial" w:hAnsi="arial" w:cs="arial"/>
          <w:b w:val="0"/>
          <w:i/>
          <w:strike w:val="0"/>
          <w:noProof w:val="0"/>
          <w:color w:val="000000"/>
          <w:position w:val="0"/>
          <w:sz w:val="24"/>
          <w:u w:val="none"/>
          <w:vertAlign w:val="baseline"/>
        </w:rPr>
        <w:t xml:space="preserve">Lim Bee Hoon v. Eduseeds (M) Sdn. Bhd. </w:t>
      </w:r>
      <w:r>
        <w:rPr>
          <w:rFonts w:ascii="arial" w:eastAsia="arial" w:hAnsi="arial" w:cs="arial"/>
          <w:b w:val="0"/>
          <w:i w:val="0"/>
          <w:strike w:val="0"/>
          <w:noProof w:val="0"/>
          <w:color w:val="000000"/>
          <w:position w:val="0"/>
          <w:sz w:val="24"/>
          <w:u w:val="none"/>
          <w:vertAlign w:val="baseline"/>
        </w:rPr>
        <w:t>[2021] 3 ILR 506. These factors, when viewed cumulatively with the other features of the engagement, corroborate the finding that the engagement was a contract for services.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Issue of Control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The Court acknowledges the Claimant’s submission that the designation of “independent contractor” within the ODS is not, in itself, conclusive of the true legal nature of the relationship. The existence of a written agreement describing the engagement as one of independent contracting does not automatically preclude a finding of a contract of service if the operational reality demonstrates otherwise. Accordingly, the ODS is not treated as conclusive but is examined against the factual matrix and the manner in which the relationship was performed in practice.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In challenging her classification, the Claimant relied principally on alleged indicia of control, namely adherence to clinic schedules, compliance with internal policies, and observance of professional standards. When assessed in context, these matters do not sustain the inference of employment control contended for. The Court draws a clear distinction between operational coordination necessary for the orderly provision of professional services and the pervasive control that characterizes a contract of service.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xml:space="preserve">  In this regard, the Court is guided by </w:t>
      </w:r>
      <w:r>
        <w:rPr>
          <w:rFonts w:ascii="arial" w:eastAsia="arial" w:hAnsi="arial" w:cs="arial"/>
          <w:b w:val="0"/>
          <w:i/>
          <w:strike w:val="0"/>
          <w:noProof w:val="0"/>
          <w:color w:val="000000"/>
          <w:position w:val="0"/>
          <w:sz w:val="24"/>
          <w:u w:val="none"/>
          <w:vertAlign w:val="baseline"/>
        </w:rPr>
        <w:t xml:space="preserve">Letchumanan Gopal v Pacific Orient &amp; Co. Sdn. Bhd. </w:t>
      </w:r>
      <w:r>
        <w:rPr>
          <w:rFonts w:ascii="arial" w:eastAsia="arial" w:hAnsi="arial" w:cs="arial"/>
          <w:b w:val="0"/>
          <w:i w:val="0"/>
          <w:strike w:val="0"/>
          <w:noProof w:val="0"/>
          <w:color w:val="000000"/>
          <w:position w:val="0"/>
          <w:sz w:val="24"/>
          <w:u w:val="none"/>
          <w:vertAlign w:val="baseline"/>
        </w:rPr>
        <w:t xml:space="preserve">[2011] 5 CLJ 866, where it was held that an independent contractor may be subject to direction as to what work is to be done but not control over how the work is performed. Control over the manner of performance is the decisive distinguishing feature. This principle accords with the description in </w:t>
      </w:r>
      <w:r>
        <w:rPr>
          <w:rFonts w:ascii="arial" w:eastAsia="arial" w:hAnsi="arial" w:cs="arial"/>
          <w:b/>
          <w:i w:val="0"/>
          <w:strike w:val="0"/>
          <w:noProof w:val="0"/>
          <w:color w:val="000000"/>
          <w:position w:val="0"/>
          <w:sz w:val="24"/>
          <w:u w:val="none"/>
          <w:vertAlign w:val="baseline"/>
        </w:rPr>
        <w:t>Halsbury’s Laws of England (3rd edn, vol. 25 at p. 452)</w:t>
      </w:r>
      <w:r>
        <w:rPr>
          <w:rFonts w:ascii="arial" w:eastAsia="arial" w:hAnsi="arial" w:cs="arial"/>
          <w:b w:val="0"/>
          <w:i w:val="0"/>
          <w:strike w:val="0"/>
          <w:noProof w:val="0"/>
          <w:color w:val="000000"/>
          <w:position w:val="0"/>
          <w:sz w:val="24"/>
          <w:u w:val="none"/>
          <w:vertAlign w:val="baseline"/>
        </w:rPr>
        <w:t>, which explains that under a contract of service the employer controls both the work and the manner of doing it, whereas under a contract for services, control over the mode of performance is absent.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xml:space="preserve">  Applying the Letchumanan Gopal test which turns on control over the manner of performance, the Court finds that the operational requirements cited by the Claimant pertain solely to the </w:t>
      </w:r>
      <w:r>
        <w:rPr>
          <w:rFonts w:ascii="arial" w:eastAsia="arial" w:hAnsi="arial" w:cs="arial"/>
          <w:b w:val="0"/>
          <w:i/>
          <w:strike w:val="0"/>
          <w:noProof w:val="0"/>
          <w:color w:val="000000"/>
          <w:position w:val="0"/>
          <w:sz w:val="24"/>
          <w:u w:val="none"/>
          <w:vertAlign w:val="baseline"/>
        </w:rPr>
        <w:t>what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where</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val="0"/>
          <w:i/>
          <w:strike w:val="0"/>
          <w:noProof w:val="0"/>
          <w:color w:val="000000"/>
          <w:position w:val="0"/>
          <w:sz w:val="24"/>
          <w:u w:val="none"/>
          <w:vertAlign w:val="baseline"/>
        </w:rPr>
        <w:t>when</w:t>
      </w:r>
      <w:r>
        <w:rPr>
          <w:rFonts w:ascii="arial" w:eastAsia="arial" w:hAnsi="arial" w:cs="arial"/>
          <w:b w:val="0"/>
          <w:i w:val="0"/>
          <w:strike w:val="0"/>
          <w:noProof w:val="0"/>
          <w:color w:val="000000"/>
          <w:position w:val="0"/>
          <w:sz w:val="24"/>
          <w:u w:val="none"/>
          <w:vertAlign w:val="baseline"/>
        </w:rPr>
        <w:t xml:space="preserve"> of the work. They do not demonstrate control over the </w:t>
      </w:r>
      <w:r>
        <w:rPr>
          <w:rFonts w:ascii="arial" w:eastAsia="arial" w:hAnsi="arial" w:cs="arial"/>
          <w:b w:val="0"/>
          <w:i/>
          <w:strike w:val="0"/>
          <w:noProof w:val="0"/>
          <w:color w:val="000000"/>
          <w:position w:val="0"/>
          <w:sz w:val="24"/>
          <w:u w:val="none"/>
          <w:vertAlign w:val="baseline"/>
        </w:rPr>
        <w:t>how</w:t>
      </w:r>
      <w:r>
        <w:rPr>
          <w:rFonts w:ascii="arial" w:eastAsia="arial" w:hAnsi="arial" w:cs="arial"/>
          <w:b w:val="0"/>
          <w:i w:val="0"/>
          <w:strike w:val="0"/>
          <w:noProof w:val="0"/>
          <w:color w:val="000000"/>
          <w:position w:val="0"/>
          <w:sz w:val="24"/>
          <w:u w:val="none"/>
          <w:vertAlign w:val="baseline"/>
        </w:rPr>
        <w:t>. As a practicing dentist operating within the Company’s facilities, the Claimant was necessarily subject to reasonable rules relating to patient safety, clinical governance, and compliance with statutory and professional standards. Requirements concerning rostering, conduct, and clinical protocols are inherent in any healthcare setting and are equally consistent with an independent contractor arrangement. They do not, without more, establish an employer-employee relationship.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Importantly, the Claimant retained genuine autonomy over the manner in which she provided her services. Her working schedule was not unilaterally imposed by the Company per se but was determined based upon mutual agreement as set out in the ODS. She further bore the contractual responsibility to arrange a replacement dentist in the event of her unavailability. This right and obligation to substitute goes to the very heart of the relationship and is fundamentally inconsistent with the obligation of personal service that lies at the core of a contract of service.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[61]</w:t>
      </w:r>
      <w:r>
        <w:rPr>
          <w:rFonts w:ascii="arial" w:eastAsia="arial" w:hAnsi="arial" w:cs="arial"/>
          <w:b w:val="0"/>
          <w:i w:val="0"/>
          <w:strike w:val="0"/>
          <w:noProof w:val="0"/>
          <w:color w:val="000000"/>
          <w:position w:val="0"/>
          <w:sz w:val="24"/>
          <w:u w:val="none"/>
          <w:vertAlign w:val="baseline"/>
        </w:rPr>
        <w:t>  The Court further finds that the Claimant’s remaining allegations of control such as adherence to agreed rosters, fixed working days and hours, performance assessments, compliance with company policies, marketing obligations, and restrictions against conflicts of interest are contractual features commonly found in professional services engagements. Considered holistically, these provisions reflected commercial and regulatory realities and did not undermine the Claimant’s operational independence.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[62]</w:t>
      </w:r>
      <w:r>
        <w:rPr>
          <w:rFonts w:ascii="arial" w:eastAsia="arial" w:hAnsi="arial" w:cs="arial"/>
          <w:b w:val="0"/>
          <w:i w:val="0"/>
          <w:strike w:val="0"/>
          <w:noProof w:val="0"/>
          <w:color w:val="000000"/>
          <w:position w:val="0"/>
          <w:sz w:val="24"/>
          <w:u w:val="none"/>
          <w:vertAlign w:val="baseline"/>
        </w:rPr>
        <w:t>  Taking into consideration all together, the evidence does not disclose the degree of control over the manner of work required to establish a contract of service. The control exercised by the Company was confined to coordination and regulatory compliance, and did not encroach upon the method, manner, or professional judgment by which the Claimant performed her work. On this fundamental element, the evidence weighs decisively in favor of a contract for services.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Conclusion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[63]</w:t>
      </w:r>
      <w:r>
        <w:rPr>
          <w:rFonts w:ascii="arial" w:eastAsia="arial" w:hAnsi="arial" w:cs="arial"/>
          <w:b w:val="0"/>
          <w:i w:val="0"/>
          <w:strike w:val="0"/>
          <w:noProof w:val="0"/>
          <w:color w:val="000000"/>
          <w:position w:val="0"/>
          <w:sz w:val="24"/>
          <w:u w:val="none"/>
          <w:vertAlign w:val="baseline"/>
        </w:rPr>
        <w:t>  The engagement between the Claimant and the Respondent was at all material times governed by the ODS, which was clear, unequivocal, and voluntarily entered into by both parties. The ODS expressly provided that the Claimant was engaged as an independent contractor, expressly excluded statutory employment benefits including EPF and SOCSO, and prescribed a remuneration structure based on sessional fees and profit-sharing. These provisions were deliberate and formed the contractual framework within which the parties conducted their relationship.</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[64]</w:t>
      </w:r>
      <w:r>
        <w:rPr>
          <w:rFonts w:ascii="arial" w:eastAsia="arial" w:hAnsi="arial" w:cs="arial"/>
          <w:b w:val="0"/>
          <w:i w:val="0"/>
          <w:strike w:val="0"/>
          <w:noProof w:val="0"/>
          <w:color w:val="000000"/>
          <w:position w:val="0"/>
          <w:sz w:val="24"/>
          <w:u w:val="none"/>
          <w:vertAlign w:val="baseline"/>
        </w:rPr>
        <w:t>  The Claimant’s focus on operational matters rostering, adherence to clinic policies, and observance of professional standards does not demonstrate subordination. Such requirements are inherent and necessary for the integrated delivery of regulated healthcare services and are fully consistent with a principal- independent contractor relationship. Crucially, the Claimant retained significant autonomy where her schedule was mutually agreed upon as stipulated in the ODS, and she had both the right and contractual obligation to arrange a substitute in her absence. This right of substitution is incompatible with the personal service obligation that defines a contract of service.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[65]</w:t>
      </w:r>
      <w:r>
        <w:rPr>
          <w:rFonts w:ascii="arial" w:eastAsia="arial" w:hAnsi="arial" w:cs="arial"/>
          <w:b w:val="0"/>
          <w:i w:val="0"/>
          <w:strike w:val="0"/>
          <w:noProof w:val="0"/>
          <w:color w:val="000000"/>
          <w:position w:val="0"/>
          <w:sz w:val="24"/>
          <w:u w:val="none"/>
          <w:vertAlign w:val="baseline"/>
        </w:rPr>
        <w:t>  The economic architecture of the engagement is determinative. The Claimant’s income was a variable function of sessions conducted and profits generated, not a fixed wage. Payments were remitted in full, with no statutory deductions for EPF, SOCSO, or income tax, resting solely upon her. This structure, where financial reward is tied directly to commercial success and risk, definitively places her in the position of a person ‘in business on her own account,’ rather than a dependent workman.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[66]</w:t>
      </w:r>
      <w:r>
        <w:rPr>
          <w:rFonts w:ascii="arial" w:eastAsia="arial" w:hAnsi="arial" w:cs="arial"/>
          <w:b w:val="0"/>
          <w:i w:val="0"/>
          <w:strike w:val="0"/>
          <w:noProof w:val="0"/>
          <w:color w:val="000000"/>
          <w:position w:val="0"/>
          <w:sz w:val="24"/>
          <w:u w:val="none"/>
          <w:vertAlign w:val="baseline"/>
        </w:rPr>
        <w:t>  The Claimant’s own conduct further affirms this status. Throughout the tenure of the ODS, the court found that she never asserted employee status, never claimed employment benefits, and operated consistently on the fiscal and operational terms of a self-employed professional. This prolonged, practical acquiescence constitutes compelling evidence of the parties’ mutual understanding.</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[67]</w:t>
      </w:r>
      <w:r>
        <w:rPr>
          <w:rFonts w:ascii="arial" w:eastAsia="arial" w:hAnsi="arial" w:cs="arial"/>
          <w:b w:val="0"/>
          <w:i w:val="0"/>
          <w:strike w:val="0"/>
          <w:noProof w:val="0"/>
          <w:color w:val="000000"/>
          <w:position w:val="0"/>
          <w:sz w:val="24"/>
          <w:u w:val="none"/>
          <w:vertAlign w:val="baseline"/>
        </w:rPr>
        <w:t>  Therefore, based on the totality of the evidence, the unambiguous contractual framework, the profit-sharing remuneration, the assumption of personal financial risk, the right of substitution, and the Claimant’s consistent conduct conclusively demonstrates a commercial partnership, rather than an employer-employee relationhip. The ODS was a genuine reflection of this commercial partnership, not a disguised contract of service.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[68]</w:t>
      </w:r>
      <w:r>
        <w:rPr>
          <w:rFonts w:ascii="arial" w:eastAsia="arial" w:hAnsi="arial" w:cs="arial"/>
          <w:b w:val="0"/>
          <w:i w:val="0"/>
          <w:strike w:val="0"/>
          <w:noProof w:val="0"/>
          <w:color w:val="000000"/>
          <w:position w:val="0"/>
          <w:sz w:val="24"/>
          <w:u w:val="none"/>
          <w:vertAlign w:val="baseline"/>
        </w:rPr>
        <w:t xml:space="preserve">  Accordingly, the Claimant has failed to discharge the fundamental legal burden of proving she was a “workman” within the meaning of Section 2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In the absence of this jurisdictional foundation, this Court is without authority to inquire into the substantive merits of the alleged dismissal. The Claimant’s case is therefore dismissed</w:t>
      </w:r>
      <w:r>
        <w:t>
</w:t>
      </w:r>
    </w:p>
    <w:p/>
    <w:p>
      <w:pPr>
        <w:ind w:left="200"/>
      </w:pPr>
      <w:r>
        <w:br/>
      </w:r>
      <w:r>
        <w:pict>
          <v:line id="_x0000_s1027"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Tan Jing Shyuan v BP Diagnostic Centre Sdn Bhd  [2026] ILJU 54</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Roman"/>
      <w:lvlText w:val="(%1)"/>
      <w:lvlJc w:val="left"/>
      <w:pPr>
        <w:tabs>
          <w:tab w:val="num" w:pos="1120"/>
        </w:tabs>
        <w:ind w:left="112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
      <w:lvlJc w:val="left"/>
      <w:pPr>
        <w:tabs>
          <w:tab w:val="num" w:pos="1120"/>
        </w:tabs>
        <w:ind w:left="112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ii)"/>
      <w:lvlJc w:val="left"/>
      <w:pPr>
        <w:tabs>
          <w:tab w:val="num" w:pos="1120"/>
        </w:tabs>
        <w:ind w:left="112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iclr.co.uk/pubrefLookup/redirectTo?ref=1990+2+AC+382" TargetMode="External" /><Relationship Id="rId8" Type="http://schemas.openxmlformats.org/officeDocument/2006/relationships/image" Target="media/image1.png" /><Relationship Id="rId9" Type="http://schemas.openxmlformats.org/officeDocument/2006/relationships/hyperlink" Target="https://iclr.co.uk/pubrefLookup/redirectTo?ref=1968+1+WLR+4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 Jing Shyuan v BP Diagnostic Centre Sdn Bhd  [2026] ILJU 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7G-3JC3-MBND-1360-00000-00">
    <vt:lpwstr>Doc::/shared/document|contextualFeaturePermID::1522468</vt:lpwstr>
  </property>
  <property fmtid="{D5CDD505-2E9C-101B-9397-08002B2CF9AE}" pid="4" name="LNDeliveryID">
    <vt:lpwstr>283274835</vt:lpwstr>
  </property>
  <property fmtid="{D5CDD505-2E9C-101B-9397-08002B2CF9AE}" pid="5" name="UserPermID">
    <vt:lpwstr>urn:user:PA196491919</vt:lpwstr>
  </property>
</Properties>
</file>