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回测报告</w:t>
      </w:r>
    </w:p>
    <w:p>
      <w:r/>
    </w:p>
    <w:p>
      <w:pPr>
        <w:ind w:firstLine="-336"/>
        <w:spacing/>
        <w:jc w:val="left"/>
      </w:pPr>
      <w:r>
        <w:rPr>
          <w:sz w:val="24"/>
          <w:color w:val="000000"/>
          <w:shd w:val="clear" w:color="auto" w:fill="FFFFFF"/>
        </w:rPr>
        <w:t xml:space="preserve">1. </w:t>
      </w:r>
      <w:r>
        <w:rPr>
          <w:sz w:val="22"/>
          <w:color w:val="333333"/>
          <w:shd w:val="clear" w:color="auto" w:fill="FFFFFF"/>
        </w:rPr>
        <w:t xml:space="preserve">策略概述</w:t>
      </w:r>
    </w:p>
    <w:p>
      <w:pPr>
        <w:ind w:firstLine="-336"/>
        <w:spacing/>
        <w:jc w:val="left"/>
      </w:pPr>
      <w:r>
        <w:rPr>
          <w:sz w:val="22"/>
          <w:color w:val="333333"/>
          <w:shd w:val="clear" w:color="auto" w:fill="FFFFFF"/>
        </w:rPr>
        <w:t xml:space="preserve">本次回测主要使用自创的贪婪恐慌指数，指数高低代表了现货与合约的价格及交易量的离散情况，如果指数上升代表市场恐慌，有3种情况会导致指数上升，1是现货积极买入，2是合约积极做空，3是多头合约大量止损，再根据持仓情况排除掉第3种情况，即可进场做多单，指数下降时代表市场贪婪，可以作为离场信号</w:t>
      </w:r>
    </w:p>
    <w:p>
      <w:pPr>
        <w:ind w:firstLine="-336"/>
        <w:spacing/>
        <w:jc w:val="left"/>
      </w:pPr>
      <w:r>
        <w:rPr>
          <w:sz w:val="22"/>
          <w:color w:val="333333"/>
          <w:shd w:val="clear" w:color="auto" w:fill="FFFFFF"/>
        </w:rPr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具体规则如下：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大周期买入信号：当16小时内出现8小时指数大于5.5且小于4.5的指数不超过5小时，即视为持续恐慌，可入场做多。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大周期卖出信号：当11小时内出现5小时指数小于2时，即视为贪婪，多单离场。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小周期买入信号：当</w:t>
      </w:r>
      <w:r>
        <w:t xml:space="preserve">13</w:t>
      </w:r>
      <w:r>
        <w:rPr>
          <w:sz w:val="22"/>
          <w:color w:val="333333"/>
          <w:shd w:val="clear" w:color="auto" w:fill="FFFFFF"/>
        </w:rPr>
        <w:t xml:space="preserve">小时内出现5小时指数大于5.5且小于4.5的指数不超过3小时，即视为持续恐慌，可入场做多。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小周期卖出信号：当</w:t>
      </w:r>
      <w:r>
        <w:t xml:space="preserve">11</w:t>
      </w:r>
      <w:r>
        <w:rPr>
          <w:sz w:val="22"/>
          <w:color w:val="333333"/>
          <w:shd w:val="clear" w:color="auto" w:fill="FFFFFF"/>
        </w:rPr>
        <w:t xml:space="preserve">小时内出现5小时指数小于2时，即视为贪婪，多单立场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本次回测的币种为 BTC，回测期间为</w:t>
      </w:r>
      <w:r>
        <w:rPr>
          <w:sz w:val="22"/>
        </w:rPr>
        <w:t xml:space="preserve">2019-10-09 </w:t>
      </w:r>
      <w:r>
        <w:rPr>
          <w:sz w:val="22"/>
          <w:color w:val="333333"/>
          <w:shd w:val="clear" w:color="auto" w:fill="FFFFFF"/>
        </w:rPr>
        <w:t xml:space="preserve">~ 2023-03-09。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策略类型：CTA</w:t>
      </w:r>
    </w:p>
    <w:p>
      <w:pPr>
        <w:ind/>
        <w:spacing/>
        <w:jc w:val="left"/>
      </w:pPr>
      <w:r/>
    </w:p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2. 回测数据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回测数据采用binance的现货及合约的Kline数据，时间范围为</w:t>
      </w:r>
      <w:r>
        <w:rPr>
          <w:sz w:val="22"/>
        </w:rPr>
        <w:t xml:space="preserve">2019-10-09 </w:t>
      </w:r>
      <w:r>
        <w:rPr>
          <w:sz w:val="22"/>
          <w:color w:val="333333"/>
          <w:shd w:val="clear" w:color="auto" w:fill="FFFFFF"/>
        </w:rPr>
        <w:t xml:space="preserve">~ 2023-03-09，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数据采用的时间粒度为1h。</w:t>
      </w:r>
    </w:p>
    <w:p>
      <w:pPr>
        <w:ind/>
        <w:spacing/>
        <w:jc w:val="left"/>
      </w:pPr>
      <w:r/>
    </w:p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3. 回测结果</w:t>
      </w:r>
    </w:p>
    <w:p>
      <w:pPr>
        <w:ind w:firstLine="-336"/>
        <w:spacing/>
        <w:jc w:val="left"/>
      </w:pPr>
      <w:r>
        <w:rPr>
          <w:sz w:val="24"/>
          <w:color w:val="000000"/>
          <w:shd w:val="clear" w:color="auto" w:fill="FFFFFF"/>
        </w:rPr>
        <w:t xml:space="preserve">a. </w:t>
      </w:r>
      <w:r>
        <w:rPr>
          <w:sz w:val="22"/>
          <w:color w:val="333333"/>
          <w:shd w:val="clear" w:color="auto" w:fill="FFFFFF"/>
        </w:rPr>
        <w:t xml:space="preserve">总体表现</w:t>
      </w:r>
    </w:p>
    <w:tbl>
      <w:tblPr>
        <w:tblStyle w:val="TableGrid"/>
        <w:tblW w:w="0" w:type="auto"/>
      </w:tblPr>
      <w:tblGrid>
        <w:gridCol w:w="1590"/>
        <w:gridCol w:w="1590"/>
        <w:gridCol w:w="1590"/>
        <w:gridCol w:w="1590"/>
        <w:gridCol w:w="1590"/>
        <w:gridCol w:w="1590"/>
      </w:tblGrid>
      <w:tr>
        <w:trPr>
          <w:trHeight w:val="1095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t xml:space="preserve">回测时间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rPr>
                <w:sz w:val="22"/>
                <w:color w:val="333333"/>
                <w:shd w:val="clear" w:color="auto" w:fill="FFFFFF"/>
              </w:rPr>
              <w:t xml:space="preserve">策略收益率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rPr>
                <w:sz w:val="22"/>
                <w:color w:val="333333"/>
                <w:shd w:val="clear" w:color="auto" w:fill="FFFFFF"/>
              </w:rPr>
              <w:t xml:space="preserve">年化收益率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rPr>
                <w:sz w:val="22"/>
                <w:color w:val="333333"/>
                <w:shd w:val="clear" w:color="auto" w:fill="FFFFFF"/>
              </w:rPr>
              <w:t xml:space="preserve">年化波动率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rPr>
                <w:sz w:val="22"/>
                <w:color w:val="333333"/>
                <w:shd w:val="clear" w:color="auto" w:fill="FFFFFF"/>
              </w:rPr>
              <w:t xml:space="preserve">夏普比率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rPr>
                <w:sz w:val="22"/>
                <w:color w:val="333333"/>
                <w:shd w:val="clear" w:color="auto" w:fill="FFFFFF"/>
              </w:rPr>
              <w:t xml:space="preserve">最大回撤</w:t>
            </w:r>
          </w:p>
        </w:tc>
      </w:tr>
      <w:tr>
        <w:trPr>
          <w:trHeight w:val="1095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2019-10-09 ~ 2023-03-09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t xml:space="preserve">1383.0%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404.8%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0.388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t xml:space="preserve">2.123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>
              <w:ind/>
              <w:spacing/>
              <w:jc w:val="left"/>
            </w:pPr>
            <w:r>
              <w:t xml:space="preserve">-24.8%</w:t>
            </w:r>
          </w:p>
        </w:tc>
      </w:tr>
      <w:tr>
        <w:trPr>
          <w:trHeight w:val="0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2019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35.2%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154.8%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 0.411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3.626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-11.4%</w:t>
            </w:r>
          </w:p>
        </w:tc>
      </w:tr>
      <w:tr>
        <w:trPr>
          <w:trHeight w:val="0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2020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172.2% 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172.2%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0.438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2.388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-24.8%</w:t>
            </w:r>
          </w:p>
        </w:tc>
      </w:tr>
      <w:tr>
        <w:trPr>
          <w:trHeight w:val="0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2021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96.4%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96.7%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0.294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2.300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 -15.1%</w:t>
            </w:r>
          </w:p>
        </w:tc>
      </w:tr>
      <w:tr>
        <w:trPr>
          <w:trHeight w:val="0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2022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96.7%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96.9%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0.435 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1.687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-23.7%</w:t>
            </w:r>
          </w:p>
        </w:tc>
      </w:tr>
      <w:tr>
        <w:trPr>
          <w:trHeight w:val="0"/>
        </w:trPr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2023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4.1%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22.4%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0.214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 1.457</w:t>
            </w:r>
          </w:p>
        </w:tc>
        <w:tc>
          <w:tcPr>
            <w:tcW w:w="159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FFFFFF"/>
          </w:tcPr>
          <w:p>
            <w:pPr/>
            <w:r>
              <w:t xml:space="preserve">-9.2%</w:t>
            </w:r>
          </w:p>
        </w:tc>
      </w:tr>
    </w:tbl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注：夏普比率 = (年化收益率 - 无风险收益率) / 年化波动率，无风险收益率以太坊质押收益率4.5%。</w:t>
      </w:r>
    </w:p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b. 交易统计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</w:r>
    </w:p>
    <w:tbl>
      <w:tblPr>
        <w:tblStyle w:val="TableGrid"/>
        <w:tblW w:w="0" w:type="auto"/>
      </w:tblPr>
      <w:tblGrid>
        <w:gridCol w:w="4875"/>
        <w:gridCol w:w="4875"/>
      </w:tblGrid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>
              <w:jc w:val="center"/>
            </w:pPr>
            <w:r>
              <w:rPr>
                <w:sz w:val="24"/>
                <w:rFonts w:ascii="PingFang SC" w:hAnsi="PingFang SC" w:cs="PingFang SC" w:eastAsia="PingFang SC"/>
                <w:color w:val="000000"/>
                <w:b w:val="1"/>
                <w:shd w:val="clear" w:color="auto" w:fill="FFFFFF"/>
              </w:rPr>
              <w:t xml:space="preserve">名称</w:t>
            </w:r>
          </w:p>
        </w:tc>
        <w:tc>
          <w:tcPr>
            <w:tcW w:w="4875" w:type="dxa"/>
            <w:shd w:val="clear" w:color="auto" w:fill="FFFFFF"/>
          </w:tcPr>
          <w:p>
            <w:pPr>
              <w:jc w:val="center"/>
            </w:pPr>
            <w:r>
              <w:rPr>
                <w:sz w:val="24"/>
                <w:rFonts w:ascii="PingFang SC" w:hAnsi="PingFang SC" w:cs="PingFang SC" w:eastAsia="PingFang SC"/>
                <w:color w:val="000000"/>
                <w:b w:val="1"/>
                <w:shd w:val="clear" w:color="auto" w:fill="FFFFFF"/>
              </w:rPr>
              <w:t xml:space="preserve">结果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开始时间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2019-10-09 01:00:00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结束时间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2023-03-09 11:00:00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初始金额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10000.000000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当前余额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148301.954788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最小余额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9985.831751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最大余额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162779.499323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最小余额发生时间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2019-10-25 07:00:00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最大余额发生时间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2023-02-24 09:00:00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单手最大持仓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99.039%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最大回撤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-24.758%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最大回撤发生时间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2020-03-16 18:00:00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预估年化收益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404.813%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止盈次数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76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止损次数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57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开仓次数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134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开仓交易量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474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开仓交易额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10309341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交易胜率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57.14%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平均持仓时间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66h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平均盈利比率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6.61%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平均亏损比率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-3.35%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平均每笔收益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2.34%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平均每笔滑点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平均每笔交易成本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0.00080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单笔最大亏损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-6.033%</w:t>
            </w:r>
          </w:p>
        </w:tc>
      </w:tr>
      <w:tr>
        <w:trPr>
          <w:trHeight w:val="0"/>
        </w:trPr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单笔最大盈利</w:t>
            </w:r>
          </w:p>
        </w:tc>
        <w:tc>
          <w:tcPr>
            <w:tcW w:w="4875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62.650%</w:t>
            </w:r>
          </w:p>
        </w:tc>
      </w:tr>
    </w:tbl>
    <w:p>
      <w:pPr>
        <w:ind/>
        <w:spacing/>
        <w:jc w:val="left"/>
      </w:pPr>
      <w:r/>
    </w:p>
    <w:p>
      <w:pPr>
        <w:ind/>
        <w:spacing/>
        <w:jc w:val="left"/>
      </w:pPr>
      <w:r/>
    </w:p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c. 收益分布</w:t>
      </w:r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>
              <w:jc w:val="center"/>
            </w:pPr>
            <w:r>
              <w:rPr>
                <w:sz w:val="24"/>
                <w:rFonts w:ascii="PingFang SC" w:hAnsi="PingFang SC" w:cs="PingFang SC" w:eastAsia="PingFang SC"/>
                <w:color w:val="000000"/>
                <w:b w:val="1"/>
                <w:shd w:val="clear" w:color="auto" w:fill="FFFFFF"/>
              </w:rPr>
              <w:t xml:space="preserve">收益区间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b w:val="1"/>
                <w:shd w:val="clear" w:color="auto" w:fill="FFFFFF"/>
              </w:rPr>
              <w:t xml:space="preserve">交易次数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center"/>
            </w:pPr>
            <w:r>
              <w:rPr>
                <w:sz w:val="24"/>
                <w:rFonts w:ascii="PingFang SC" w:hAnsi="PingFang SC" w:cs="PingFang SC" w:eastAsia="PingFang SC"/>
                <w:color w:val="000000"/>
                <w:b w:val="1"/>
                <w:shd w:val="clear" w:color="auto" w:fill="FFFFFF"/>
              </w:rPr>
              <w:t xml:space="preserve">占比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-100%~-20%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-20%~-10%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-10%~-5%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0.030%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-5%~-2%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42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0.321%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-2%~-1%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0.024%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-1%~0%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8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0.070%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0%~1%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0.039%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1%~2%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0.056%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2%~5%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29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0.220%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5%~10%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0.156%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10%~15%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12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0.119%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15%~20%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0.056%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20%~30%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1.000%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30%~40%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40%~50%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50%~60%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60%~80%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0.083%</w:t>
            </w:r>
          </w:p>
        </w:tc>
      </w:tr>
      <w:tr>
        <w:trPr>
          <w:trHeight w:val="0"/>
        </w:trPr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80%~200%</w:t>
            </w:r>
          </w:p>
        </w:tc>
        <w:tc>
          <w:tcPr>
            <w:tcW w:w="3240" w:type="dxa"/>
            <w:shd w:val="clear" w:color="auto" w:fill="FFFFFF"/>
          </w:tcPr>
          <w:p>
            <w:pPr>
              <w:jc w:val="right"/>
            </w:pPr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3240" w:type="dxa"/>
            <w:shd w:val="clear" w:color="auto" w:fill="FFFFFF"/>
          </w:tcPr>
          <w:p>
            <w:pPr/>
            <w:r>
              <w:rPr>
                <w:sz w:val="24"/>
                <w:rFonts w:ascii="PingFang SC" w:hAnsi="PingFang SC" w:cs="PingFang SC" w:eastAsia="PingFang SC"/>
                <w:color w:val="000000"/>
                <w:shd w:val="clear" w:color="auto" w:fill="FFFFFF"/>
              </w:rPr>
              <w:t xml:space="preserve">0.000%</w:t>
            </w:r>
          </w:p>
        </w:tc>
      </w:tr>
    </w:tbl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d. 净值走势图(资金曲线图)</w:t>
      </w:r>
    </w:p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</w:r>
      <w:r>
        <w:drawing>
          <wp:inline distT="0" distB="0" distL="0" distR="0">
            <wp:extent cx="7096125" cy="4076225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7096125" cy="40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color w:val="333333"/>
          <w:shd w:val="clear" w:color="auto" w:fill="FFFFFF"/>
        </w:rPr>
      </w:r>
    </w:p>
    <w:p>
      <w:pPr/>
      <w:r/>
    </w:p>
    <w:p>
      <w:pPr/>
      <w:r/>
    </w:p>
    <w:p>
      <w:pPr>
        <w:ind/>
        <w:spacing/>
        <w:jc w:val="left"/>
      </w:pPr>
      <w:r/>
    </w:p>
    <w:p>
      <w:pPr>
        <w:ind/>
        <w:spacing/>
        <w:jc w:val="left"/>
      </w:pPr>
      <w:r>
        <w:rPr>
          <w:sz w:val="22"/>
          <w:color w:val="333333"/>
          <w:shd w:val="clear" w:color="auto" w:fill="FFFFFF"/>
        </w:rPr>
        <w:t xml:space="preserve">4. 总结和建议</w:t>
      </w:r>
    </w:p>
    <w:p>
      <w:pPr>
        <w:numPr>
          <w:ilvl w:val="0"/>
          <w:numId w:val="1"/>
        </w:numPr>
        <w:spacing/>
        <w:jc w:val="left"/>
      </w:pPr>
      <w:r>
        <w:rPr>
          <w:sz w:val="22"/>
          <w:color w:val="333333"/>
          <w:shd w:val="clear" w:color="auto" w:fill="FFFFFF"/>
        </w:rPr>
        <w:t xml:space="preserve">加入历史持仓量数据：由于系统中没有历史持仓数据，无法排出恐慌指数出现时是否为多头合约在止损的情况, 如果是多头合约止损，则需要更长时间的恐慌周期才能进场，不应该根据指数直接进场，</w:t>
      </w:r>
    </w:p>
    <w:p>
      <w:pPr>
        <w:numPr>
          <w:ilvl w:val="0"/>
          <w:numId w:val="1"/>
        </w:numPr>
        <w:spacing/>
        <w:jc w:val="left"/>
      </w:pPr>
      <w:r>
        <w:rPr>
          <w:sz w:val="22"/>
          <w:color w:val="333333"/>
          <w:shd w:val="clear" w:color="auto" w:fill="FFFFFF"/>
        </w:rPr>
        <w:t xml:space="preserve">参数优化：回测中仅加入了2组大小周期固定参数，但实际交易中需要根据市场实际情况，修改贪婪标准与恐慌标准。</w:t>
      </w:r>
    </w:p>
    <w:p>
      <w:pPr>
        <w:ind/>
        <w:spacing/>
        <w:jc w:val="left"/>
      </w:pPr>
      <w:r/>
    </w:p>
    <w:sectPr>
      <w:pgSz w:w="13335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