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r>
      <w:r>
        <w:t>ABSTRACT</w:t>
      </w:r>
    </w:p>
    <w:p>
      <w:r>
        <w:rPr>
          <w:rFonts w:ascii="宋体" w:hAnsi="宋体" w:eastAsia="宋体"/>
          <w:sz w:val="24"/>
        </w:rPr>
      </w:r>
      <w:r>
        <w:t>:基于Transformerbased模型的巨大成功得益于强大的多头自注意机制，该机制学习令牌依赖性并从输入中编码上下文信息。先前的工作试图将模型决策归因于具有不同显著性度量的单个输入特征，但未能解释这些输入特征如何相互作用以实现预测。在本文中，我们提出了一种自注意归因方法来解释Transformer内部的信息交互。我们以BERT为例进行了广泛的研究。首先，我们应用自注意归因来识别重要的注意头，而其他注意头可以在性能下降的情况下进行修剪。此外，我们提取每一层中最显著的依赖项来构建属性树，从而揭示Transformer内部的分层交互。最后，我们证明了归因结果可以作为对抗模式来实现对BERT的非目标攻击。</w:t>
      </w:r>
    </w:p>
    <w:p>
      <w:r>
        <w:rPr>
          <w:rFonts w:ascii="宋体" w:hAnsi="宋体" w:eastAsia="宋体"/>
          <w:sz w:val="24"/>
        </w:rPr>
      </w:r>
      <w:r/>
    </w:p>
    <w:p>
      <w:r>
        <w:rPr>
          <w:rFonts w:ascii="宋体" w:hAnsi="宋体" w:eastAsia="宋体"/>
          <w:sz w:val="24"/>
        </w:rPr>
      </w:r>
      <w:r>
        <w:t>1INTRODUCTION</w:t>
      </w:r>
    </w:p>
    <w:p>
      <w:r>
        <w:rPr>
          <w:rFonts w:ascii="宋体" w:hAnsi="宋体" w:eastAsia="宋体"/>
          <w:sz w:val="24"/>
        </w:rPr>
      </w:r>
      <w:r>
        <w:t>:学术论文的引言部分强调了基于变换的模型，特别是BERT在自然语言处理（NLP）领域的重要性。作者承认这些模型的成功，但也认识到需要更深入地了解它们的内部机制，这些机制通常被认为是“黑匣子”。本文介绍了一种称为ATTATTR的自注意归因方法，该方法基于综合梯度，以解决以前解释变形金刚中信息交互的方法的局限性。作者的研究旨在实现几个目标。首先，他们旨在使用ATTATTR识别Transformer模型每一层中最重要的注意力连接。他们还旨在构建自注意归因树，以揭示模型内的信息流。此外，他们计划使用ATTATTR进行头部修剪，并创建对抗性触发器来攻击基于BERT的模型，从而突出模型容易过度强调某些单词模式。本文的结论是，ATTATTR不仅可以解释模型决策，还可以识别数据中的异常模式，有助于更好地理解Transformer模型。作者对BERT的广泛研究证明了他们提出的方法在可视化变形金刚学习的成分结构和修剪自注意头方面的有效性。本文的发现对提高NLP任务中基于变换的模型的可解释性和稳健性具有重要意义。</w:t>
      </w:r>
    </w:p>
    <w:p>
      <w:r>
        <w:rPr>
          <w:rFonts w:ascii="宋体" w:hAnsi="宋体" w:eastAsia="宋体"/>
          <w:sz w:val="24"/>
        </w:rPr>
      </w:r>
      <w:r/>
    </w:p>
    <w:p>
      <w:r>
        <w:rPr>
          <w:rFonts w:ascii="宋体" w:hAnsi="宋体" w:eastAsia="宋体"/>
          <w:sz w:val="24"/>
        </w:rPr>
      </w:r>
      <w:r>
        <w:t>3METHODS:SELF-ATTENTIONATTRIBUTION</w:t>
      </w:r>
    </w:p>
    <w:p>
      <w:r>
        <w:rPr>
          <w:rFonts w:ascii="宋体" w:hAnsi="宋体" w:eastAsia="宋体"/>
          <w:sz w:val="24"/>
        </w:rPr>
      </w:r>
      <w:r>
        <w:t>:修改文本：本文提出了一个新的框架模型ATTATTR，旨在解释基于变换的模型的内部工作，重点是BERT。该模型通过将模型决策归因于自注意关系，解决了理解变形金刚中密集注意力得分矩阵的挑战。这种方法为对最终预测贡献更大的交互作用分配更高的分数。ATTATTR中使用的方法包括操纵内部注意力得分并观察相应的模型动态，以检查单词交互的贡献。作者计算了每个注意力连接的归因得分，不仅考虑了注意力得分，还考虑了模型预测对注意力关系的敏感性。ATTATTR的创新之一是使用积分梯度，通过积分的黎曼近似有效地计算归因得分。该方法将沿着从零注意力矩阵到原始注意力权重的直线路径以足够小的间隔出现的点处的梯度求和。该模型通过证明注意力权重并不总是与模型预测的贡献相关，解决了现有研究的不足。ATTATTR提供了对Transformer内分层交互的更准确理解，可用于头部修剪和识别同质任务的不同数据集中的重要注意力头部。总之，ATTATTR通过将模型决策归因于自注意关系，为解释Transformer模型提供了一个新的视角，为理解这些模型中的复杂交互提供了一种更准确、更有效的方法。</w:t>
      </w:r>
    </w:p>
    <w:p>
      <w:r>
        <w:rPr>
          <w:rFonts w:ascii="宋体" w:hAnsi="宋体" w:eastAsia="宋体"/>
          <w:sz w:val="24"/>
        </w:rPr>
      </w:r>
      <w:r/>
    </w:p>
    <w:p>
      <w:r>
        <w:rPr>
          <w:rFonts w:ascii="宋体" w:hAnsi="宋体" w:eastAsia="宋体"/>
          <w:sz w:val="24"/>
        </w:rPr>
      </w:r>
      <w:r>
        <w:t>2BACKGROUND</w:t>
      </w:r>
    </w:p>
    <w:p>
      <w:r>
        <w:rPr>
          <w:rFonts w:ascii="宋体" w:hAnsi="宋体" w:eastAsia="宋体"/>
          <w:sz w:val="24"/>
        </w:rPr>
      </w:r>
      <w:r>
        <w:t>:修改文本：本文提出了一种新颖的自注意归因方法ATTATTR，旨在揭开基于变换的模型的内部工作原理的神秘面纱，重点是BERT。首先介绍了依赖于注意力机制的Transformer模型，重点介绍了它的多头自注意力组件。BERT是变压器的一个成功应用，作为本文实验的基础。作者引入了集成梯度来识别重要的注意力连接并构建归因树，揭示了Transformer中的层次交互。一个关键发现是，注意力权重并不总是与对模型预测的贡献相关。这一见解被用于开发一种头部修剪方法，与泰勒展开方法相比，该方法显示出有竞争力的性能。该论文还证明，对于同质任务，重要的注意力头在不同的数据集中是一致的。此外，作者使用归因结果来创建对抗性模式，这些模式可以攻击基于Bert的模型，暴露出它们过于强调某些单词模式的脆弱性。总之，本文介绍了一种用于解释模型决策和识别数据中异常模式的创新方法，有助于更好地理解Transformer模型。在BERT上进行的实验展示了ATTATTR在识别重要注意力连接方面的有效性及其在头部修剪和对抗性模式生成方面的潜力。</w:t>
      </w:r>
    </w:p>
    <w:p>
      <w:r>
        <w:rPr>
          <w:rFonts w:ascii="宋体" w:hAnsi="宋体" w:eastAsia="宋体"/>
          <w:sz w:val="24"/>
        </w:rPr>
      </w:r>
      <w:r/>
    </w:p>
    <w:p>
      <w:r>
        <w:rPr>
          <w:rFonts w:ascii="宋体" w:hAnsi="宋体" w:eastAsia="宋体"/>
          <w:sz w:val="24"/>
        </w:rPr>
      </w:r>
      <w:r>
        <w:t>4EXPERIMENTS</w:t>
      </w:r>
    </w:p>
    <w:p>
      <w:r>
        <w:rPr>
          <w:rFonts w:ascii="宋体" w:hAnsi="宋体" w:eastAsia="宋体"/>
          <w:sz w:val="24"/>
        </w:rPr>
      </w:r>
      <w:r>
        <w:t>:修改文本：在论文的实验部分，作者使用BERT案例来评估他们的自注意归因方法ATTATTR的有效性。他们在四个分类数据集上微调BERT：MNLI、RTE、SST2和MRPC，使用准确性作为评估指标，并遵循Devlin等人建议的设置。（2019）。ATTATTR的有效性通过一项分析得到了证明，该分析根据注意力头部的归因得分对其进行修剪，显示出对模型性能的显著影响。作者还将他们的方法与其他重要性度量进行了比较，如准确性差异和泰勒展开法，发现ATTATTR在指示注意力头的重要性方面更有效。给出了注意力头修剪的一个用例，其中注意力头的重要性由相对于黄金标签的最大归因值来定义。作者表明，保留重要的头有助于提高模型精度，并且ATTATTR在修剪后的性能方面与泰勒展开方法具有竞争力。本文还研究了同质任务中不同数据集中重要注意头的普遍性，发现重要注意头在RTE、MPRC和MNLI等数据集中是一致的，这些数据集与隐含检测有关。然而，对于情感分类，如SST2，重要的头部不同。另一个用例是可视化Transformer内部的信息流。作者提出了一种算法来构建属性树，揭示Transformer内的层次交互，从而深入了解模型捕获的依赖关系。他们用MNLI和SST2的例子证明了这一点，展示了如何通过聚合来自输入令牌的信息来实现模型的预测。最后，作者通过使用归因结果创建对抗性模式来探索基于BERT的模型的脆弱性。他们表明，通过强调某些单词模式，可以操纵模型的预测，突出模型对过度强调特定模式的敏感性。总之，本文中进行的实验验证了ATTATTR在解释模型决策、识别重要注意力头、可视化信息流和揭示模型易受对抗性攻击方面的有效性。</w:t>
      </w:r>
    </w:p>
    <w:p>
      <w:r>
        <w:rPr>
          <w:rFonts w:ascii="宋体" w:hAnsi="宋体" w:eastAsia="宋体"/>
          <w:sz w:val="24"/>
        </w:rPr>
      </w:r>
      <w:r/>
    </w:p>
    <w:p>
      <w:r>
        <w:rPr>
          <w:rFonts w:ascii="宋体" w:hAnsi="宋体" w:eastAsia="宋体"/>
          <w:sz w:val="24"/>
        </w:rPr>
      </w:r>
      <w:r>
        <w:t>5RELATEDWORK</w:t>
      </w:r>
    </w:p>
    <w:p>
      <w:r>
        <w:drawing>
          <wp:inline xmlns:a="http://schemas.openxmlformats.org/drawingml/2006/main" xmlns:pic="http://schemas.openxmlformats.org/drawingml/2006/picture">
            <wp:extent cx="5270400" cy="5216252"/>
            <wp:docPr id="1" name="Picture 1"/>
            <wp:cNvGraphicFramePr>
              <a:graphicFrameLocks noChangeAspect="1"/>
            </wp:cNvGraphicFramePr>
            <a:graphic>
              <a:graphicData uri="http://schemas.openxmlformats.org/drawingml/2006/picture">
                <pic:pic>
                  <pic:nvPicPr>
                    <pic:cNvPr id="0" name="page_3_image_4.png"/>
                    <pic:cNvPicPr/>
                  </pic:nvPicPr>
                  <pic:blipFill>
                    <a:blip r:embed="rId9"/>
                    <a:stretch>
                      <a:fillRect/>
                    </a:stretch>
                  </pic:blipFill>
                  <pic:spPr>
                    <a:xfrm>
                      <a:off x="0" y="0"/>
                      <a:ext cx="5270400" cy="5216252"/>
                    </a:xfrm>
                    <a:prstGeom prst="rect"/>
                  </pic:spPr>
                </pic:pic>
              </a:graphicData>
            </a:graphic>
          </wp:inline>
        </w:drawing>
      </w:r>
    </w:p>
    <w:p>
      <w:r>
        <w:rPr>
          <w:rFonts w:ascii="宋体" w:hAnsi="宋体" w:eastAsia="宋体"/>
          <w:sz w:val="24"/>
        </w:rPr>
      </w:r>
      <w:r>
        <w:t>总之，尽管现有研究在理解神经网络方面取得了进展，但所提出的ATTATTR方法为解释模型决策和识别数据中的异常模式提供了一种新的方法，为更深入地理解变压器模型铺平了道路。</w:t>
      </w:r>
    </w:p>
    <w:p>
      <w:r>
        <w:rPr>
          <w:rFonts w:ascii="宋体" w:hAnsi="宋体" w:eastAsia="宋体"/>
          <w:sz w:val="24"/>
        </w:rPr>
      </w:r>
      <w:r/>
    </w:p>
    <w:p>
      <w:r>
        <w:rPr>
          <w:rFonts w:ascii="宋体" w:hAnsi="宋体" w:eastAsia="宋体"/>
          <w:sz w:val="24"/>
        </w:rPr>
      </w:r>
      <w:r>
        <w:t>6CONCLUSION</w:t>
      </w:r>
    </w:p>
    <w:p>
      <w:r>
        <w:drawing>
          <wp:inline xmlns:a="http://schemas.openxmlformats.org/drawingml/2006/main" xmlns:pic="http://schemas.openxmlformats.org/drawingml/2006/picture">
            <wp:extent cx="5270400" cy="8706899"/>
            <wp:docPr id="2" name="Picture 2"/>
            <wp:cNvGraphicFramePr>
              <a:graphicFrameLocks noChangeAspect="1"/>
            </wp:cNvGraphicFramePr>
            <a:graphic>
              <a:graphicData uri="http://schemas.openxmlformats.org/drawingml/2006/picture">
                <pic:pic>
                  <pic:nvPicPr>
                    <pic:cNvPr id="0" name="page_1_image_1.png"/>
                    <pic:cNvPicPr/>
                  </pic:nvPicPr>
                  <pic:blipFill>
                    <a:blip r:embed="rId10"/>
                    <a:stretch>
                      <a:fillRect/>
                    </a:stretch>
                  </pic:blipFill>
                  <pic:spPr>
                    <a:xfrm>
                      <a:off x="0" y="0"/>
                      <a:ext cx="5270400" cy="8706899"/>
                    </a:xfrm>
                    <a:prstGeom prst="rect"/>
                  </pic:spPr>
                </pic:pic>
              </a:graphicData>
            </a:graphic>
          </wp:inline>
        </w:drawing>
      </w:r>
    </w:p>
    <w:p>
      <w:r>
        <w:drawing>
          <wp:inline xmlns:a="http://schemas.openxmlformats.org/drawingml/2006/main" xmlns:pic="http://schemas.openxmlformats.org/drawingml/2006/picture">
            <wp:extent cx="5270400" cy="8706899"/>
            <wp:docPr id="3" name="Picture 3"/>
            <wp:cNvGraphicFramePr>
              <a:graphicFrameLocks noChangeAspect="1"/>
            </wp:cNvGraphicFramePr>
            <a:graphic>
              <a:graphicData uri="http://schemas.openxmlformats.org/drawingml/2006/picture">
                <pic:pic>
                  <pic:nvPicPr>
                    <pic:cNvPr id="0" name="page_1_image_2.png"/>
                    <pic:cNvPicPr/>
                  </pic:nvPicPr>
                  <pic:blipFill>
                    <a:blip r:embed="rId11"/>
                    <a:stretch>
                      <a:fillRect/>
                    </a:stretch>
                  </pic:blipFill>
                  <pic:spPr>
                    <a:xfrm>
                      <a:off x="0" y="0"/>
                      <a:ext cx="5270400" cy="8706899"/>
                    </a:xfrm>
                    <a:prstGeom prst="rect"/>
                  </pic:spPr>
                </pic:pic>
              </a:graphicData>
            </a:graphic>
          </wp:inline>
        </w:drawing>
      </w:r>
    </w:p>
    <w:p>
      <w:r>
        <w:drawing>
          <wp:inline xmlns:a="http://schemas.openxmlformats.org/drawingml/2006/main" xmlns:pic="http://schemas.openxmlformats.org/drawingml/2006/picture">
            <wp:extent cx="5270400" cy="4465970"/>
            <wp:docPr id="4" name="Picture 4"/>
            <wp:cNvGraphicFramePr>
              <a:graphicFrameLocks noChangeAspect="1"/>
            </wp:cNvGraphicFramePr>
            <a:graphic>
              <a:graphicData uri="http://schemas.openxmlformats.org/drawingml/2006/picture">
                <pic:pic>
                  <pic:nvPicPr>
                    <pic:cNvPr id="0" name="page_2_image_3.png"/>
                    <pic:cNvPicPr/>
                  </pic:nvPicPr>
                  <pic:blipFill>
                    <a:blip r:embed="rId12"/>
                    <a:stretch>
                      <a:fillRect/>
                    </a:stretch>
                  </pic:blipFill>
                  <pic:spPr>
                    <a:xfrm>
                      <a:off x="0" y="0"/>
                      <a:ext cx="5270400" cy="4465970"/>
                    </a:xfrm>
                    <a:prstGeom prst="rect"/>
                  </pic:spPr>
                </pic:pic>
              </a:graphicData>
            </a:graphic>
          </wp:inline>
        </w:drawing>
      </w:r>
    </w:p>
    <w:p>
      <w:r>
        <w:drawing>
          <wp:inline xmlns:a="http://schemas.openxmlformats.org/drawingml/2006/main" xmlns:pic="http://schemas.openxmlformats.org/drawingml/2006/picture">
            <wp:extent cx="5270400" cy="4556038"/>
            <wp:docPr id="5" name="Picture 5"/>
            <wp:cNvGraphicFramePr>
              <a:graphicFrameLocks noChangeAspect="1"/>
            </wp:cNvGraphicFramePr>
            <a:graphic>
              <a:graphicData uri="http://schemas.openxmlformats.org/drawingml/2006/picture">
                <pic:pic>
                  <pic:nvPicPr>
                    <pic:cNvPr id="0" name="page_3_image_5.png"/>
                    <pic:cNvPicPr/>
                  </pic:nvPicPr>
                  <pic:blipFill>
                    <a:blip r:embed="rId13"/>
                    <a:stretch>
                      <a:fillRect/>
                    </a:stretch>
                  </pic:blipFill>
                  <pic:spPr>
                    <a:xfrm>
                      <a:off x="0" y="0"/>
                      <a:ext cx="5270400" cy="4556038"/>
                    </a:xfrm>
                    <a:prstGeom prst="rect"/>
                  </pic:spPr>
                </pic:pic>
              </a:graphicData>
            </a:graphic>
          </wp:inline>
        </w:drawing>
      </w:r>
    </w:p>
    <w:p>
      <w:r>
        <w:drawing>
          <wp:inline xmlns:a="http://schemas.openxmlformats.org/drawingml/2006/main" xmlns:pic="http://schemas.openxmlformats.org/drawingml/2006/picture">
            <wp:extent cx="5270400" cy="4397291"/>
            <wp:docPr id="6" name="Picture 6"/>
            <wp:cNvGraphicFramePr>
              <a:graphicFrameLocks noChangeAspect="1"/>
            </wp:cNvGraphicFramePr>
            <a:graphic>
              <a:graphicData uri="http://schemas.openxmlformats.org/drawingml/2006/picture">
                <pic:pic>
                  <pic:nvPicPr>
                    <pic:cNvPr id="0" name="page_3_image_6.png"/>
                    <pic:cNvPicPr/>
                  </pic:nvPicPr>
                  <pic:blipFill>
                    <a:blip r:embed="rId14"/>
                    <a:stretch>
                      <a:fillRect/>
                    </a:stretch>
                  </pic:blipFill>
                  <pic:spPr>
                    <a:xfrm>
                      <a:off x="0" y="0"/>
                      <a:ext cx="5270400" cy="4397291"/>
                    </a:xfrm>
                    <a:prstGeom prst="rect"/>
                  </pic:spPr>
                </pic:pic>
              </a:graphicData>
            </a:graphic>
          </wp:inline>
        </w:drawing>
      </w:r>
    </w:p>
    <w:p>
      <w:r>
        <w:drawing>
          <wp:inline xmlns:a="http://schemas.openxmlformats.org/drawingml/2006/main" xmlns:pic="http://schemas.openxmlformats.org/drawingml/2006/picture">
            <wp:extent cx="5270400" cy="4909413"/>
            <wp:docPr id="7" name="Picture 7"/>
            <wp:cNvGraphicFramePr>
              <a:graphicFrameLocks noChangeAspect="1"/>
            </wp:cNvGraphicFramePr>
            <a:graphic>
              <a:graphicData uri="http://schemas.openxmlformats.org/drawingml/2006/picture">
                <pic:pic>
                  <pic:nvPicPr>
                    <pic:cNvPr id="0" name="page_3_image_7.png"/>
                    <pic:cNvPicPr/>
                  </pic:nvPicPr>
                  <pic:blipFill>
                    <a:blip r:embed="rId15"/>
                    <a:stretch>
                      <a:fillRect/>
                    </a:stretch>
                  </pic:blipFill>
                  <pic:spPr>
                    <a:xfrm>
                      <a:off x="0" y="0"/>
                      <a:ext cx="5270400" cy="4909413"/>
                    </a:xfrm>
                    <a:prstGeom prst="rect"/>
                  </pic:spPr>
                </pic:pic>
              </a:graphicData>
            </a:graphic>
          </wp:inline>
        </w:drawing>
      </w:r>
    </w:p>
    <w:p>
      <w:r>
        <w:rPr>
          <w:rFonts w:ascii="宋体" w:hAnsi="宋体" w:eastAsia="宋体"/>
          <w:sz w:val="24"/>
        </w:rPr>
      </w:r>
      <w:r>
        <w:t>这一结论的意义在于，它通过提供一种解释模型决策和识别数据中异常模式的方法，有助于更好地理解Transformer模型，特别是BERT。所提出的头部修剪算法和创建对抗性模式的能力也突出了在提高基于变换的模型的稳健性和可解释性方面进行进一步研究和开发的潜力。未来的研究方向可能包括探索ATTATTR对其他Transformer模型的适用性，研究头部修剪对模型性能的影响，以及开发更复杂的对抗性攻击和防御策略。</w:t>
      </w:r>
    </w:p>
    <w:p>
      <w:r>
        <w:rPr>
          <w:rFonts w:ascii="宋体" w:hAnsi="宋体" w:eastAsia="宋体"/>
          <w:sz w:val="24"/>
        </w:rPr>
      </w:r>
      <w:r/>
    </w:p>
    <w:p>
      <w:r>
        <w:rPr>
          <w:rFonts w:ascii="宋体" w:hAnsi="宋体" w:eastAsia="宋体"/>
          <w:sz w:val="24"/>
        </w:rPr>
      </w:r>
      <w:r>
        <w:t>ACKNOWLEDGEMENTS</w:t>
      </w:r>
    </w:p>
    <w:p>
      <w:r>
        <w:rPr>
          <w:rFonts w:ascii="宋体" w:hAnsi="宋体" w:eastAsia="宋体"/>
          <w:sz w:val="24"/>
        </w:rPr>
      </w:r>
      <w:r>
        <w:t>:本文提出了一种新的自注意归因方法ATTATTR，旨在揭开基于变换模型的内部工作原理的神秘面纱，特别关注BERT。作者利用综合梯度来确定关键的注意力联系，并构建归因树，从而揭示Transformer内的层次交互。这种创新方法表明，注意力权重并不总是与模型预测的贡献一致，这对传统假设构成了挑战。在ATTATTR实用性的一个重要证明中，作者将其应用于头部修剪，与泰勒展开方法相比，获得了具有竞争力的性能。这展示了该方法优化Transformer模型的潜力。此外，该论文揭示了对于同质任务，重要的注意力头在不同的数据集中保持一致，这表明模型的功能具有一定程度的可推广性。作者还使用ATTATTR创建可以有效攻击基于BERT的模型的对抗性模式。这一发现暴露了模型过于强调某些单词模式的脆弱性，强调了理解和解释模型决策的重要性。这篇由国家自然科学基金资助的论文【批准号61421003】得出结论，ATTATTR不仅解释了模型决策，而且识别了数据中的异常模式，从而有助于更深入地理解变压器模型。这项研究为自然语言处理领域的从业者和研究人员提供了宝贵的见解。</w:t>
      </w:r>
    </w:p>
    <w:p>
      <w:r>
        <w:rPr>
          <w:rFonts w:ascii="宋体" w:hAnsi="宋体" w:eastAsia="宋体"/>
          <w:sz w:val="24"/>
        </w:rPr>
      </w:r>
      <w:r/>
    </w:p>
    <w:p>
      <w:r>
        <w:rPr>
          <w:rFonts w:ascii="宋体" w:hAnsi="宋体" w:eastAsia="宋体"/>
          <w:sz w:val="24"/>
        </w:rPr>
      </w:r>
      <w:r>
        <w:t>Concept</w:t>
      </w:r>
    </w:p>
    <w:p>
      <w:r>
        <w:rPr>
          <w:rFonts w:ascii="宋体" w:hAnsi="宋体" w:eastAsia="宋体"/>
          <w:sz w:val="24"/>
        </w:rPr>
      </w:r>
      <w:r>
        <w:t>:自注意-归因方法（ATTATTR）：这是一种提出的方法，通过识别重要的注意力头部并构建揭示层次交互的归因树，来解释基于变换的模型（尤其是BERT）中信息交互是如何发生的。重要性识别和修剪：这一概念涉及使用ATTATTR来识别Transformer模型中的重要注意力头，允许在性能下降最小的情况下修剪其他注意力头。归因树构建：这涉及到使用ATTATTR在每个模型层提取最显著的依赖关系，这有助于理解Transformer中的层次交互。攻击的对抗性模式：这是使用ATTATTR的归因结果来创建对抗性模式的想法，该模式可以对基于BERT的模型实施非目标攻击，展示其漏洞。</w:t>
      </w:r>
    </w:p>
    <w:p>
      <w:r>
        <w:rPr>
          <w:rFonts w:ascii="宋体" w:hAnsi="宋体" w:eastAsia="宋体"/>
          <w:sz w:val="24"/>
        </w:rPr>
      </w:r>
      <w:r/>
    </w:p>
    <w:p>
      <w:r>
        <w:rPr>
          <w:rFonts w:ascii="宋体" w:hAnsi="宋体" w:eastAsia="宋体"/>
          <w:sz w:val="24"/>
        </w:rPr>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