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</w:t>
      </w:r>
      <w:proofErr w:type="spellEnd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Research Group</w:t>
      </w:r>
    </w:p>
    <w:p w14:paraId="790F26A4" w14:textId="6E50CD9C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June </w:t>
      </w:r>
      <w:r w:rsidR="00E54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74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4F8CB2EC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dataset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by quality control </w:t>
      </w:r>
      <w:r>
        <w:rPr>
          <w:rFonts w:ascii="Times New Roman" w:hAnsi="Times New Roman" w:cs="Times New Roman"/>
          <w:color w:val="000000" w:themeColor="text1"/>
        </w:rPr>
        <w:t xml:space="preserve">method </w:t>
      </w:r>
      <w:r w:rsidRPr="008D791A">
        <w:rPr>
          <w:rFonts w:ascii="Times New Roman" w:hAnsi="Times New Roman" w:cs="Times New Roman"/>
          <w:color w:val="000000" w:themeColor="text1"/>
        </w:rPr>
        <w:t xml:space="preserve">and the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</w:t>
      </w:r>
      <w:r w:rsidR="001B1053">
        <w:rPr>
          <w:rFonts w:ascii="Times New Roman" w:hAnsi="Times New Roman" w:cs="Times New Roman"/>
          <w:color w:val="000000" w:themeColor="text1"/>
        </w:rPr>
        <w:t xml:space="preserve"> </w:t>
      </w:r>
      <w:r w:rsidR="001B1053">
        <w:rPr>
          <w:rFonts w:ascii="Times New Roman" w:hAnsi="Times New Roman" w:cs="Times New Roman" w:hint="eastAsia"/>
          <w:color w:val="000000" w:themeColor="text1"/>
          <w:lang w:eastAsia="zh-CN"/>
        </w:rPr>
        <w:t>Filtered</w:t>
      </w:r>
      <w:r w:rsidRPr="008D791A">
        <w:rPr>
          <w:rFonts w:ascii="Times New Roman" w:hAnsi="Times New Roman" w:cs="Times New Roman"/>
          <w:color w:val="000000" w:themeColor="text1"/>
        </w:rPr>
        <w:t xml:space="preserve"> Sensor-Independent LAI/FPAR data.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1B1053">
        <w:rPr>
          <w:rFonts w:ascii="Times New Roman" w:hAnsi="Times New Roman" w:cs="Times New Roman"/>
          <w:color w:val="000000" w:themeColor="text1"/>
        </w:rPr>
        <w:t>(ST</w:t>
      </w:r>
      <w:r w:rsidR="00FE1861">
        <w:rPr>
          <w:rFonts w:ascii="Times New Roman" w:hAnsi="Times New Roman" w:cs="Times New Roman"/>
          <w:color w:val="000000" w:themeColor="text1"/>
        </w:rPr>
        <w:t>-</w:t>
      </w:r>
      <w:r w:rsidR="001B1053">
        <w:rPr>
          <w:rFonts w:ascii="Times New Roman" w:hAnsi="Times New Roman" w:cs="Times New Roman"/>
          <w:color w:val="000000" w:themeColor="text1"/>
        </w:rPr>
        <w:t xml:space="preserve">Tensor)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ED54A5">
        <w:rPr>
          <w:rFonts w:ascii="Times New Roman" w:hAnsi="Times New Roman" w:cs="Times New Roman"/>
          <w:color w:val="000000" w:themeColor="text1"/>
        </w:rPr>
        <w:t>produc</w:t>
      </w:r>
      <w:r w:rsidRPr="008D791A">
        <w:rPr>
          <w:rFonts w:ascii="Times New Roman" w:hAnsi="Times New Roman" w:cs="Times New Roman"/>
          <w:color w:val="000000" w:themeColor="text1"/>
        </w:rPr>
        <w:t>ed based on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46939" w:rsidRPr="00446939">
        <w:rPr>
          <w:rFonts w:ascii="Times New Roman" w:hAnsi="Times New Roman" w:cs="Times New Roman"/>
          <w:color w:val="000000" w:themeColor="text1"/>
        </w:rPr>
        <w:t xml:space="preserve">The characteristic of 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446939">
        <w:rPr>
          <w:rFonts w:ascii="Times New Roman" w:hAnsi="Times New Roman" w:cs="Times New Roman"/>
          <w:color w:val="000000" w:themeColor="text1"/>
        </w:rPr>
        <w:t xml:space="preserve"> </w:t>
      </w:r>
      <w:r w:rsidR="00446939" w:rsidRPr="00446939">
        <w:rPr>
          <w:rFonts w:ascii="Times New Roman" w:hAnsi="Times New Roman" w:cs="Times New Roman"/>
          <w:color w:val="000000" w:themeColor="text1"/>
        </w:rPr>
        <w:t>can be found in Table 1.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3401"/>
        <w:gridCol w:w="5959"/>
      </w:tblGrid>
      <w:tr w:rsidR="00392E08" w14:paraId="3812D16E" w14:textId="77777777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29FF3E" w14:textId="74BF5EBB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0851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7FFBD148" w14:textId="44269BB9" w:rsidR="0056387E" w:rsidRDefault="0056387E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4F9310B" w14:textId="53C509AA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1791E9DA" w:rsidR="00446939" w:rsidRDefault="00446939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</w:tr>
      <w:tr w:rsidR="00392E08" w14:paraId="32D767F7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88C718D" w14:textId="0FFC2729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CBC39AA" w14:textId="1B5EBC5C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6905E1A" w14:textId="37E1980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5C92DD1F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days/Half month</w:t>
            </w:r>
          </w:p>
        </w:tc>
      </w:tr>
      <w:tr w:rsidR="00392E08" w14:paraId="463AF67A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3E55FC4" w14:textId="0D9A359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0E815B" w14:textId="7BE0EE28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825C7A5" w14:textId="0209D8F0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9092F06" w14:textId="3709AB29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380640E3" w14:textId="7BD3EEF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Multiply By Scale Factor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D8A035B" w14:textId="655F0924" w:rsidR="00392E08" w:rsidRPr="00C7447C" w:rsidRDefault="00392E08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C23B5F4" w14:textId="32849E2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</w:t>
            </w:r>
            <w:proofErr w:type="spellStart"/>
            <w:r w:rsidRPr="00C7447C">
              <w:rPr>
                <w:rFonts w:ascii="Times New Roman" w:hAnsi="Times New Roman" w:cs="Times New Roman"/>
                <w:color w:val="000000" w:themeColor="text1"/>
              </w:rPr>
              <w:t>tif</w:t>
            </w:r>
            <w:proofErr w:type="spellEnd"/>
            <w:r w:rsidRPr="00C7447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609F155B" w14:textId="5A882167" w:rsidR="001B1053" w:rsidRDefault="00684EDE" w:rsidP="00684ED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six versions of Sensor-Independent LAI/FPAR CDR</w:t>
      </w:r>
      <w:r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 different projections and spatial/temporal resolutions (Table 2).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684EDE">
        <w:rPr>
          <w:rFonts w:ascii="Times New Roman" w:hAnsi="Times New Roman" w:cs="Times New Roman"/>
          <w:color w:val="000000" w:themeColor="text1"/>
        </w:rPr>
        <w:t xml:space="preserve">Two versions of </w:t>
      </w:r>
      <w:r w:rsidRPr="001B1053">
        <w:rPr>
          <w:rFonts w:ascii="Times New Roman" w:hAnsi="Times New Roman" w:cs="Times New Roman"/>
          <w:color w:val="000000" w:themeColor="text1"/>
        </w:rPr>
        <w:t>Sensor-Independent LAI/FPAR CDR</w:t>
      </w:r>
      <w:r w:rsidRPr="00684EDE">
        <w:rPr>
          <w:rFonts w:ascii="Times New Roman" w:hAnsi="Times New Roman" w:cs="Times New Roman"/>
          <w:color w:val="000000" w:themeColor="text1"/>
        </w:rPr>
        <w:t xml:space="preserve"> with</w:t>
      </w:r>
      <w:r>
        <w:rPr>
          <w:rFonts w:ascii="Times New Roman" w:hAnsi="Times New Roman" w:cs="Times New Roman"/>
          <w:color w:val="000000" w:themeColor="text1"/>
        </w:rPr>
        <w:t xml:space="preserve"> a </w:t>
      </w:r>
      <w:r w:rsidRPr="00684EDE">
        <w:rPr>
          <w:rFonts w:ascii="Times New Roman" w:hAnsi="Times New Roman" w:cs="Times New Roman"/>
          <w:color w:val="000000" w:themeColor="text1"/>
        </w:rPr>
        <w:t>spatial resolution of 500m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were uploaded to Google Earth Engine for users to mix and match with other datasets and the ease of using this in Google Earth Engine. </w:t>
      </w:r>
      <w:r w:rsidR="00DD57F6">
        <w:rPr>
          <w:rFonts w:ascii="Times New Roman" w:hAnsi="Times New Roman" w:cs="Times New Roman"/>
          <w:color w:val="000000" w:themeColor="text1"/>
        </w:rPr>
        <w:t>These two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</w:t>
      </w:r>
      <w:r w:rsidR="00DD57F6">
        <w:rPr>
          <w:rFonts w:ascii="Times New Roman" w:hAnsi="Times New Roman" w:cs="Times New Roman" w:hint="eastAsia"/>
          <w:color w:val="000000" w:themeColor="text1"/>
          <w:lang w:eastAsia="zh-CN"/>
        </w:rPr>
        <w:t>version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s were reprojected to WGS1984 using the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gdalwarp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function with a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crs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of EPSG:4326 for ease of ingestion. </w:t>
      </w:r>
      <w:r>
        <w:rPr>
          <w:rFonts w:ascii="Times New Roman" w:hAnsi="Times New Roman" w:cs="Times New Roman"/>
          <w:color w:val="000000" w:themeColor="text1"/>
        </w:rPr>
        <w:t xml:space="preserve">The other four versions of Sensor-Independent LAI/FPAR CDR can be found in </w:t>
      </w:r>
      <w:proofErr w:type="spellStart"/>
      <w:r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377EE008" w14:textId="77777777" w:rsidR="00983BE7" w:rsidRDefault="00983BE7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1422"/>
        <w:gridCol w:w="1418"/>
        <w:gridCol w:w="1559"/>
        <w:gridCol w:w="2268"/>
        <w:gridCol w:w="1554"/>
      </w:tblGrid>
      <w:tr w:rsidR="00710481" w14:paraId="7A2DB471" w14:textId="3195E138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0B566E" w14:textId="00A66E83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422" w:type="dxa"/>
            <w:vAlign w:val="center"/>
          </w:tcPr>
          <w:p w14:paraId="7CFFBCC8" w14:textId="2E8AEFCA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1418" w:type="dxa"/>
            <w:vAlign w:val="center"/>
          </w:tcPr>
          <w:p w14:paraId="79FA4A8D" w14:textId="49E01E95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1559" w:type="dxa"/>
            <w:vAlign w:val="center"/>
          </w:tcPr>
          <w:p w14:paraId="120AF3D8" w14:textId="707CBB4F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2268" w:type="dxa"/>
            <w:vAlign w:val="center"/>
          </w:tcPr>
          <w:p w14:paraId="38218D12" w14:textId="5647A187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Dimensions</w:t>
            </w:r>
          </w:p>
        </w:tc>
        <w:tc>
          <w:tcPr>
            <w:tcW w:w="1554" w:type="dxa"/>
            <w:vAlign w:val="center"/>
          </w:tcPr>
          <w:p w14:paraId="5DEDE680" w14:textId="0187A8C8" w:rsidR="00710481" w:rsidRPr="00341C18" w:rsidRDefault="008E66AB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</w:t>
            </w:r>
          </w:p>
        </w:tc>
      </w:tr>
      <w:tr w:rsidR="00710481" w14:paraId="7543A4D0" w14:textId="0AB0AF72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704923" w14:textId="7A2D8C70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500m_8d</w:t>
            </w:r>
          </w:p>
        </w:tc>
        <w:tc>
          <w:tcPr>
            <w:tcW w:w="1422" w:type="dxa"/>
            <w:vAlign w:val="center"/>
          </w:tcPr>
          <w:p w14:paraId="5CB2A7BE" w14:textId="712EEAD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CDA10AB" w14:textId="2850A9B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64BE587F" w14:textId="11440747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79BD7BCF" w14:textId="675BC20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37474DF4" w14:textId="6974E5DB" w:rsidR="00710481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14:paraId="566845E9" w14:textId="4586638E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F16C011" w14:textId="407199BA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500m_bimonth</w:t>
            </w:r>
          </w:p>
        </w:tc>
        <w:tc>
          <w:tcPr>
            <w:tcW w:w="1422" w:type="dxa"/>
            <w:vAlign w:val="center"/>
          </w:tcPr>
          <w:p w14:paraId="66D3136E" w14:textId="761B00C3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A9D5933" w14:textId="398B3ADA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1173C522" w14:textId="5E3BE8A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3DB15074" w14:textId="1A61DF8E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4FA6173A" w14:textId="6852AF16" w:rsidR="00710481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:rsidRPr="000741EF" w14:paraId="107B273A" w14:textId="31D5E15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4ED854" w14:textId="612343EB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5km_8d</w:t>
            </w:r>
          </w:p>
        </w:tc>
        <w:tc>
          <w:tcPr>
            <w:tcW w:w="1422" w:type="dxa"/>
            <w:vAlign w:val="center"/>
          </w:tcPr>
          <w:p w14:paraId="60CE02CD" w14:textId="10FFE92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5A4E6F14" w14:textId="49E363D9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0E082EBB" w14:textId="6D9DB4D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6594973F" w14:textId="01EA07A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75329534" w14:textId="7044B074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72E9805" w14:textId="3092DA7C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C9FA7" w14:textId="20F175ED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5km_bimonth</w:t>
            </w:r>
          </w:p>
        </w:tc>
        <w:tc>
          <w:tcPr>
            <w:tcW w:w="1422" w:type="dxa"/>
            <w:vAlign w:val="center"/>
          </w:tcPr>
          <w:p w14:paraId="16A5C3BB" w14:textId="44A1728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70528C49" w14:textId="337A65D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29DCC4EE" w14:textId="3B59D36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45C4BA5F" w14:textId="7A65FBCC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0CD4A4C9" w14:textId="203AF200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0A73CAD4" w14:textId="54C26F69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8AB28F" w14:textId="6A45B99F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0.05degree_8d</w:t>
            </w:r>
          </w:p>
        </w:tc>
        <w:tc>
          <w:tcPr>
            <w:tcW w:w="1422" w:type="dxa"/>
            <w:vAlign w:val="center"/>
          </w:tcPr>
          <w:p w14:paraId="00F10161" w14:textId="7FEFFDE8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38CE8928" w14:textId="5FA6F3D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66708FBC" w14:textId="562EAEE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48F8C393" w14:textId="4E0D5A2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4238F86B" w14:textId="320F4531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F78F16C" w14:textId="1E9F0294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38D420" w14:textId="0FEEEF44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0.05degree_bimonth</w:t>
            </w:r>
          </w:p>
        </w:tc>
        <w:tc>
          <w:tcPr>
            <w:tcW w:w="1422" w:type="dxa"/>
            <w:vAlign w:val="center"/>
          </w:tcPr>
          <w:p w14:paraId="7A2E906F" w14:textId="34EC9D1D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6767F718" w14:textId="22E50BB2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1A7F4ED4" w14:textId="00108DE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13228C9C" w14:textId="6B490308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5532BC35" w14:textId="7E9E4B88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</w:tbl>
    <w:p w14:paraId="643FA1F5" w14:textId="77777777" w:rsidR="001B1053" w:rsidRPr="000741EF" w:rsidRDefault="001B1053" w:rsidP="0071048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CE59FB" w14:textId="753DF07B" w:rsidR="001B1053" w:rsidRPr="000741EF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741EF">
        <w:rPr>
          <w:rFonts w:ascii="Times New Roman" w:hAnsi="Times New Roman" w:cs="Times New Roman"/>
          <w:b/>
          <w:color w:val="000000" w:themeColor="text1"/>
        </w:rPr>
        <w:t>2. FILE NAMING CONVENTION</w:t>
      </w:r>
    </w:p>
    <w:p w14:paraId="0AFBB75E" w14:textId="0F894FBA" w:rsidR="001B1053" w:rsidRPr="00710481" w:rsidRDefault="001B1053" w:rsidP="0071048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0741EF">
        <w:rPr>
          <w:rFonts w:ascii="Times New Roman" w:hAnsi="Times New Roman" w:cs="Times New Roman"/>
          <w:color w:val="000000" w:themeColor="text1"/>
        </w:rPr>
        <w:t>The Sensor-Independent LAI/FPAR CDR</w:t>
      </w:r>
      <w:r w:rsidR="003514A9" w:rsidRPr="000741EF">
        <w:rPr>
          <w:rFonts w:ascii="Times New Roman" w:hAnsi="Times New Roman" w:cs="Times New Roman"/>
          <w:color w:val="000000" w:themeColor="text1"/>
        </w:rPr>
        <w:t xml:space="preserve"> that provided by </w:t>
      </w:r>
      <w:proofErr w:type="spellStart"/>
      <w:r w:rsidR="003514A9" w:rsidRPr="000741EF"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follow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naming convention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gives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useful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information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regarding the specific product.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For example,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filename</w:t>
      </w:r>
    </w:p>
    <w:p w14:paraId="75B65ACD" w14:textId="112B592F" w:rsidR="001B1053" w:rsidRPr="00BD6BFB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_Sin_5km_8day_2000049.tif</w:t>
      </w:r>
    </w:p>
    <w:p w14:paraId="6FC65984" w14:textId="0E26095B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Hlk135317934"/>
      <w:r>
        <w:rPr>
          <w:rFonts w:ascii="Times New Roman" w:hAnsi="Times New Roman" w:cs="Times New Roman"/>
          <w:color w:val="000000" w:themeColor="text1"/>
        </w:rPr>
        <w:lastRenderedPageBreak/>
        <w:t>SI</w:t>
      </w:r>
      <w:r w:rsidR="001B1053"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2764FE4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687C0E8F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5km: The spatial resolution is </w:t>
      </w:r>
      <w:proofErr w:type="gramStart"/>
      <w:r>
        <w:rPr>
          <w:rFonts w:ascii="Times New Roman" w:hAnsi="Times New Roman" w:cs="Times New Roman"/>
          <w:color w:val="000000" w:themeColor="text1"/>
        </w:rPr>
        <w:t>5km</w:t>
      </w:r>
      <w:proofErr w:type="gramEnd"/>
    </w:p>
    <w:p w14:paraId="7A476E3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8day: The temporal resolution is 8 </w:t>
      </w:r>
      <w:proofErr w:type="gramStart"/>
      <w:r>
        <w:rPr>
          <w:rFonts w:ascii="Times New Roman" w:hAnsi="Times New Roman" w:cs="Times New Roman"/>
          <w:color w:val="000000" w:themeColor="text1"/>
        </w:rPr>
        <w:t>days</w:t>
      </w:r>
      <w:proofErr w:type="gramEnd"/>
    </w:p>
    <w:p w14:paraId="215B63BC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2000049: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4A0DE89B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1"/>
    <w:p w14:paraId="12A15CD3" w14:textId="4E74593C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_Sin_5km_bimonth_20000301.tif</w:t>
      </w:r>
    </w:p>
    <w:p w14:paraId="5372CE50" w14:textId="68ED0938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7661ADB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1C528A2B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5km: The spatial resolution is 5km</w:t>
      </w:r>
    </w:p>
    <w:p w14:paraId="258B661E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Hlk135318198"/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>: The temporal resolution is half month</w:t>
      </w:r>
    </w:p>
    <w:p w14:paraId="6FD96636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20000301: First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 of month)</w:t>
      </w:r>
    </w:p>
    <w:bookmarkEnd w:id="2"/>
    <w:p w14:paraId="0233133E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7C75DB1B" w14:textId="33B1FE45" w:rsidR="001B1053" w:rsidRPr="00CF5BA9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_WGS84_0.05degree_8day_2000129.tif</w:t>
      </w:r>
    </w:p>
    <w:p w14:paraId="506393BF" w14:textId="347254B5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35318163"/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1727D7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r>
        <w:rPr>
          <w:rFonts w:ascii="Times New Roman" w:hAnsi="Times New Roman" w:cs="Times New Roman"/>
          <w:color w:val="000000" w:themeColor="text1"/>
        </w:rPr>
        <w:t>WGS1984</w:t>
      </w:r>
    </w:p>
    <w:p w14:paraId="6E7EB200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0D7F9D5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8day: The temporal resolution is 8 days</w:t>
      </w:r>
    </w:p>
    <w:p w14:paraId="73C2F4E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2000129: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19394E62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3"/>
    <w:p w14:paraId="4680B5C8" w14:textId="597393FB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bimonth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_20000302.tif</w:t>
      </w:r>
    </w:p>
    <w:p w14:paraId="52CA8BA1" w14:textId="2A97B42F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3F5B6E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r>
        <w:rPr>
          <w:rFonts w:ascii="Times New Roman" w:hAnsi="Times New Roman" w:cs="Times New Roman"/>
          <w:color w:val="000000" w:themeColor="text1"/>
        </w:rPr>
        <w:t>WGS1984</w:t>
      </w:r>
    </w:p>
    <w:p w14:paraId="31A6B01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62BD6FCA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>: The temporal resolution is half month</w:t>
      </w:r>
    </w:p>
    <w:p w14:paraId="18767CA4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20000302: Second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</w:t>
      </w:r>
      <w:r w:rsidRPr="00B1564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of month)</w:t>
      </w:r>
    </w:p>
    <w:p w14:paraId="14985468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3377C519" w:rsidR="0045633C" w:rsidRDefault="001B1053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" w:name="_Hlk135318799"/>
      <w:r>
        <w:rPr>
          <w:rFonts w:ascii="Times New Roman" w:hAnsi="Times New Roman" w:cs="Times New Roman"/>
          <w:b/>
          <w:color w:val="000000" w:themeColor="text1"/>
        </w:rPr>
        <w:t>3</w:t>
      </w:r>
      <w:r w:rsidR="0045633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p w14:paraId="3910F2EA" w14:textId="199DC90E" w:rsidR="00983BE7" w:rsidRDefault="00983BE7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1B1053">
        <w:rPr>
          <w:rFonts w:ascii="Times New Roman" w:hAnsi="Times New Roman" w:cs="Times New Roman"/>
          <w:color w:val="000000" w:themeColor="text1"/>
        </w:rPr>
        <w:lastRenderedPageBreak/>
        <w:t>The dataset links are as follows:</w:t>
      </w:r>
    </w:p>
    <w:bookmarkEnd w:id="4"/>
    <w:p w14:paraId="158F9541" w14:textId="08611030" w:rsidR="009D2278" w:rsidRDefault="00684EDE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 w:rsidRPr="009D227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9D2278" w:rsidRPr="007C5D9C">
          <w:rPr>
            <w:rStyle w:val="a9"/>
            <w:rFonts w:ascii="Times New Roman" w:hAnsi="Times New Roman" w:cs="Times New Roman"/>
          </w:rPr>
          <w:t>https://doi.org/10.5281/zenodo.8076540</w:t>
        </w:r>
      </w:hyperlink>
      <w:r w:rsidR="009D2278">
        <w:rPr>
          <w:rFonts w:ascii="Times New Roman" w:hAnsi="Times New Roman" w:cs="Times New Roman"/>
          <w:color w:val="000000" w:themeColor="text1"/>
        </w:rPr>
        <w:t xml:space="preserve"> </w:t>
      </w:r>
      <w:r w:rsidRPr="009D2278">
        <w:rPr>
          <w:rFonts w:ascii="Times New Roman" w:hAnsi="Times New Roman" w:cs="Times New Roman"/>
          <w:color w:val="000000" w:themeColor="text1"/>
        </w:rPr>
        <w:t>(spatial resolution is 5km/0.05degree and temporal resolution is 8 days/half month)</w:t>
      </w:r>
    </w:p>
    <w:p w14:paraId="4B801EDD" w14:textId="42A64F31" w:rsidR="00392E08" w:rsidRPr="009D2278" w:rsidRDefault="00000000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9D2278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 w:rsidRPr="009D2278">
        <w:rPr>
          <w:rFonts w:ascii="Times New Roman" w:hAnsi="Times New Roman" w:cs="Times New Roman"/>
          <w:color w:val="000000" w:themeColor="text1"/>
        </w:rPr>
        <w:t xml:space="preserve"> (spatial resolution is 500m and temporal resolution is 8 days)</w:t>
      </w:r>
    </w:p>
    <w:p w14:paraId="1AFBFF30" w14:textId="68568697" w:rsidR="00795B4C" w:rsidRPr="00795B4C" w:rsidRDefault="00A75D7A" w:rsidP="00710481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</w:instrText>
      </w:r>
      <w:r w:rsidRPr="00A75D7A">
        <w:rPr>
          <w:rFonts w:ascii="Times New Roman" w:hAnsi="Times New Roman" w:cs="Times New Roman"/>
        </w:rPr>
        <w:instrText>https://code.earthengine.google.com/?asset=projects/sat-io/open-datasets/BU_LAI_FPAR/wgs_500m_bimonth</w:instrText>
      </w:r>
      <w:r>
        <w:rPr>
          <w:rFonts w:ascii="Times New Roman" w:hAnsi="Times New Roman" w:cs="Times New Roman"/>
          <w:color w:val="000000" w:themeColor="text1"/>
        </w:rPr>
        <w:instrText>ly</w:instrText>
      </w:r>
      <w:r>
        <w:rPr>
          <w:rFonts w:ascii="Times New Roman" w:hAnsi="Times New Roman" w:cs="Times New Roman"/>
        </w:rPr>
        <w:instrText>"</w:instrText>
      </w:r>
      <w:r>
        <w:rPr>
          <w:rFonts w:ascii="Times New Roman" w:hAnsi="Times New Roman" w:cs="Times New Roman"/>
        </w:rPr>
        <w:fldChar w:fldCharType="separate"/>
      </w:r>
      <w:r w:rsidRPr="007C5D9C">
        <w:rPr>
          <w:rStyle w:val="a9"/>
          <w:rFonts w:ascii="Times New Roman" w:hAnsi="Times New Roman" w:cs="Times New Roman"/>
        </w:rPr>
        <w:t>https://code.earthengine.google.com/?asset=projects/sat-io/open-datasets/BU_LAI_FPAR/wgs_500</w:t>
      </w:r>
      <w:r w:rsidRPr="007C5D9C">
        <w:rPr>
          <w:rStyle w:val="a9"/>
          <w:rFonts w:ascii="Times New Roman" w:hAnsi="Times New Roman" w:cs="Times New Roman"/>
        </w:rPr>
        <w:t>m</w:t>
      </w:r>
      <w:r w:rsidRPr="007C5D9C">
        <w:rPr>
          <w:rStyle w:val="a9"/>
          <w:rFonts w:ascii="Times New Roman" w:hAnsi="Times New Roman" w:cs="Times New Roman"/>
        </w:rPr>
        <w:t>_bimonthly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</w:t>
      </w:r>
      <w:r w:rsidR="00710481">
        <w:rPr>
          <w:rFonts w:ascii="Times New Roman" w:hAnsi="Times New Roman" w:cs="Times New Roman"/>
          <w:color w:val="000000" w:themeColor="text1"/>
        </w:rPr>
        <w:t>00</w:t>
      </w:r>
      <w:r w:rsidR="00795B4C">
        <w:rPr>
          <w:rFonts w:ascii="Times New Roman" w:hAnsi="Times New Roman" w:cs="Times New Roman"/>
          <w:color w:val="000000" w:themeColor="text1"/>
        </w:rPr>
        <w:t xml:space="preserve">m and temporal resolution is </w:t>
      </w:r>
      <w:r w:rsidR="00710481">
        <w:rPr>
          <w:rFonts w:ascii="Times New Roman" w:hAnsi="Times New Roman" w:cs="Times New Roman"/>
          <w:color w:val="000000" w:themeColor="text1"/>
        </w:rPr>
        <w:t>half month</w:t>
      </w:r>
      <w:r w:rsidR="00795B4C">
        <w:rPr>
          <w:rFonts w:ascii="Times New Roman" w:hAnsi="Times New Roman" w:cs="Times New Roman"/>
          <w:color w:val="000000" w:themeColor="text1"/>
        </w:rPr>
        <w:t>)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795099B7" w:rsidR="007B7D4B" w:rsidRDefault="001B1053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7B7D4B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009B5255" w:rsidR="007B7D4B" w:rsidRDefault="007B7D4B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 w:rsidR="001B1053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500m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142EE3C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5E55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wgs_500m_8d =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("projects/sat-io/open-datasets/BU_LAI_FPAR/wgs_500m_8d")</w:t>
      </w:r>
    </w:p>
    <w:p w14:paraId="2B43BC2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print(wgs_500m_8d)// Print Sensor-Independent LAI/FPAR CDR (500m and 8days) to console</w:t>
      </w:r>
    </w:p>
    <w:p w14:paraId="6095DF4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70A3D96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8D8DF4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DOY=201) As Map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12FA4E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('2010-201').first().select('LAI').multiply(0.1),{min:0,max:6,palette: ['#a89247','#5e963b','#75b84f','#8bd162','#f3e24d','#f7eb6b','#fbe789']},'LAI sample')</w:t>
      </w:r>
    </w:p>
    <w:p w14:paraId="27A56EE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('2010-201').first().select('FPAR').multiply(0.01),{min:0,max:0.9,palette:['#ff0000','#ff4500','#ff7f00','#ffa500','#ffcf00','#ffff00','#ffff66']},'FPAR sample')</w:t>
      </w:r>
    </w:p>
    <w:p w14:paraId="109CD71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6BF5075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226867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0B016D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50D4B0C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A8DE9F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155099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365C9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1A15D61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2C2EC7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1AF5C52E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619A418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5D11E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27BC2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10CF5B7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7DF3A9E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07C926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4AE66A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047E36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78FFBF4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0659CA8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DBB7EA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band: 'LAI',</w:t>
      </w:r>
    </w:p>
    <w:p w14:paraId="5CF7805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1E02C2F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6AFDB31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21CCC9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485E2A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5F94344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53A555D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08DAE3B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505F79D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79D1FF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833712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38893C7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3E068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53256C6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5DBCFA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35D25D0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6247C33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7619D20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579A37D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525D3E3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E29DC7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06FC8CF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21B7B1C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1F2ACF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4856A17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35EA128E" w14:textId="77777777" w:rsidR="00465AC8" w:rsidRDefault="00465AC8"/>
    <w:p w14:paraId="10E46273" w14:textId="5FED95F9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5.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eastAsia="zh-CN"/>
        </w:rPr>
        <w:t>Matlab</w:t>
      </w:r>
      <w:proofErr w:type="spellEnd"/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4A19338" w14:textId="45FC9686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eastAsia="zh-CN"/>
        </w:rPr>
        <w:t>Matlab</w:t>
      </w:r>
      <w:proofErr w:type="spellEnd"/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0.05 degree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07619A3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clear;clc</w:t>
      </w:r>
      <w:proofErr w:type="spellEnd"/>
      <w:proofErr w:type="gramEnd"/>
    </w:p>
    <w:p w14:paraId="46656833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set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input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dir</w:t>
      </w:r>
      <w:proofErr w:type="spellEnd"/>
    </w:p>
    <w:p w14:paraId="3B5B45EB" w14:textId="0E9A815A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'D:\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_LAI_FPAR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\WGS84_0.05degree_8d\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3796169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year =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2020;</w:t>
      </w:r>
      <w:proofErr w:type="gramEnd"/>
    </w:p>
    <w:p w14:paraId="13EDB756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for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doy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=161 %1:8:361</w:t>
      </w:r>
    </w:p>
    <w:p w14:paraId="219F2A3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check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prefix</w:t>
      </w:r>
    </w:p>
    <w:p w14:paraId="72238739" w14:textId="64E3B92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prefix = '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_WGS84_0.05degree_8day_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5807909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strcat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inpath,prefix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,num2str(year*1000+doy),'.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tif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');</w:t>
      </w:r>
    </w:p>
    <w:p w14:paraId="3542C68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read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</w:t>
      </w:r>
    </w:p>
    <w:p w14:paraId="5DC5E79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imread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C51F2C2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double(data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3EDAB5B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 == 255) = nan;</w:t>
      </w:r>
    </w:p>
    <w:p w14:paraId="677A4B5A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LAI=data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1)/10;</w:t>
      </w:r>
    </w:p>
    <w:p w14:paraId="59A9B108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FPAR=data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2)/100;</w:t>
      </w:r>
    </w:p>
    <w:p w14:paraId="5DF96AFA" w14:textId="736CA63D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Visually check the 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</w:p>
    <w:p w14:paraId="4489E85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1);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(LAI);</w:t>
      </w:r>
    </w:p>
    <w:p w14:paraId="79A229B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2);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(FPAR);</w:t>
      </w:r>
    </w:p>
    <w:p w14:paraId="5D2642F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end</w:t>
      </w:r>
    </w:p>
    <w:p w14:paraId="67144D3F" w14:textId="77777777" w:rsidR="001B1053" w:rsidRDefault="001B1053"/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DBBCA" w14:textId="77777777" w:rsidR="00857B2B" w:rsidRDefault="00857B2B" w:rsidP="0045633C">
      <w:r>
        <w:separator/>
      </w:r>
    </w:p>
  </w:endnote>
  <w:endnote w:type="continuationSeparator" w:id="0">
    <w:p w14:paraId="3A38D1AD" w14:textId="77777777" w:rsidR="00857B2B" w:rsidRDefault="00857B2B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49DC" w14:textId="77777777" w:rsidR="00857B2B" w:rsidRDefault="00857B2B" w:rsidP="0045633C">
      <w:r>
        <w:separator/>
      </w:r>
    </w:p>
  </w:footnote>
  <w:footnote w:type="continuationSeparator" w:id="0">
    <w:p w14:paraId="49F5D16B" w14:textId="77777777" w:rsidR="00857B2B" w:rsidRDefault="00857B2B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3"/>
  </w:num>
  <w:num w:numId="2" w16cid:durableId="11534770">
    <w:abstractNumId w:val="0"/>
  </w:num>
  <w:num w:numId="3" w16cid:durableId="1719552473">
    <w:abstractNumId w:val="1"/>
  </w:num>
  <w:num w:numId="4" w16cid:durableId="205927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741EF"/>
    <w:rsid w:val="00085176"/>
    <w:rsid w:val="000A0A18"/>
    <w:rsid w:val="000A6182"/>
    <w:rsid w:val="000B481F"/>
    <w:rsid w:val="001018C8"/>
    <w:rsid w:val="00114956"/>
    <w:rsid w:val="0011583C"/>
    <w:rsid w:val="00167AC9"/>
    <w:rsid w:val="00182CC8"/>
    <w:rsid w:val="001B1053"/>
    <w:rsid w:val="001B4581"/>
    <w:rsid w:val="00222E10"/>
    <w:rsid w:val="00257098"/>
    <w:rsid w:val="00311752"/>
    <w:rsid w:val="00341C18"/>
    <w:rsid w:val="00342ED8"/>
    <w:rsid w:val="0034367B"/>
    <w:rsid w:val="003514A9"/>
    <w:rsid w:val="00392E08"/>
    <w:rsid w:val="003D3DA0"/>
    <w:rsid w:val="004347C9"/>
    <w:rsid w:val="00446939"/>
    <w:rsid w:val="0045633C"/>
    <w:rsid w:val="00465AC8"/>
    <w:rsid w:val="00494479"/>
    <w:rsid w:val="004A0193"/>
    <w:rsid w:val="004E2514"/>
    <w:rsid w:val="004F58B9"/>
    <w:rsid w:val="0056387E"/>
    <w:rsid w:val="005C2FF5"/>
    <w:rsid w:val="00625033"/>
    <w:rsid w:val="006618FA"/>
    <w:rsid w:val="00684EDE"/>
    <w:rsid w:val="006C39BA"/>
    <w:rsid w:val="00710481"/>
    <w:rsid w:val="00795B4C"/>
    <w:rsid w:val="007B7D4B"/>
    <w:rsid w:val="007C5413"/>
    <w:rsid w:val="00857B2B"/>
    <w:rsid w:val="008D791A"/>
    <w:rsid w:val="008E66AB"/>
    <w:rsid w:val="00983BE7"/>
    <w:rsid w:val="009D2278"/>
    <w:rsid w:val="00A73A7D"/>
    <w:rsid w:val="00A75D7A"/>
    <w:rsid w:val="00AA6914"/>
    <w:rsid w:val="00AB29BE"/>
    <w:rsid w:val="00B15646"/>
    <w:rsid w:val="00B41C5E"/>
    <w:rsid w:val="00BB0DA8"/>
    <w:rsid w:val="00BC225C"/>
    <w:rsid w:val="00BC7A20"/>
    <w:rsid w:val="00BD6BFB"/>
    <w:rsid w:val="00C06581"/>
    <w:rsid w:val="00C7447C"/>
    <w:rsid w:val="00CF5BA9"/>
    <w:rsid w:val="00D06478"/>
    <w:rsid w:val="00D1206F"/>
    <w:rsid w:val="00DD57F6"/>
    <w:rsid w:val="00DD6662"/>
    <w:rsid w:val="00E54CCD"/>
    <w:rsid w:val="00EC3707"/>
    <w:rsid w:val="00ED54A5"/>
    <w:rsid w:val="00F1039B"/>
    <w:rsid w:val="00F53AA5"/>
    <w:rsid w:val="00F72297"/>
    <w:rsid w:val="00FC23F5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4EDE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0851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Grid Table Light"/>
    <w:basedOn w:val="a1"/>
    <w:uiPriority w:val="40"/>
    <w:rsid w:val="00085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80765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earthengine.google.com/?asset=projects/sat-io/open-datasets/BU_LAI_FPAR/wgs_500m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4CE3-1088-4288-BB44-74D3DE30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32</cp:revision>
  <dcterms:created xsi:type="dcterms:W3CDTF">2023-05-18T18:41:00Z</dcterms:created>
  <dcterms:modified xsi:type="dcterms:W3CDTF">2023-06-26T18:58:00Z</dcterms:modified>
</cp:coreProperties>
</file>