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12" w:lineRule="auto" w:after="200"/>
        <w:jc w:val="center"/>
      </w:pPr>
      <w:r>
        <w:rPr>
          <w:rFonts w:ascii="Times New Roman" w:hAnsi="Times New Roman" w:eastAsia="黑体"/>
          <w:b/>
          <w:i w:val="0"/>
          <w:color w:val="000000"/>
          <w:sz w:val="30"/>
        </w:rPr>
        <w:t>预测权限控制：学习对各控制器的信任程度，并在分布偏移下修复这种信任*</w:t>
      </w:r>
    </w:p>
    <w:p>
      <w:pPr>
        <w:spacing w:line="312" w:lineRule="auto" w:after="40"/>
        <w:jc w:val="center"/>
      </w:pPr>
      <w:r>
        <w:rPr>
          <w:rFonts w:ascii="Times New Roman" w:hAnsi="Times New Roman" w:eastAsia="楷体"/>
          <w:b w:val="0"/>
          <w:i/>
          <w:color w:val="000000"/>
          <w:sz w:val="22"/>
        </w:rPr>
        <w:t>[作者姓名]</w:t>
      </w:r>
    </w:p>
    <w:p>
      <w:pPr>
        <w:spacing w:line="312" w:lineRule="auto" w:after="40"/>
        <w:jc w:val="center"/>
      </w:pPr>
      <w:r>
        <w:rPr>
          <w:rFonts w:ascii="Times New Roman" w:hAnsi="Times New Roman" w:eastAsia="楷体"/>
          <w:b w:val="0"/>
          <w:i/>
          <w:color w:val="000000"/>
          <w:sz w:val="20"/>
        </w:rPr>
        <w:t>[作者单位]</w:t>
      </w:r>
    </w:p>
    <w:p>
      <w:pPr>
        <w:spacing w:line="312" w:lineRule="auto" w:after="240"/>
        <w:jc w:val="center"/>
      </w:pPr>
      <w:r>
        <w:rPr>
          <w:rFonts w:ascii="Times New Roman" w:hAnsi="Times New Roman" w:eastAsia="楷体"/>
          <w:b w:val="0"/>
          <w:i/>
          <w:color w:val="606060"/>
          <w:sz w:val="18"/>
        </w:rPr>
        <w:t>* 缩写 PAC 与机器学习中的 probably approximately correct（概率近似正确）学习无关。</w:t>
      </w:r>
    </w:p>
    <w:p>
      <w:pPr>
        <w:spacing w:line="312" w:lineRule="auto" w:before="280" w:after="120"/>
      </w:pPr>
      <w:r>
        <w:rPr>
          <w:rFonts w:ascii="Times New Roman" w:hAnsi="Times New Roman" w:eastAsia="黑体"/>
          <w:b/>
          <w:i w:val="0"/>
          <w:color w:val="000000"/>
          <w:sz w:val="26"/>
        </w:rPr>
        <w:t>摘　要</w:t>
      </w:r>
    </w:p>
    <w:p>
      <w:pPr>
        <w:spacing w:line="312" w:lineRule="auto" w:after="120"/>
        <w:ind w:firstLine="420"/>
        <w:jc w:val="both"/>
      </w:pPr>
      <w:r>
        <w:rPr>
          <w:rFonts w:ascii="Times New Roman" w:hAnsi="Times New Roman" w:eastAsia="宋体"/>
          <w:b w:val="0"/>
          <w:i w:val="0"/>
          <w:color w:val="000000"/>
          <w:sz w:val="21"/>
        </w:rPr>
        <w:t>经典水下控制器在变化的海流下呈现互补的失效模式：鲁棒反馈可能保守，而预测控制器在有利的工况下精确，但在模型失配下退化。我们引入预测权限控制（PAC），一种不替代这些控制器的紧凑 Transformer 策略。它从短状态–控制器历史中预测一个有界标量权限系数，并持续混合滑模控制器与受约束模型预测控制器的输出。训练采用短视界滚动 oracle 的监督式预测初始化，随后在冻结骨干上进行受约束残差强化学习。在一个六自由度、10 公斤级六推进器自主水下航行器的仿真中，五个独立训练的残差策略在覆盖分布内与分布外扰动族的 1,680 个配对滚动上评估。残差策略取得分布外三维位置 RMSE $0.1160\pm0.0011$ m，对照监督基线 $0.1605\pm0.0239$ m、滑模控制 $0.2482$ m、预测基线 $0.2213$ m，对应降幅分别为 27.8%、53.3% 和 47.6%。残差策略还将平均最大误差较 SMC 和 MPC 分别降低 31.1% 和 28.0%。增益并非免费：残差策略的分布内位置误差比监督基线高 4.4%，艏向误差高 4.3%，且其求解器超时率在分布外从 0.69 升至 0.80。这些结果支持将学习的时序权限分配作为直接神经控制的可解释替代方案。</w:t>
      </w:r>
    </w:p>
    <w:p>
      <w:pPr>
        <w:spacing w:line="312" w:lineRule="auto" w:after="240"/>
        <w:ind w:firstLine="420"/>
        <w:jc w:val="both"/>
      </w:pPr>
      <w:r>
        <w:rPr>
          <w:rFonts w:ascii="Times New Roman" w:hAnsi="Times New Roman" w:eastAsia="宋体"/>
          <w:b/>
          <w:i w:val="0"/>
          <w:color w:val="000000"/>
          <w:sz w:val="21"/>
        </w:rPr>
        <w:t>本稿仅报告仿真证据；计划中的硬件验证必须在投稿前完成。</w:t>
      </w:r>
    </w:p>
    <w:p>
      <w:pPr>
        <w:spacing w:line="312" w:lineRule="auto" w:before="280" w:after="120"/>
      </w:pPr>
      <w:r>
        <w:rPr>
          <w:rFonts w:ascii="Times New Roman" w:hAnsi="Times New Roman" w:eastAsia="黑体"/>
          <w:b/>
          <w:i w:val="0"/>
          <w:color w:val="000000"/>
          <w:sz w:val="26"/>
        </w:rPr>
        <w:t>1  引言</w:t>
      </w:r>
    </w:p>
    <w:p>
      <w:pPr>
        <w:spacing w:line="312" w:lineRule="auto" w:after="120"/>
        <w:ind w:firstLine="420"/>
        <w:jc w:val="both"/>
      </w:pPr>
      <w:r>
        <w:rPr>
          <w:rFonts w:ascii="Times New Roman" w:hAnsi="Times New Roman" w:eastAsia="宋体"/>
          <w:b w:val="0"/>
          <w:i w:val="0"/>
          <w:color w:val="000000"/>
          <w:sz w:val="21"/>
        </w:rPr>
        <w:t>精确的轨迹跟踪是自主水下航行器（AUV）检查、干预与取样作业的核心。该任务至今困难，因为水动力系数不确定、环境海流随时间变化、且推进器饱和将跟踪质量与控制代价耦合[1,2]。滑模控制（SMC）能以透明的反馈结构抑制有界扰动，但其鲁棒性通常以保守增益或非平滑控制动作为代价。模型预测控制（MPC）引入了预测与约束，但其性能依赖模型保真度和实时优化[3,4]。</w:t>
      </w:r>
    </w:p>
    <w:p>
      <w:pPr>
        <w:spacing w:line="312" w:lineRule="auto" w:after="120"/>
        <w:ind w:firstLine="420"/>
        <w:jc w:val="both"/>
      </w:pPr>
      <w:r>
        <w:rPr>
          <w:rFonts w:ascii="Times New Roman" w:hAnsi="Times New Roman" w:eastAsia="宋体"/>
          <w:b w:val="0"/>
          <w:i w:val="0"/>
          <w:color w:val="000000"/>
          <w:sz w:val="21"/>
        </w:rPr>
        <w:t>基于学习的控制提供了另一条路线。近期工作已经展示了六自由度全学习水下控制与零样本 sim-to-real 迁移[8]，而模仿学习实现了信息驱动的水下导航[9]。更广泛地，残差强化学习将固定控制器与学习修正叠加[5]，actor–critic MPC 将可微优化器嵌入学习策略[6]。这些方法确立了保留控制结构的价值，但没有直接回答一个更简单的部署问题：给定两个完整且互补的控制器，机器人应当在何时信任每一个，以及信任多少？</w:t>
      </w:r>
    </w:p>
    <w:p>
      <w:pPr>
        <w:spacing w:line="312" w:lineRule="auto" w:after="120"/>
        <w:ind w:firstLine="420"/>
        <w:jc w:val="both"/>
      </w:pPr>
      <w:r>
        <w:rPr>
          <w:rFonts w:ascii="Times New Roman" w:hAnsi="Times New Roman" w:eastAsia="宋体"/>
          <w:b w:val="0"/>
          <w:i w:val="0"/>
          <w:color w:val="000000"/>
          <w:sz w:val="21"/>
        </w:rPr>
        <w:t>我们通过权限分配研究这一问题。PAC 不学习六维推进器指令，而是预测标量 $\alpha_t\in[0,1]$ 并施加</w:t>
      </w:r>
    </w:p>
    <w:p>
      <w:pPr>
        <w:spacing w:line="312" w:lineRule="auto" w:before="80" w:after="120"/>
        <w:jc w:val="center"/>
      </w:pPr>
      <w:r>
        <w:rPr>
          <w:rFonts w:ascii="Times New Roman" w:hAnsi="Times New Roman" w:eastAsia="楷体"/>
          <w:b w:val="0"/>
          <w:i/>
          <w:color w:val="000000"/>
          <w:sz w:val="21"/>
        </w:rPr>
        <w:t>\vect{u}_t=(1-\alpha_t)\vect{u}^{\mathrm{SMC}}_t+\alpha_t\vect{u}^{\mathrm{MPC}}_t   (1)</w:t>
      </w:r>
    </w:p>
    <w:p>
      <w:pPr>
        <w:spacing w:line="312" w:lineRule="auto" w:after="120"/>
        <w:ind w:firstLine="420"/>
        <w:jc w:val="both"/>
      </w:pPr>
      <w:r>
        <w:rPr>
          <w:rFonts w:ascii="Times New Roman" w:hAnsi="Times New Roman" w:eastAsia="宋体"/>
          <w:b w:val="0"/>
          <w:i w:val="0"/>
          <w:color w:val="000000"/>
          <w:sz w:val="21"/>
        </w:rPr>
        <w:t>其中 $\vect{u}^{\mathrm{MPC}}_t$ 为预测控制器指令。两个控制器保持显式，学习输出有界且可解释，变化率限制器阻止权限的突变转移。Transformer 编码短历史，因为控制器偏好不仅取决于瞬时误差，还取决于该误差正在增长、正在恢复，还是与执行器饱和同时发生。我们进一步附加一个零初始化残差头，输出 $\Delta\alpha_t = 0.1\,\tanh(z_t)$，使组合策略在初始化时与已部署基线数值一致，此后只能在有界包络内修正信任。</w:t>
      </w:r>
    </w:p>
    <w:p>
      <w:pPr>
        <w:spacing w:line="312" w:lineRule="auto" w:after="120"/>
        <w:ind w:firstLine="420"/>
        <w:jc w:val="both"/>
      </w:pPr>
      <w:r>
        <w:rPr>
          <w:rFonts w:ascii="Times New Roman" w:hAnsi="Times New Roman" w:eastAsia="宋体"/>
          <w:b w:val="0"/>
          <w:i w:val="0"/>
          <w:color w:val="000000"/>
          <w:sz w:val="21"/>
        </w:rPr>
        <w:t>本文做出三项贡献：</w:t>
      </w:r>
    </w:p>
    <w:p>
      <w:pPr>
        <w:spacing w:line="312" w:lineRule="auto" w:after="120"/>
        <w:ind w:firstLine="420"/>
        <w:jc w:val="both"/>
      </w:pPr>
      <w:r>
        <w:rPr>
          <w:rFonts w:ascii="Times New Roman" w:hAnsi="Times New Roman" w:eastAsia="宋体"/>
          <w:b/>
          <w:i w:val="0"/>
          <w:color w:val="000000"/>
          <w:sz w:val="21"/>
        </w:rPr>
        <w:t>贡献 1。</w:t>
      </w:r>
      <w:r>
        <w:rPr>
          <w:rFonts w:ascii="Times New Roman" w:hAnsi="Times New Roman" w:eastAsia="宋体"/>
          <w:b w:val="0"/>
          <w:i w:val="0"/>
          <w:color w:val="000000"/>
          <w:sz w:val="21"/>
        </w:rPr>
        <w:t>我们将控制器选择形式化为连续的、依赖历史的权限预测，保留两个结构化控制器，同时将学习动作空间降为一个有界变量。</w:t>
      </w:r>
    </w:p>
    <w:p>
      <w:pPr>
        <w:spacing w:line="312" w:lineRule="auto" w:after="120"/>
        <w:ind w:firstLine="420"/>
        <w:jc w:val="both"/>
      </w:pPr>
      <w:r>
        <w:rPr>
          <w:rFonts w:ascii="Times New Roman" w:hAnsi="Times New Roman" w:eastAsia="宋体"/>
          <w:b/>
          <w:i w:val="0"/>
          <w:color w:val="000000"/>
          <w:sz w:val="21"/>
        </w:rPr>
        <w:t>贡献 2。</w:t>
      </w:r>
      <w:r>
        <w:rPr>
          <w:rFonts w:ascii="Times New Roman" w:hAnsi="Times New Roman" w:eastAsia="宋体"/>
          <w:b w:val="0"/>
          <w:i w:val="0"/>
          <w:color w:val="000000"/>
          <w:sz w:val="21"/>
        </w:rPr>
        <w:t>我们开发了两阶段学习流程：从短视界 oracle 进行监督式预测初始化，随后在冻结骨干上进行受约束残差强化学习，残差输出以 $|\Delta\alpha_t| \leq 0.1$ 为界并零初始化。</w:t>
      </w:r>
    </w:p>
    <w:p>
      <w:pPr>
        <w:spacing w:line="312" w:lineRule="auto" w:after="120"/>
        <w:ind w:firstLine="420"/>
        <w:jc w:val="both"/>
      </w:pPr>
      <w:r>
        <w:rPr>
          <w:rFonts w:ascii="Times New Roman" w:hAnsi="Times New Roman" w:eastAsia="宋体"/>
          <w:b/>
          <w:i w:val="0"/>
          <w:color w:val="000000"/>
          <w:sz w:val="21"/>
        </w:rPr>
        <w:t>贡献 3。</w:t>
      </w:r>
      <w:r>
        <w:rPr>
          <w:rFonts w:ascii="Times New Roman" w:hAnsi="Times New Roman" w:eastAsia="宋体"/>
          <w:b w:val="0"/>
          <w:i w:val="0"/>
          <w:color w:val="000000"/>
          <w:sz w:val="21"/>
        </w:rPr>
        <w:t>我们评估了五个独立训练的策略在覆盖分布内与分布外扰动族的 1,680 个配对滚动上的表现，并报告改进与失效案例，包括逐场景 RMSE、峰值误差、艏向误差、控制代价、饱和率和求解器超时率。</w:t>
      </w:r>
    </w:p>
    <w:p>
      <w:pPr>
        <w:spacing w:line="312" w:lineRule="auto" w:before="280" w:after="120"/>
      </w:pPr>
      <w:r>
        <w:rPr>
          <w:rFonts w:ascii="Times New Roman" w:hAnsi="Times New Roman" w:eastAsia="黑体"/>
          <w:b/>
          <w:i w:val="0"/>
          <w:color w:val="000000"/>
          <w:sz w:val="26"/>
        </w:rPr>
        <w:t>2  相关工作</w:t>
      </w:r>
    </w:p>
    <w:p>
      <w:pPr>
        <w:spacing w:line="312" w:lineRule="auto" w:before="200" w:after="80"/>
      </w:pPr>
      <w:r>
        <w:rPr>
          <w:rFonts w:ascii="Times New Roman" w:hAnsi="Times New Roman" w:eastAsia="黑体"/>
          <w:b/>
          <w:i w:val="0"/>
          <w:color w:val="000000"/>
          <w:sz w:val="23"/>
        </w:rPr>
        <w:t>2.1  水下航行器控制</w:t>
      </w:r>
    </w:p>
    <w:p>
      <w:pPr>
        <w:spacing w:line="312" w:lineRule="auto" w:after="120"/>
        <w:ind w:firstLine="420"/>
        <w:jc w:val="both"/>
      </w:pPr>
      <w:r>
        <w:rPr>
          <w:rFonts w:ascii="Times New Roman" w:hAnsi="Times New Roman" w:eastAsia="宋体"/>
          <w:b w:val="0"/>
          <w:i w:val="0"/>
          <w:color w:val="000000"/>
          <w:sz w:val="21"/>
        </w:rPr>
        <w:t>海洋航行器控制建立在带附加质量、阻尼与恢复力的刚体动力学之上[1,2]。混合方案在阈值切换下将非线性 MPC 与滑模项结合，使各专家停留于有利工况[17]；这类切换面在设计时固定，而 PAC 在线、连续地回答信任问题。基于学习的水下控制发展迅速：改进 TD3 路径跟踪[10]、并行仿真器中训练六自由度控制并零样本迁移[8]均直接学习指令。PAC 则学习关于完整结构化控制器的一维仲裁变量。</w:t>
      </w:r>
    </w:p>
    <w:p>
      <w:pPr>
        <w:spacing w:line="312" w:lineRule="auto" w:before="200" w:after="80"/>
      </w:pPr>
      <w:r>
        <w:rPr>
          <w:rFonts w:ascii="Times New Roman" w:hAnsi="Times New Roman" w:eastAsia="黑体"/>
          <w:b/>
          <w:i w:val="0"/>
          <w:color w:val="000000"/>
          <w:sz w:val="23"/>
        </w:rPr>
        <w:t>2.2  与结构化控制器结合的学习</w:t>
      </w:r>
    </w:p>
    <w:p>
      <w:pPr>
        <w:spacing w:line="312" w:lineRule="auto" w:after="120"/>
        <w:ind w:firstLine="420"/>
        <w:jc w:val="both"/>
      </w:pPr>
      <w:r>
        <w:rPr>
          <w:rFonts w:ascii="Times New Roman" w:hAnsi="Times New Roman" w:eastAsia="宋体"/>
          <w:b w:val="0"/>
          <w:i w:val="0"/>
          <w:color w:val="000000"/>
          <w:sz w:val="21"/>
        </w:rPr>
        <w:t>残差强化学习在手工设计的基策略上叠加学习修正[5]；actor-critic MPC 将可微优化器嵌入策略[6]；学习型 MPC 综述讨论数据驱动修正与安全[4]。PAC 的差异在接口：残差作用于有界标量权限而非执行器指令；监督器冻结而非联合训练；零初始化给出与已部署系统的精确初始等价。学习型安全滤波训练类屏障修正[11]，而 PAC 的安全滤波由固定界与结构化回退构成，安全路径中不含学习组件。嵌入式求解器如 TinyMPC[7] 约束了机载仲裁层可假设的算力。</w:t>
      </w:r>
    </w:p>
    <w:p>
      <w:pPr>
        <w:spacing w:line="312" w:lineRule="auto" w:before="200" w:after="80"/>
      </w:pPr>
      <w:r>
        <w:rPr>
          <w:rFonts w:ascii="Times New Roman" w:hAnsi="Times New Roman" w:eastAsia="黑体"/>
          <w:b/>
          <w:i w:val="0"/>
          <w:color w:val="000000"/>
          <w:sz w:val="23"/>
        </w:rPr>
        <w:t>2.3  面向序贯决策的时序编码器</w:t>
      </w:r>
    </w:p>
    <w:p>
      <w:pPr>
        <w:spacing w:line="312" w:lineRule="auto" w:after="120"/>
        <w:ind w:firstLine="420"/>
        <w:jc w:val="both"/>
      </w:pPr>
      <w:r>
        <w:rPr>
          <w:rFonts w:ascii="Times New Roman" w:hAnsi="Times New Roman" w:eastAsia="宋体"/>
          <w:b w:val="0"/>
          <w:i w:val="0"/>
          <w:color w:val="000000"/>
          <w:sz w:val="21"/>
        </w:rPr>
        <w:t>自注意力[12]与控制的序列建模表述[13,14]随数据与宽度扩展。PAC 编码器刻意处于相反规模：单编码层、16 步历史、输出单系数——对仲裁接口已足够，并使边缘部署成为可能。扩散策略[15]与模仿学习导航[9]处理不同输出空间，属互补工作。</w:t>
      </w:r>
    </w:p>
    <w:p>
      <w:pPr>
        <w:spacing w:line="312" w:lineRule="auto" w:before="280" w:after="120"/>
      </w:pPr>
      <w:r>
        <w:rPr>
          <w:rFonts w:ascii="Times New Roman" w:hAnsi="Times New Roman" w:eastAsia="黑体"/>
          <w:b/>
          <w:i w:val="0"/>
          <w:color w:val="000000"/>
          <w:sz w:val="26"/>
        </w:rPr>
        <w:t>3  预测权限控制</w:t>
      </w:r>
    </w:p>
    <w:p>
      <w:pPr>
        <w:spacing w:line="312" w:lineRule="auto" w:before="200" w:after="80"/>
      </w:pPr>
      <w:r>
        <w:rPr>
          <w:rFonts w:ascii="Times New Roman" w:hAnsi="Times New Roman" w:eastAsia="黑体"/>
          <w:b/>
          <w:i w:val="0"/>
          <w:color w:val="000000"/>
          <w:sz w:val="23"/>
        </w:rPr>
        <w:t>3.1  航行器模型与跟踪目标</w:t>
      </w:r>
    </w:p>
    <w:p>
      <w:pPr>
        <w:spacing w:line="312" w:lineRule="auto" w:after="120"/>
        <w:ind w:firstLine="420"/>
        <w:jc w:val="both"/>
      </w:pPr>
      <w:r>
        <w:rPr>
          <w:rFonts w:ascii="Times New Roman" w:hAnsi="Times New Roman" w:eastAsia="宋体"/>
          <w:b w:val="0"/>
          <w:i w:val="0"/>
          <w:color w:val="000000"/>
          <w:sz w:val="21"/>
        </w:rPr>
        <w:t>位姿与体坐标速度记为 η=[x, y, z, φ, θ, ψ]ᵀ、ν=[u, v, w, p, q, r]ᵀ。仿真器以 100 Hz 四阶龙格–库塔积分对角化六自由度模型（附加质量、线性与二次阻尼、恢复刚度），每回合 2,100 步（21 s）。六台推进器呈 X 布置、单机限 35 N，受幅值与转速变化率约束。参考为三维利萨如曲线，期望艏向对齐水平切向；初始位姿与速度分别以 0.03 m、0.01 m/s 标准差扰动。</w:t>
      </w:r>
    </w:p>
    <w:p>
      <w:pPr>
        <w:spacing w:line="312" w:lineRule="auto" w:before="200" w:after="80"/>
      </w:pPr>
      <w:r>
        <w:rPr>
          <w:rFonts w:ascii="Times New Roman" w:hAnsi="Times New Roman" w:eastAsia="黑体"/>
          <w:b/>
          <w:i w:val="0"/>
          <w:color w:val="000000"/>
          <w:sz w:val="23"/>
        </w:rPr>
        <w:t>3.2  结构化专家控制器</w:t>
      </w:r>
    </w:p>
    <w:p>
      <w:pPr>
        <w:spacing w:line="312" w:lineRule="auto" w:after="120"/>
        <w:ind w:firstLine="420"/>
        <w:jc w:val="both"/>
      </w:pPr>
      <w:r>
        <w:rPr>
          <w:rFonts w:ascii="Times New Roman" w:hAnsi="Times New Roman" w:eastAsia="宋体"/>
          <w:b w:val="0"/>
          <w:i w:val="0"/>
          <w:color w:val="000000"/>
          <w:sz w:val="21"/>
        </w:rPr>
        <w:t>主专家为等价控制滑模控制器：平移滑模面组合速度误差与位姿误差，指令力矩含前馈加速度、阻尼补偿与有界趋近项。第二专家为滚动时域线性时变受约束 MPC：视界 20 步（0.2 s）、推进器归一化约束、暖启动平滑、在线求解时限 7.5 ms 且超时回退上一拍。该专家取代本框架早期实现中的一步二次跟踪律；本文全部结果使用该受约束 MPC。</w:t>
      </w:r>
    </w:p>
    <w:p>
      <w:pPr>
        <w:spacing w:line="312" w:lineRule="auto" w:before="200" w:after="80"/>
      </w:pPr>
      <w:r>
        <w:rPr>
          <w:rFonts w:ascii="Times New Roman" w:hAnsi="Times New Roman" w:eastAsia="黑体"/>
          <w:b/>
          <w:i w:val="0"/>
          <w:color w:val="000000"/>
          <w:sz w:val="23"/>
        </w:rPr>
        <w:t>3.3  历史特征与时序编码器</w:t>
      </w:r>
    </w:p>
    <w:p>
      <w:pPr>
        <w:spacing w:line="312" w:lineRule="auto" w:after="120"/>
        <w:ind w:firstLine="420"/>
        <w:jc w:val="both"/>
      </w:pPr>
      <w:r>
        <w:rPr>
          <w:rFonts w:ascii="Times New Roman" w:hAnsi="Times New Roman" w:eastAsia="宋体"/>
          <w:b w:val="0"/>
          <w:i w:val="0"/>
          <w:color w:val="000000"/>
          <w:sz w:val="21"/>
        </w:rPr>
        <w:t>每步 24 维特征向量概括位姿误差、体速度、各控制器指令统计与分歧、近饱和比例、水平海流分量与轨迹相位；最近 16 个向量构成编码器输入。单层 Transformer 编码器（四头注意力、128 维前馈、14,113 可训练参数）经 Sigmoid 头输出 α̂ₜ。推理时预测放大 1.2 倍、截断、以系数 0.5 指数平滑、每步变化限制 0.0125。</w:t>
      </w:r>
    </w:p>
    <w:p>
      <w:pPr>
        <w:spacing w:line="312" w:lineRule="auto" w:before="200" w:after="80"/>
      </w:pPr>
      <w:r>
        <w:rPr>
          <w:rFonts w:ascii="Times New Roman" w:hAnsi="Times New Roman" w:eastAsia="黑体"/>
          <w:b/>
          <w:i w:val="0"/>
          <w:color w:val="000000"/>
          <w:sz w:val="23"/>
        </w:rPr>
        <w:t>3.4  分层安全滤波</w:t>
      </w:r>
    </w:p>
    <w:p>
      <w:pPr>
        <w:spacing w:line="312" w:lineRule="auto" w:after="120"/>
        <w:ind w:firstLine="420"/>
        <w:jc w:val="both"/>
      </w:pPr>
      <w:r>
        <w:rPr>
          <w:rFonts w:ascii="Times New Roman" w:hAnsi="Times New Roman" w:eastAsia="宋体"/>
          <w:b w:val="0"/>
          <w:i w:val="0"/>
          <w:color w:val="000000"/>
          <w:sz w:val="21"/>
        </w:rPr>
        <w:t>学习分量的全部贡献按执行顺序通过固定滤波栈：(i) 残差有界；(ii) 混合系数经截断、平滑与变化率限制；(iii) 专家失效强制切回主控；(iv) 非数值回退冻结监督预测。残差头零初始化，组合策略在部署起点与已部署基线数值一致——该等价由比较全回合滚动的单元测试在紧数值容差下保证。学习组件的最坏情形因此即基线策略本身。图 2 给出两个网络与两阶段训练的细节：骨干在第二阶段全程冻结，残差头零初始化，组合策略的起点精确等于监督基线。</w:t>
      </w:r>
    </w:p>
    <w:p>
      <w:pPr>
        <w:keepNext/>
        <w:spacing w:before="160"/>
        <w:jc w:val="center"/>
      </w:pPr>
      <w:r>
        <w:drawing>
          <wp:inline xmlns:a="http://schemas.openxmlformats.org/drawingml/2006/main" xmlns:pic="http://schemas.openxmlformats.org/drawingml/2006/picture">
            <wp:extent cx="5760720" cy="3242128"/>
            <wp:docPr id="1" name="Picture 1"/>
            <wp:cNvGraphicFramePr>
              <a:graphicFrameLocks noChangeAspect="1"/>
            </wp:cNvGraphicFramePr>
            <a:graphic>
              <a:graphicData uri="http://schemas.openxmlformats.org/drawingml/2006/picture">
                <pic:pic>
                  <pic:nvPicPr>
                    <pic:cNvPr id="0" name="fig1_system_architecture_ai.png"/>
                    <pic:cNvPicPr/>
                  </pic:nvPicPr>
                  <pic:blipFill>
                    <a:blip r:embed="rId11"/>
                    <a:stretch>
                      <a:fillRect/>
                    </a:stretch>
                  </pic:blipFill>
                  <pic:spPr>
                    <a:xfrm>
                      <a:off x="0" y="0"/>
                      <a:ext cx="5760720" cy="3242128"/>
                    </a:xfrm>
                    <a:prstGeom prst="rect"/>
                  </pic:spPr>
                </pic:pic>
              </a:graphicData>
            </a:graphic>
          </wp:inline>
        </w:drawing>
      </w:r>
    </w:p>
    <w:p>
      <w:pPr>
        <w:spacing w:after="200"/>
        <w:jc w:val="both"/>
      </w:pPr>
      <w:r>
        <w:rPr>
          <w:rFonts w:ascii="Times New Roman" w:hAnsi="Times New Roman" w:eastAsia="宋体"/>
          <w:b/>
          <w:i w:val="0"/>
          <w:color w:val="000000"/>
          <w:sz w:val="18"/>
        </w:rPr>
        <w:t xml:space="preserve">图 1  </w:t>
      </w:r>
      <w:r>
        <w:rPr>
          <w:rFonts w:ascii="Times New Roman" w:hAnsi="Times New Roman" w:eastAsia="宋体"/>
          <w:b w:val="0"/>
          <w:i w:val="0"/>
          <w:color w:val="000000"/>
          <w:sz w:val="18"/>
        </w:rPr>
        <w:t>预测权限控制架构。底色分区区隔已验证的固定组件（对象、SMC 与 MPC 专家）、可审计的学习组件（冻结时序编码器、已训练残差头）与执行级。权限 α_t = clip[0,1](α̂_t + Δα_t) 对专家指令做凸混合；学习分量的全部输出经底部安全条带后才作用于推进器。</w:t>
      </w:r>
    </w:p>
    <w:p>
      <w:pPr>
        <w:keepNext/>
        <w:spacing w:before="160"/>
        <w:jc w:val="center"/>
      </w:pPr>
      <w:r>
        <w:drawing>
          <wp:inline xmlns:a="http://schemas.openxmlformats.org/drawingml/2006/main" xmlns:pic="http://schemas.openxmlformats.org/drawingml/2006/picture">
            <wp:extent cx="5760720" cy="3242128"/>
            <wp:docPr id="2" name="Picture 2"/>
            <wp:cNvGraphicFramePr>
              <a:graphicFrameLocks noChangeAspect="1"/>
            </wp:cNvGraphicFramePr>
            <a:graphic>
              <a:graphicData uri="http://schemas.openxmlformats.org/drawingml/2006/picture">
                <pic:pic>
                  <pic:nvPicPr>
                    <pic:cNvPr id="0" name="fig_network_training_ai.png"/>
                    <pic:cNvPicPr/>
                  </pic:nvPicPr>
                  <pic:blipFill>
                    <a:blip r:embed="rId12"/>
                    <a:stretch>
                      <a:fillRect/>
                    </a:stretch>
                  </pic:blipFill>
                  <pic:spPr>
                    <a:xfrm>
                      <a:off x="0" y="0"/>
                      <a:ext cx="5760720" cy="3242128"/>
                    </a:xfrm>
                    <a:prstGeom prst="rect"/>
                  </pic:spPr>
                </pic:pic>
              </a:graphicData>
            </a:graphic>
          </wp:inline>
        </w:drawing>
      </w:r>
    </w:p>
    <w:p>
      <w:pPr>
        <w:spacing w:after="200"/>
        <w:jc w:val="both"/>
      </w:pPr>
      <w:r>
        <w:rPr>
          <w:rFonts w:ascii="Times New Roman" w:hAnsi="Times New Roman" w:eastAsia="宋体"/>
          <w:b/>
          <w:i w:val="0"/>
          <w:color w:val="000000"/>
          <w:sz w:val="18"/>
        </w:rPr>
        <w:t xml:space="preserve">图 2  </w:t>
      </w:r>
      <w:r>
        <w:rPr>
          <w:rFonts w:ascii="Times New Roman" w:hAnsi="Times New Roman" w:eastAsia="宋体"/>
          <w:b w:val="0"/>
          <w:i w:val="0"/>
          <w:color w:val="000000"/>
          <w:sz w:val="18"/>
        </w:rPr>
        <w:t>网络架构与两阶段训练。(a) 冻结的时序编码器（14,113 参数）将 16×24 历史经 32 维嵌入与单层 Transformer 编码器（四头注意力、128 维前馈）映射为监督权限；可训练的残差头（两层线性、2,177 参数、末层零初始化）每步最多修正 0.1。(b) 第一阶段以短视界寻优器的模仿训练骨干；第二阶段仅以 TD3、行为正则与热启动回放训练残差头。</w:t>
      </w:r>
    </w:p>
    <w:p>
      <w:pPr>
        <w:spacing w:line="312" w:lineRule="auto" w:before="280" w:after="120"/>
      </w:pPr>
      <w:r>
        <w:rPr>
          <w:rFonts w:ascii="Times New Roman" w:hAnsi="Times New Roman" w:eastAsia="黑体"/>
          <w:b/>
          <w:i w:val="0"/>
          <w:color w:val="000000"/>
          <w:sz w:val="26"/>
        </w:rPr>
        <w:t>4  权限残差的学习</w:t>
      </w:r>
    </w:p>
    <w:p>
      <w:pPr>
        <w:spacing w:line="312" w:lineRule="auto" w:before="200" w:after="80"/>
      </w:pPr>
      <w:r>
        <w:rPr>
          <w:rFonts w:ascii="Times New Roman" w:hAnsi="Times New Roman" w:eastAsia="黑体"/>
          <w:b/>
          <w:i w:val="0"/>
          <w:color w:val="000000"/>
          <w:sz w:val="23"/>
        </w:rPr>
        <w:t>4.1  监督初始化</w:t>
      </w:r>
    </w:p>
    <w:p>
      <w:pPr>
        <w:spacing w:line="312" w:lineRule="auto" w:after="120"/>
        <w:ind w:firstLine="420"/>
        <w:jc w:val="both"/>
      </w:pPr>
      <w:r>
        <w:rPr>
          <w:rFonts w:ascii="Times New Roman" w:hAnsi="Times New Roman" w:eastAsia="宋体"/>
          <w:b w:val="0"/>
          <w:i w:val="0"/>
          <w:color w:val="000000"/>
          <w:sz w:val="21"/>
        </w:rPr>
        <w:t>监督 PAC 策略通过模仿短视界寻优器（oracle）训练：对每个训练状态，五点网格候选系数保持十步并冻结海流，标签最小化</w:t>
      </w:r>
    </w:p>
    <w:p>
      <w:pPr>
        <w:spacing w:line="312" w:lineRule="auto" w:before="80" w:after="120"/>
        <w:jc w:val="center"/>
      </w:pPr>
      <w:r>
        <w:rPr>
          <w:rFonts w:ascii="Times New Roman" w:hAnsi="Times New Roman" w:eastAsia="楷体"/>
          <w:b w:val="0"/>
          <w:i/>
          <w:color w:val="000000"/>
          <w:sz w:val="21"/>
        </w:rPr>
        <w:t>J(α) = ‖eₓᵧ‖² + 0.7 eᵣ² + 0.08 eψ² + 0.02 mean([|u| − 0.92]₊²) + 0.01 mean((u − uₜ₋₁)²),   (2)</w:t>
      </w:r>
    </w:p>
    <w:p>
      <w:pPr>
        <w:spacing w:line="312" w:lineRule="auto" w:after="120"/>
        <w:ind w:firstLine="420"/>
        <w:jc w:val="both"/>
      </w:pPr>
      <w:r>
        <w:rPr>
          <w:rFonts w:ascii="Times New Roman" w:hAnsi="Times New Roman" w:eastAsia="宋体"/>
          <w:b w:val="0"/>
          <w:i w:val="0"/>
          <w:color w:val="000000"/>
          <w:sz w:val="21"/>
        </w:rPr>
        <w:t>即水平与垂向位置误差、艏向误差、近饱和幅值与指令变化的组合代价。训练使用 18,900 个带标样本、AdamW 180 轮、加权平方损失。五个模型种子独立训练；这些冻结策略监督后续全部阶段且从不重训。</w:t>
      </w:r>
    </w:p>
    <w:p>
      <w:pPr>
        <w:spacing w:line="312" w:lineRule="auto" w:before="200" w:after="80"/>
      </w:pPr>
      <w:r>
        <w:rPr>
          <w:rFonts w:ascii="Times New Roman" w:hAnsi="Times New Roman" w:eastAsia="黑体"/>
          <w:b/>
          <w:i w:val="0"/>
          <w:color w:val="000000"/>
          <w:sz w:val="23"/>
        </w:rPr>
        <w:t>4.2  受约束残差阶段</w:t>
      </w:r>
    </w:p>
    <w:p>
      <w:pPr>
        <w:spacing w:line="312" w:lineRule="auto" w:after="120"/>
        <w:ind w:firstLine="420"/>
        <w:jc w:val="both"/>
      </w:pPr>
      <w:r>
        <w:rPr>
          <w:rFonts w:ascii="Times New Roman" w:hAnsi="Times New Roman" w:eastAsia="宋体"/>
          <w:b w:val="0"/>
          <w:i w:val="0"/>
          <w:color w:val="000000"/>
          <w:sz w:val="21"/>
        </w:rPr>
        <w:t>残差策略在每条冻结监督策略上附加 2,177 参数的两层头，施加的系数为</w:t>
      </w:r>
    </w:p>
    <w:p>
      <w:pPr>
        <w:spacing w:line="312" w:lineRule="auto" w:before="80" w:after="120"/>
        <w:jc w:val="center"/>
      </w:pPr>
      <w:r>
        <w:rPr>
          <w:rFonts w:ascii="Times New Roman" w:hAnsi="Times New Roman" w:eastAsia="楷体"/>
          <w:b w:val="0"/>
          <w:i/>
          <w:color w:val="000000"/>
          <w:sz w:val="21"/>
        </w:rPr>
        <w:t>αₜ = clip[0,1]( α̂ₜ + Δαₜ ),   Δαₜ = 0.1 tanh(zₜ),   (3)</w:t>
      </w:r>
    </w:p>
    <w:p>
      <w:pPr>
        <w:spacing w:line="312" w:lineRule="auto" w:after="120"/>
        <w:ind w:firstLine="420"/>
        <w:jc w:val="both"/>
      </w:pPr>
      <w:r>
        <w:rPr>
          <w:rFonts w:ascii="Times New Roman" w:hAnsi="Times New Roman" w:eastAsia="宋体"/>
          <w:b w:val="0"/>
          <w:i w:val="0"/>
          <w:color w:val="000000"/>
          <w:sz w:val="21"/>
        </w:rPr>
        <w:t>其中 zₜ 为头输出，末层零初始化，故训练前 Δα ≡ 0。训练采用 TD3（双评论家、目标平滑、延迟策略更新），闭环回合的环境种子与全部评估种子不相交，以监督策略下采集的 2×10⁵ 条离线过渡热启动，并以行为正则惩罚偏离监督器。奖励综合位置与艏向误差、指令幅值与变化率、饱和、超时标志与约束违反；全部权重训练前冻结于清单。学习器仅输出 Δα：不能指令推进器，也不能更改 MPC 调度或求解预算。</w:t>
      </w:r>
    </w:p>
    <w:p>
      <w:pPr>
        <w:spacing w:line="312" w:lineRule="auto" w:before="280" w:after="120"/>
      </w:pPr>
      <w:r>
        <w:rPr>
          <w:rFonts w:ascii="Times New Roman" w:hAnsi="Times New Roman" w:eastAsia="黑体"/>
          <w:b/>
          <w:i w:val="0"/>
          <w:color w:val="000000"/>
          <w:sz w:val="26"/>
        </w:rPr>
        <w:t>5  实验设计</w:t>
      </w:r>
    </w:p>
    <w:p>
      <w:pPr>
        <w:spacing w:line="312" w:lineRule="auto" w:before="200" w:after="80"/>
      </w:pPr>
      <w:r>
        <w:rPr>
          <w:rFonts w:ascii="Times New Roman" w:hAnsi="Times New Roman" w:eastAsia="黑体"/>
          <w:b/>
          <w:i w:val="0"/>
          <w:color w:val="000000"/>
          <w:sz w:val="23"/>
        </w:rPr>
        <w:t>5.1  预注册协议</w:t>
      </w:r>
    </w:p>
    <w:p>
      <w:pPr>
        <w:spacing w:line="312" w:lineRule="auto" w:after="120"/>
        <w:ind w:firstLine="420"/>
        <w:jc w:val="both"/>
      </w:pPr>
      <w:r>
        <w:rPr>
          <w:rFonts w:ascii="Times New Roman" w:hAnsi="Times New Roman" w:eastAsia="宋体"/>
          <w:b w:val="0"/>
          <w:i w:val="0"/>
          <w:color w:val="000000"/>
          <w:sz w:val="21"/>
        </w:rPr>
        <w:t>全部比较、种子划分与验收准则在残差训练开始前冻结并归档。评估网格含 120 个配对回合：85 个分布内（20 个保留环境种子下的 60 个结构化海流回合，加五个训练范围扰动族的 25 个回合）与 35 个分布外（相对扰动族采样；五个测试范围族，加快时间尺度海流族与带传感滞后和噪声的估计延迟族）。每个回合在全部方法与种子间共享：相同的航行器、海流与参考实现。</w:t>
      </w:r>
    </w:p>
    <w:p>
      <w:pPr>
        <w:spacing w:line="312" w:lineRule="auto" w:before="200" w:after="80"/>
      </w:pPr>
      <w:r>
        <w:rPr>
          <w:rFonts w:ascii="Times New Roman" w:hAnsi="Times New Roman" w:eastAsia="黑体"/>
          <w:b/>
          <w:i w:val="0"/>
          <w:color w:val="000000"/>
          <w:sz w:val="23"/>
        </w:rPr>
        <w:t>5.2  方法与统计</w:t>
      </w:r>
    </w:p>
    <w:p>
      <w:pPr>
        <w:spacing w:line="312" w:lineRule="auto" w:after="120"/>
        <w:ind w:firstLine="420"/>
        <w:jc w:val="both"/>
      </w:pPr>
      <w:r>
        <w:rPr>
          <w:rFonts w:ascii="Times New Roman" w:hAnsi="Times New Roman" w:eastAsia="宋体"/>
          <w:b w:val="0"/>
          <w:i w:val="0"/>
          <w:color w:val="000000"/>
          <w:sz w:val="21"/>
        </w:rPr>
        <w:t>比较六种方法：单独专家（SMC、MPC）、常数混合（固定 α=0.5）、以坐标下降搜索窗口偏置日程的非学习基线（SSPO），以及共用同一组五个冻结监督种子的两种 PAC 变体（监督与残差）。SSPO 作为坐标搜索型消融而非外部基线保留。固定方法各贡献一个组合，共 14 个方法-种子组合、1,680 次滚动（约 353 万控制步）。</w:t>
      </w:r>
    </w:p>
    <w:p>
      <w:pPr>
        <w:spacing w:line="312" w:lineRule="auto" w:after="120"/>
        <w:ind w:firstLine="420"/>
        <w:jc w:val="both"/>
      </w:pPr>
      <w:r>
        <w:rPr>
          <w:rFonts w:ascii="Times New Roman" w:hAnsi="Times New Roman" w:eastAsia="宋体"/>
          <w:b w:val="0"/>
          <w:i w:val="0"/>
          <w:color w:val="000000"/>
          <w:sz w:val="21"/>
        </w:rPr>
        <w:t>主推断在模型种子级：逐种子配对效应以自由度 4 的 t 分布区间概括。补充的回合级自助法区间（对配对回合有放回重采样、10,000 次重采样、随机数种子 0）用于头条对比。超出预注册集合的比较不做显著性主张，也不做多重比较校正：注册集合被完整报告而非事后挑选。</w:t>
      </w:r>
    </w:p>
    <w:p>
      <w:pPr>
        <w:spacing w:line="312" w:lineRule="auto" w:before="280" w:after="120"/>
      </w:pPr>
      <w:r>
        <w:rPr>
          <w:rFonts w:ascii="Times New Roman" w:hAnsi="Times New Roman" w:eastAsia="黑体"/>
          <w:b/>
          <w:i w:val="0"/>
          <w:color w:val="000000"/>
          <w:sz w:val="26"/>
        </w:rPr>
        <w:t>6  结果</w:t>
      </w:r>
    </w:p>
    <w:p>
      <w:pPr>
        <w:spacing w:line="312" w:lineRule="auto" w:before="200" w:after="80"/>
      </w:pPr>
      <w:r>
        <w:rPr>
          <w:rFonts w:ascii="Times New Roman" w:hAnsi="Times New Roman" w:eastAsia="黑体"/>
          <w:b/>
          <w:i w:val="0"/>
          <w:color w:val="000000"/>
          <w:sz w:val="23"/>
        </w:rPr>
        <w:t>6.1  闭环跟踪：航行器实际如何运动</w:t>
      </w:r>
    </w:p>
    <w:p>
      <w:pPr>
        <w:spacing w:line="312" w:lineRule="auto" w:after="120"/>
        <w:ind w:firstLine="420"/>
        <w:jc w:val="both"/>
      </w:pPr>
      <w:r>
        <w:rPr>
          <w:rFonts w:ascii="Times New Roman" w:hAnsi="Times New Roman" w:eastAsia="宋体"/>
          <w:b w:val="0"/>
          <w:i w:val="0"/>
          <w:color w:val="000000"/>
          <w:sz w:val="21"/>
        </w:rPr>
        <w:t>图 3 以三维路径、水平投影与 z 轴误差展示两个代表性配对回合——分布内正弦海流与分布外执行器退化回合。分布内，全部学习与混合方法紧贴利萨如参考，SMC 带可见偏移地滞后。执行器退化下性质改变：MPC 专家单独工作时水平环线畸变、深度漂移（回合 RMSE 0.886 m），监督策略继承了部分失效（0.206 m），残差策略保持在参考上（0.088 m），略优于从不自适应的固定混合（0.124 m）。</w:t>
      </w:r>
    </w:p>
    <w:p>
      <w:pPr>
        <w:keepNext/>
        <w:spacing w:before="160"/>
        <w:jc w:val="center"/>
      </w:pPr>
      <w:r>
        <w:drawing>
          <wp:inline xmlns:a="http://schemas.openxmlformats.org/drawingml/2006/main" xmlns:pic="http://schemas.openxmlformats.org/drawingml/2006/picture">
            <wp:extent cx="5760720" cy="5799373"/>
            <wp:docPr id="3" name="Picture 3"/>
            <wp:cNvGraphicFramePr>
              <a:graphicFrameLocks noChangeAspect="1"/>
            </wp:cNvGraphicFramePr>
            <a:graphic>
              <a:graphicData uri="http://schemas.openxmlformats.org/drawingml/2006/picture">
                <pic:pic>
                  <pic:nvPicPr>
                    <pic:cNvPr id="0" name="fig2_closed_loop_trajectories.png"/>
                    <pic:cNvPicPr/>
                  </pic:nvPicPr>
                  <pic:blipFill>
                    <a:blip r:embed="rId13"/>
                    <a:stretch>
                      <a:fillRect/>
                    </a:stretch>
                  </pic:blipFill>
                  <pic:spPr>
                    <a:xfrm>
                      <a:off x="0" y="0"/>
                      <a:ext cx="5760720" cy="5799373"/>
                    </a:xfrm>
                    <a:prstGeom prst="rect"/>
                  </pic:spPr>
                </pic:pic>
              </a:graphicData>
            </a:graphic>
          </wp:inline>
        </w:drawing>
      </w:r>
    </w:p>
    <w:p>
      <w:pPr>
        <w:spacing w:after="200"/>
        <w:jc w:val="both"/>
      </w:pPr>
      <w:r>
        <w:rPr>
          <w:rFonts w:ascii="Times New Roman" w:hAnsi="Times New Roman" w:eastAsia="宋体"/>
          <w:b/>
          <w:i w:val="0"/>
          <w:color w:val="000000"/>
          <w:sz w:val="18"/>
        </w:rPr>
        <w:t xml:space="preserve">图 3  </w:t>
      </w:r>
      <w:r>
        <w:rPr>
          <w:rFonts w:ascii="Times New Roman" w:hAnsi="Times New Roman" w:eastAsia="宋体"/>
          <w:b w:val="0"/>
          <w:i w:val="0"/>
          <w:color w:val="000000"/>
          <w:sz w:val="18"/>
        </w:rPr>
        <w:t>代表性闭环轨迹。列：分布内正弦海流与分布外执行器退化（各块编号最小的保留种子，检查前固定）；两个回合在方法间共享，并由冻结检查点确定性重放生成。行：三维路径、水平投影、z 轴误差（虚线为零参考）。固定混合为清晰起见未画出，其数值见表 1。</w:t>
      </w:r>
    </w:p>
    <w:p>
      <w:pPr>
        <w:spacing w:line="312" w:lineRule="auto" w:after="120"/>
        <w:ind w:firstLine="420"/>
        <w:jc w:val="both"/>
      </w:pPr>
      <w:r>
        <w:rPr>
          <w:rFonts w:ascii="Times New Roman" w:hAnsi="Times New Roman" w:eastAsia="宋体"/>
          <w:b w:val="0"/>
          <w:i w:val="0"/>
          <w:color w:val="000000"/>
          <w:sz w:val="21"/>
        </w:rPr>
        <w:t>图 4 在时间轴上解析同样两个回合。位置误差行显示退化下的 MPC 发散随回合增长而非尖峰出现——与持续错误的内部模型一致，而非瞬态。两个工况下 残差策略的艏向误差与俯仰角都保持小值，而退化的 MPC 回合携带可见的姿态偏移。表 1 聚合全网格。</w:t>
      </w:r>
    </w:p>
    <w:p>
      <w:pPr>
        <w:keepNext/>
        <w:spacing w:before="160"/>
        <w:jc w:val="center"/>
      </w:pPr>
      <w:r>
        <w:drawing>
          <wp:inline xmlns:a="http://schemas.openxmlformats.org/drawingml/2006/main" xmlns:pic="http://schemas.openxmlformats.org/drawingml/2006/picture">
            <wp:extent cx="5760720" cy="4575448"/>
            <wp:docPr id="4" name="Picture 4"/>
            <wp:cNvGraphicFramePr>
              <a:graphicFrameLocks noChangeAspect="1"/>
            </wp:cNvGraphicFramePr>
            <a:graphic>
              <a:graphicData uri="http://schemas.openxmlformats.org/drawingml/2006/picture">
                <pic:pic>
                  <pic:nvPicPr>
                    <pic:cNvPr id="0" name="fig3_error_attitude.png"/>
                    <pic:cNvPicPr/>
                  </pic:nvPicPr>
                  <pic:blipFill>
                    <a:blip r:embed="rId14"/>
                    <a:stretch>
                      <a:fillRect/>
                    </a:stretch>
                  </pic:blipFill>
                  <pic:spPr>
                    <a:xfrm>
                      <a:off x="0" y="0"/>
                      <a:ext cx="5760720" cy="4575448"/>
                    </a:xfrm>
                    <a:prstGeom prst="rect"/>
                  </pic:spPr>
                </pic:pic>
              </a:graphicData>
            </a:graphic>
          </wp:inline>
        </w:drawing>
      </w:r>
    </w:p>
    <w:p>
      <w:pPr>
        <w:spacing w:after="200"/>
        <w:jc w:val="both"/>
      </w:pPr>
      <w:r>
        <w:rPr>
          <w:rFonts w:ascii="Times New Roman" w:hAnsi="Times New Roman" w:eastAsia="宋体"/>
          <w:b/>
          <w:i w:val="0"/>
          <w:color w:val="000000"/>
          <w:sz w:val="18"/>
        </w:rPr>
        <w:t xml:space="preserve">图 4  </w:t>
      </w:r>
      <w:r>
        <w:rPr>
          <w:rFonts w:ascii="Times New Roman" w:hAnsi="Times New Roman" w:eastAsia="宋体"/>
          <w:b w:val="0"/>
          <w:i w:val="0"/>
          <w:color w:val="000000"/>
          <w:sz w:val="18"/>
        </w:rPr>
        <w:t>图 2 两个回合的时间解析运动误差。行：三维位置误差、艏向误差绝对值、俯仰角。执行器退化下 MPC 的发散随回合增长；残差 PAC 在两个工况下都贴近参考。单回合展示；块级聚合见表 1 与图 7。</w:t>
      </w:r>
    </w:p>
    <w:p>
      <w:pPr>
        <w:spacing w:line="312" w:lineRule="auto" w:after="120"/>
        <w:ind w:firstLine="420"/>
        <w:jc w:val="both"/>
      </w:pPr>
      <w:r>
        <w:rPr>
          <w:rFonts w:ascii="Times New Roman" w:hAnsi="Times New Roman" w:eastAsia="宋体"/>
          <w:b w:val="0"/>
          <w:i w:val="0"/>
          <w:color w:val="000000"/>
          <w:sz w:val="21"/>
        </w:rPr>
        <w:t>残差训练在种子间稳定。图 5 展示第二阶段逐种子的平均回合奖励，该奖励在探索噪声与轮换训练族日程下采集，其趋势反映的是回合组合的变化而非贪心策略性能，且没有任何种子发散。五个种子均产出在注册评估（图 6、表 1）中行为一致的策略——后者才是记录在案的性能度量。</w:t>
      </w:r>
    </w:p>
    <w:p>
      <w:pPr>
        <w:keepNext/>
        <w:spacing w:before="160"/>
        <w:jc w:val="center"/>
      </w:pPr>
      <w:r>
        <w:drawing>
          <wp:inline xmlns:a="http://schemas.openxmlformats.org/drawingml/2006/main" xmlns:pic="http://schemas.openxmlformats.org/drawingml/2006/picture">
            <wp:extent cx="5760720" cy="1925615"/>
            <wp:docPr id="5" name="Picture 5"/>
            <wp:cNvGraphicFramePr>
              <a:graphicFrameLocks noChangeAspect="1"/>
            </wp:cNvGraphicFramePr>
            <a:graphic>
              <a:graphicData uri="http://schemas.openxmlformats.org/drawingml/2006/picture">
                <pic:pic>
                  <pic:nvPicPr>
                    <pic:cNvPr id="0" name="fig_training_curves.png"/>
                    <pic:cNvPicPr/>
                  </pic:nvPicPr>
                  <pic:blipFill>
                    <a:blip r:embed="rId15"/>
                    <a:stretch>
                      <a:fillRect/>
                    </a:stretch>
                  </pic:blipFill>
                  <pic:spPr>
                    <a:xfrm>
                      <a:off x="0" y="0"/>
                      <a:ext cx="5760720" cy="1925615"/>
                    </a:xfrm>
                    <a:prstGeom prst="rect"/>
                  </pic:spPr>
                </pic:pic>
              </a:graphicData>
            </a:graphic>
          </wp:inline>
        </w:drawing>
      </w:r>
    </w:p>
    <w:p>
      <w:pPr>
        <w:spacing w:after="200"/>
        <w:jc w:val="both"/>
      </w:pPr>
      <w:r>
        <w:rPr>
          <w:rFonts w:ascii="Times New Roman" w:hAnsi="Times New Roman" w:eastAsia="宋体"/>
          <w:b/>
          <w:i w:val="0"/>
          <w:color w:val="000000"/>
          <w:sz w:val="18"/>
        </w:rPr>
        <w:t xml:space="preserve">图 5  </w:t>
      </w:r>
      <w:r>
        <w:rPr>
          <w:rFonts w:ascii="Times New Roman" w:hAnsi="Times New Roman" w:eastAsia="宋体"/>
          <w:b w:val="0"/>
          <w:i w:val="0"/>
          <w:color w:val="000000"/>
          <w:sz w:val="18"/>
        </w:rPr>
        <w:t>五个模型种子的残差训练。(a) 回合奖励、(b) 评论家损失、(c) 策略损失。细线：逐种子值；粗线与阴影带：五种子均值 ± 1 标准差。全部指标在探索噪声与轮换训练族日程下采集，趋势反映回合组合的变化而非贪心策略性能；无种子发散。贪心闭环性能以图 6 与表 1 的注册评估为准。</w:t>
      </w:r>
    </w:p>
    <w:p>
      <w:pPr>
        <w:keepNext/>
        <w:spacing w:before="160"/>
        <w:jc w:val="both"/>
      </w:pPr>
      <w:r>
        <w:rPr>
          <w:rFonts w:ascii="Times New Roman" w:hAnsi="Times New Roman" w:eastAsia="宋体"/>
          <w:b/>
          <w:i w:val="0"/>
          <w:color w:val="000000"/>
          <w:sz w:val="18"/>
        </w:rPr>
        <w:t xml:space="preserve">表 1  </w:t>
      </w:r>
      <w:r>
        <w:rPr>
          <w:rFonts w:ascii="Times New Roman" w:hAnsi="Times New Roman" w:eastAsia="宋体"/>
          <w:b/>
          <w:i w:val="0"/>
          <w:color w:val="000000"/>
          <w:sz w:val="18"/>
        </w:rPr>
        <w:t>每方法-种子组合 120 配对回合的评估结果（学习方法为五个模型种子均值；ID 分布内；OOD 相对扰动族采样的分布外）。五种子的离散度以置信区间形式报告于图 6a。</w:t>
      </w:r>
    </w:p>
    <w:tbl>
      <w:tblPr>
        <w:tblStyle w:val="TableGrid"/>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rPr>
          <w:tblHeader/>
        </w:trPr>
        <w:tc>
          <w:tcPr>
            <w:tcW w:type="dxa" w:w="2160"/>
            <w:shd w:val="clear" w:fill="F2F2F2"/>
          </w:tcPr>
          <w:p>
            <w:pPr>
              <w:spacing w:line="276" w:lineRule="auto"/>
              <w:jc w:val="center"/>
            </w:pPr>
            <w:r>
              <w:rPr>
                <w:rFonts w:ascii="Times New Roman" w:hAnsi="Times New Roman" w:eastAsia="宋体"/>
                <w:b/>
                <w:i w:val="0"/>
                <w:color w:val="000000"/>
                <w:sz w:val="17"/>
              </w:rPr>
              <w:t>方法</w:t>
            </w:r>
          </w:p>
        </w:tc>
        <w:tc>
          <w:tcPr>
            <w:tcW w:type="dxa" w:w="1368"/>
            <w:shd w:val="clear" w:fill="F2F2F2"/>
          </w:tcPr>
          <w:p>
            <w:pPr>
              <w:spacing w:line="276" w:lineRule="auto"/>
              <w:jc w:val="center"/>
            </w:pPr>
            <w:r>
              <w:rPr>
                <w:rFonts w:ascii="Times New Roman" w:hAnsi="Times New Roman" w:eastAsia="宋体"/>
                <w:b/>
                <w:i w:val="0"/>
                <w:color w:val="000000"/>
                <w:sz w:val="17"/>
              </w:rPr>
              <w:t>ID RMSE (m)</w:t>
            </w:r>
          </w:p>
        </w:tc>
        <w:tc>
          <w:tcPr>
            <w:tcW w:type="dxa" w:w="1368"/>
            <w:shd w:val="clear" w:fill="F2F2F2"/>
          </w:tcPr>
          <w:p>
            <w:pPr>
              <w:spacing w:line="276" w:lineRule="auto"/>
              <w:jc w:val="center"/>
            </w:pPr>
            <w:r>
              <w:rPr>
                <w:rFonts w:ascii="Times New Roman" w:hAnsi="Times New Roman" w:eastAsia="宋体"/>
                <w:b/>
                <w:i w:val="0"/>
                <w:color w:val="000000"/>
                <w:sz w:val="17"/>
              </w:rPr>
              <w:t>OOD RMSE (m)</w:t>
            </w:r>
          </w:p>
        </w:tc>
        <w:tc>
          <w:tcPr>
            <w:tcW w:type="dxa" w:w="1584"/>
            <w:shd w:val="clear" w:fill="F2F2F2"/>
          </w:tcPr>
          <w:p>
            <w:pPr>
              <w:spacing w:line="276" w:lineRule="auto"/>
              <w:jc w:val="center"/>
            </w:pPr>
            <w:r>
              <w:rPr>
                <w:rFonts w:ascii="Times New Roman" w:hAnsi="Times New Roman" w:eastAsia="宋体"/>
                <w:b/>
                <w:i w:val="0"/>
                <w:color w:val="000000"/>
                <w:sz w:val="17"/>
              </w:rPr>
              <w:t>OOD 最大误差 (m)</w:t>
            </w:r>
          </w:p>
        </w:tc>
        <w:tc>
          <w:tcPr>
            <w:tcW w:type="dxa" w:w="1368"/>
            <w:shd w:val="clear" w:fill="F2F2F2"/>
          </w:tcPr>
          <w:p>
            <w:pPr>
              <w:spacing w:line="276" w:lineRule="auto"/>
              <w:jc w:val="center"/>
            </w:pPr>
            <w:r>
              <w:rPr>
                <w:rFonts w:ascii="Times New Roman" w:hAnsi="Times New Roman" w:eastAsia="宋体"/>
                <w:b/>
                <w:i w:val="0"/>
                <w:color w:val="000000"/>
                <w:sz w:val="17"/>
              </w:rPr>
              <w:t>OOD 艏向 (°)</w:t>
            </w:r>
          </w:p>
        </w:tc>
        <w:tc>
          <w:tcPr>
            <w:tcW w:type="dxa" w:w="1296"/>
            <w:shd w:val="clear" w:fill="F2F2F2"/>
          </w:tcPr>
          <w:p>
            <w:pPr>
              <w:spacing w:line="276" w:lineRule="auto"/>
              <w:jc w:val="center"/>
            </w:pPr>
            <w:r>
              <w:rPr>
                <w:rFonts w:ascii="Times New Roman" w:hAnsi="Times New Roman" w:eastAsia="宋体"/>
                <w:b/>
                <w:i w:val="0"/>
                <w:color w:val="000000"/>
                <w:sz w:val="17"/>
              </w:rPr>
              <w:t>OOD 超时率</w:t>
            </w:r>
          </w:p>
        </w:tc>
        <w:tc>
          <w:tcPr>
            <w:tcW w:type="dxa" w:w="1224"/>
            <w:shd w:val="clear" w:fill="F2F2F2"/>
          </w:tcPr>
          <w:p>
            <w:pPr>
              <w:spacing w:line="276" w:lineRule="auto"/>
              <w:jc w:val="center"/>
            </w:pPr>
            <w:r>
              <w:rPr>
                <w:rFonts w:ascii="Times New Roman" w:hAnsi="Times New Roman" w:eastAsia="宋体"/>
                <w:b/>
                <w:i w:val="0"/>
                <w:color w:val="000000"/>
                <w:sz w:val="17"/>
              </w:rPr>
              <w:t>OOD α 均值</w:t>
            </w:r>
          </w:p>
        </w:tc>
      </w:tr>
      <w:tr>
        <w:tc>
          <w:tcPr>
            <w:tcW w:type="dxa" w:w="2160"/>
          </w:tcPr>
          <w:p>
            <w:pPr>
              <w:spacing w:line="276" w:lineRule="auto"/>
              <w:jc w:val="left"/>
            </w:pPr>
            <w:r>
              <w:rPr>
                <w:rFonts w:ascii="Times New Roman" w:hAnsi="Times New Roman" w:eastAsia="宋体"/>
                <w:b w:val="0"/>
                <w:i w:val="0"/>
                <w:color w:val="000000"/>
                <w:sz w:val="17"/>
              </w:rPr>
              <w:t>SMC</w:t>
            </w:r>
          </w:p>
        </w:tc>
        <w:tc>
          <w:tcPr>
            <w:tcW w:type="dxa" w:w="1368"/>
          </w:tcPr>
          <w:p>
            <w:pPr>
              <w:spacing w:line="276" w:lineRule="auto"/>
              <w:jc w:val="center"/>
            </w:pPr>
            <w:r>
              <w:rPr>
                <w:rFonts w:ascii="Times New Roman" w:hAnsi="Times New Roman" w:eastAsia="宋体"/>
                <w:b w:val="0"/>
                <w:i w:val="0"/>
                <w:color w:val="000000"/>
                <w:sz w:val="17"/>
              </w:rPr>
              <w:t>0.162</w:t>
            </w:r>
          </w:p>
        </w:tc>
        <w:tc>
          <w:tcPr>
            <w:tcW w:type="dxa" w:w="1368"/>
          </w:tcPr>
          <w:p>
            <w:pPr>
              <w:spacing w:line="276" w:lineRule="auto"/>
              <w:jc w:val="center"/>
            </w:pPr>
            <w:r>
              <w:rPr>
                <w:rFonts w:ascii="Times New Roman" w:hAnsi="Times New Roman" w:eastAsia="宋体"/>
                <w:b w:val="0"/>
                <w:i w:val="0"/>
                <w:color w:val="000000"/>
                <w:sz w:val="17"/>
              </w:rPr>
              <w:t>0.248</w:t>
            </w:r>
          </w:p>
        </w:tc>
        <w:tc>
          <w:tcPr>
            <w:tcW w:type="dxa" w:w="1584"/>
          </w:tcPr>
          <w:p>
            <w:pPr>
              <w:spacing w:line="276" w:lineRule="auto"/>
              <w:jc w:val="center"/>
            </w:pPr>
            <w:r>
              <w:rPr>
                <w:rFonts w:ascii="Times New Roman" w:hAnsi="Times New Roman" w:eastAsia="宋体"/>
                <w:b w:val="0"/>
                <w:i w:val="0"/>
                <w:color w:val="000000"/>
                <w:sz w:val="17"/>
              </w:rPr>
              <w:t>0.601</w:t>
            </w:r>
          </w:p>
        </w:tc>
        <w:tc>
          <w:tcPr>
            <w:tcW w:type="dxa" w:w="1368"/>
          </w:tcPr>
          <w:p>
            <w:pPr>
              <w:spacing w:line="276" w:lineRule="auto"/>
              <w:jc w:val="center"/>
            </w:pPr>
            <w:r>
              <w:rPr>
                <w:rFonts w:ascii="Times New Roman" w:hAnsi="Times New Roman" w:eastAsia="宋体"/>
                <w:b w:val="0"/>
                <w:i w:val="0"/>
                <w:color w:val="000000"/>
                <w:sz w:val="17"/>
              </w:rPr>
              <w:t>10.65</w:t>
            </w:r>
          </w:p>
        </w:tc>
        <w:tc>
          <w:tcPr>
            <w:tcW w:type="dxa" w:w="1296"/>
          </w:tcPr>
          <w:p>
            <w:pPr>
              <w:spacing w:line="276" w:lineRule="auto"/>
              <w:jc w:val="center"/>
            </w:pPr>
            <w:r>
              <w:rPr>
                <w:rFonts w:ascii="Times New Roman" w:hAnsi="Times New Roman" w:eastAsia="宋体"/>
                <w:b w:val="0"/>
                <w:i w:val="0"/>
                <w:color w:val="000000"/>
                <w:sz w:val="17"/>
              </w:rPr>
              <w:t>0.69</w:t>
            </w:r>
          </w:p>
        </w:tc>
        <w:tc>
          <w:tcPr>
            <w:tcW w:type="dxa" w:w="1224"/>
          </w:tcPr>
          <w:p>
            <w:pPr>
              <w:spacing w:line="276" w:lineRule="auto"/>
              <w:jc w:val="center"/>
            </w:pPr>
            <w:r>
              <w:rPr>
                <w:rFonts w:ascii="Times New Roman" w:hAnsi="Times New Roman" w:eastAsia="宋体"/>
                <w:b w:val="0"/>
                <w:i w:val="0"/>
                <w:color w:val="000000"/>
                <w:sz w:val="17"/>
              </w:rPr>
              <w:t>0.00</w:t>
            </w:r>
          </w:p>
        </w:tc>
      </w:tr>
      <w:tr>
        <w:tc>
          <w:tcPr>
            <w:tcW w:type="dxa" w:w="2160"/>
          </w:tcPr>
          <w:p>
            <w:pPr>
              <w:spacing w:line="276" w:lineRule="auto"/>
              <w:jc w:val="left"/>
            </w:pPr>
            <w:r>
              <w:rPr>
                <w:rFonts w:ascii="Times New Roman" w:hAnsi="Times New Roman" w:eastAsia="宋体"/>
                <w:b w:val="0"/>
                <w:i w:val="0"/>
                <w:color w:val="000000"/>
                <w:sz w:val="17"/>
              </w:rPr>
              <w:t>MPC</w:t>
            </w:r>
          </w:p>
        </w:tc>
        <w:tc>
          <w:tcPr>
            <w:tcW w:type="dxa" w:w="1368"/>
          </w:tcPr>
          <w:p>
            <w:pPr>
              <w:spacing w:line="276" w:lineRule="auto"/>
              <w:jc w:val="center"/>
            </w:pPr>
            <w:r>
              <w:rPr>
                <w:rFonts w:ascii="Times New Roman" w:hAnsi="Times New Roman" w:eastAsia="宋体"/>
                <w:b w:val="0"/>
                <w:i w:val="0"/>
                <w:color w:val="000000"/>
                <w:sz w:val="17"/>
              </w:rPr>
              <w:t>0.071</w:t>
            </w:r>
          </w:p>
        </w:tc>
        <w:tc>
          <w:tcPr>
            <w:tcW w:type="dxa" w:w="1368"/>
          </w:tcPr>
          <w:p>
            <w:pPr>
              <w:spacing w:line="276" w:lineRule="auto"/>
              <w:jc w:val="center"/>
            </w:pPr>
            <w:r>
              <w:rPr>
                <w:rFonts w:ascii="Times New Roman" w:hAnsi="Times New Roman" w:eastAsia="宋体"/>
                <w:b w:val="0"/>
                <w:i w:val="0"/>
                <w:color w:val="000000"/>
                <w:sz w:val="17"/>
              </w:rPr>
              <w:t>0.221</w:t>
            </w:r>
          </w:p>
        </w:tc>
        <w:tc>
          <w:tcPr>
            <w:tcW w:type="dxa" w:w="1584"/>
          </w:tcPr>
          <w:p>
            <w:pPr>
              <w:spacing w:line="276" w:lineRule="auto"/>
              <w:jc w:val="center"/>
            </w:pPr>
            <w:r>
              <w:rPr>
                <w:rFonts w:ascii="Times New Roman" w:hAnsi="Times New Roman" w:eastAsia="宋体"/>
                <w:b w:val="0"/>
                <w:i w:val="0"/>
                <w:color w:val="000000"/>
                <w:sz w:val="17"/>
              </w:rPr>
              <w:t>0.575</w:t>
            </w:r>
          </w:p>
        </w:tc>
        <w:tc>
          <w:tcPr>
            <w:tcW w:type="dxa" w:w="1368"/>
          </w:tcPr>
          <w:p>
            <w:pPr>
              <w:spacing w:line="276" w:lineRule="auto"/>
              <w:jc w:val="center"/>
            </w:pPr>
            <w:r>
              <w:rPr>
                <w:rFonts w:ascii="Times New Roman" w:hAnsi="Times New Roman" w:eastAsia="宋体"/>
                <w:b w:val="0"/>
                <w:i w:val="0"/>
                <w:color w:val="000000"/>
                <w:sz w:val="17"/>
              </w:rPr>
              <w:t>9.46</w:t>
            </w:r>
          </w:p>
        </w:tc>
        <w:tc>
          <w:tcPr>
            <w:tcW w:type="dxa" w:w="1296"/>
          </w:tcPr>
          <w:p>
            <w:pPr>
              <w:spacing w:line="276" w:lineRule="auto"/>
              <w:jc w:val="center"/>
            </w:pPr>
            <w:r>
              <w:rPr>
                <w:rFonts w:ascii="Times New Roman" w:hAnsi="Times New Roman" w:eastAsia="宋体"/>
                <w:b w:val="0"/>
                <w:i w:val="0"/>
                <w:color w:val="000000"/>
                <w:sz w:val="17"/>
              </w:rPr>
              <w:t>0.69</w:t>
            </w:r>
          </w:p>
        </w:tc>
        <w:tc>
          <w:tcPr>
            <w:tcW w:type="dxa" w:w="1224"/>
          </w:tcPr>
          <w:p>
            <w:pPr>
              <w:spacing w:line="276" w:lineRule="auto"/>
              <w:jc w:val="center"/>
            </w:pPr>
            <w:r>
              <w:rPr>
                <w:rFonts w:ascii="Times New Roman" w:hAnsi="Times New Roman" w:eastAsia="宋体"/>
                <w:b w:val="0"/>
                <w:i w:val="0"/>
                <w:color w:val="000000"/>
                <w:sz w:val="17"/>
              </w:rPr>
              <w:t>1.00</w:t>
            </w:r>
          </w:p>
        </w:tc>
      </w:tr>
      <w:tr>
        <w:tc>
          <w:tcPr>
            <w:tcW w:type="dxa" w:w="2160"/>
          </w:tcPr>
          <w:p>
            <w:pPr>
              <w:spacing w:line="276" w:lineRule="auto"/>
              <w:jc w:val="left"/>
            </w:pPr>
            <w:r>
              <w:rPr>
                <w:rFonts w:ascii="Times New Roman" w:hAnsi="Times New Roman" w:eastAsia="宋体"/>
                <w:b w:val="0"/>
                <w:i w:val="0"/>
                <w:color w:val="000000"/>
                <w:sz w:val="17"/>
              </w:rPr>
              <w:t>固定混合 α=0.5</w:t>
            </w:r>
          </w:p>
        </w:tc>
        <w:tc>
          <w:tcPr>
            <w:tcW w:type="dxa" w:w="1368"/>
          </w:tcPr>
          <w:p>
            <w:pPr>
              <w:spacing w:line="276" w:lineRule="auto"/>
              <w:jc w:val="center"/>
            </w:pPr>
            <w:r>
              <w:rPr>
                <w:rFonts w:ascii="Times New Roman" w:hAnsi="Times New Roman" w:eastAsia="宋体"/>
                <w:b w:val="0"/>
                <w:i w:val="0"/>
                <w:color w:val="000000"/>
                <w:sz w:val="17"/>
              </w:rPr>
              <w:t>0.066</w:t>
            </w:r>
          </w:p>
        </w:tc>
        <w:tc>
          <w:tcPr>
            <w:tcW w:type="dxa" w:w="1368"/>
          </w:tcPr>
          <w:p>
            <w:pPr>
              <w:spacing w:line="276" w:lineRule="auto"/>
              <w:jc w:val="center"/>
            </w:pPr>
            <w:r>
              <w:rPr>
                <w:rFonts w:ascii="Times New Roman" w:hAnsi="Times New Roman" w:eastAsia="宋体"/>
                <w:b w:val="0"/>
                <w:i w:val="0"/>
                <w:color w:val="000000"/>
                <w:sz w:val="17"/>
              </w:rPr>
              <w:t>0.120</w:t>
            </w:r>
          </w:p>
        </w:tc>
        <w:tc>
          <w:tcPr>
            <w:tcW w:type="dxa" w:w="1584"/>
          </w:tcPr>
          <w:p>
            <w:pPr>
              <w:spacing w:line="276" w:lineRule="auto"/>
              <w:jc w:val="center"/>
            </w:pPr>
            <w:r>
              <w:rPr>
                <w:rFonts w:ascii="Times New Roman" w:hAnsi="Times New Roman" w:eastAsia="宋体"/>
                <w:b w:val="0"/>
                <w:i w:val="0"/>
                <w:color w:val="000000"/>
                <w:sz w:val="17"/>
              </w:rPr>
              <w:t>0.412</w:t>
            </w:r>
          </w:p>
        </w:tc>
        <w:tc>
          <w:tcPr>
            <w:tcW w:type="dxa" w:w="1368"/>
          </w:tcPr>
          <w:p>
            <w:pPr>
              <w:spacing w:line="276" w:lineRule="auto"/>
              <w:jc w:val="center"/>
            </w:pPr>
            <w:r>
              <w:rPr>
                <w:rFonts w:ascii="Times New Roman" w:hAnsi="Times New Roman" w:eastAsia="宋体"/>
                <w:b w:val="0"/>
                <w:i w:val="0"/>
                <w:color w:val="000000"/>
                <w:sz w:val="17"/>
              </w:rPr>
              <w:t>8.66</w:t>
            </w:r>
          </w:p>
        </w:tc>
        <w:tc>
          <w:tcPr>
            <w:tcW w:type="dxa" w:w="1296"/>
          </w:tcPr>
          <w:p>
            <w:pPr>
              <w:spacing w:line="276" w:lineRule="auto"/>
              <w:jc w:val="center"/>
            </w:pPr>
            <w:r>
              <w:rPr>
                <w:rFonts w:ascii="Times New Roman" w:hAnsi="Times New Roman" w:eastAsia="宋体"/>
                <w:b w:val="0"/>
                <w:i w:val="0"/>
                <w:color w:val="000000"/>
                <w:sz w:val="17"/>
              </w:rPr>
              <w:t>0.69</w:t>
            </w:r>
          </w:p>
        </w:tc>
        <w:tc>
          <w:tcPr>
            <w:tcW w:type="dxa" w:w="1224"/>
          </w:tcPr>
          <w:p>
            <w:pPr>
              <w:spacing w:line="276" w:lineRule="auto"/>
              <w:jc w:val="center"/>
            </w:pPr>
            <w:r>
              <w:rPr>
                <w:rFonts w:ascii="Times New Roman" w:hAnsi="Times New Roman" w:eastAsia="宋体"/>
                <w:b w:val="0"/>
                <w:i w:val="0"/>
                <w:color w:val="000000"/>
                <w:sz w:val="17"/>
              </w:rPr>
              <w:t>0.59</w:t>
            </w:r>
          </w:p>
        </w:tc>
      </w:tr>
      <w:tr>
        <w:tc>
          <w:tcPr>
            <w:tcW w:type="dxa" w:w="2160"/>
          </w:tcPr>
          <w:p>
            <w:pPr>
              <w:spacing w:line="276" w:lineRule="auto"/>
              <w:jc w:val="left"/>
            </w:pPr>
            <w:r>
              <w:rPr>
                <w:rFonts w:ascii="Times New Roman" w:hAnsi="Times New Roman" w:eastAsia="宋体"/>
                <w:b w:val="0"/>
                <w:i w:val="0"/>
                <w:color w:val="000000"/>
                <w:sz w:val="17"/>
              </w:rPr>
              <w:t>SSPO</w:t>
            </w:r>
          </w:p>
        </w:tc>
        <w:tc>
          <w:tcPr>
            <w:tcW w:type="dxa" w:w="1368"/>
          </w:tcPr>
          <w:p>
            <w:pPr>
              <w:spacing w:line="276" w:lineRule="auto"/>
              <w:jc w:val="center"/>
            </w:pPr>
            <w:r>
              <w:rPr>
                <w:rFonts w:ascii="Times New Roman" w:hAnsi="Times New Roman" w:eastAsia="宋体"/>
                <w:b w:val="0"/>
                <w:i w:val="0"/>
                <w:color w:val="000000"/>
                <w:sz w:val="17"/>
              </w:rPr>
              <w:t>0.062</w:t>
            </w:r>
          </w:p>
        </w:tc>
        <w:tc>
          <w:tcPr>
            <w:tcW w:type="dxa" w:w="1368"/>
          </w:tcPr>
          <w:p>
            <w:pPr>
              <w:spacing w:line="276" w:lineRule="auto"/>
              <w:jc w:val="center"/>
            </w:pPr>
            <w:r>
              <w:rPr>
                <w:rFonts w:ascii="Times New Roman" w:hAnsi="Times New Roman" w:eastAsia="宋体"/>
                <w:b w:val="0"/>
                <w:i w:val="0"/>
                <w:color w:val="000000"/>
                <w:sz w:val="17"/>
              </w:rPr>
              <w:t>0.136</w:t>
            </w:r>
          </w:p>
        </w:tc>
        <w:tc>
          <w:tcPr>
            <w:tcW w:type="dxa" w:w="1584"/>
          </w:tcPr>
          <w:p>
            <w:pPr>
              <w:spacing w:line="276" w:lineRule="auto"/>
              <w:jc w:val="center"/>
            </w:pPr>
            <w:r>
              <w:rPr>
                <w:rFonts w:ascii="Times New Roman" w:hAnsi="Times New Roman" w:eastAsia="宋体"/>
                <w:b w:val="0"/>
                <w:i w:val="0"/>
                <w:color w:val="000000"/>
                <w:sz w:val="17"/>
              </w:rPr>
              <w:t>0.448</w:t>
            </w:r>
          </w:p>
        </w:tc>
        <w:tc>
          <w:tcPr>
            <w:tcW w:type="dxa" w:w="1368"/>
          </w:tcPr>
          <w:p>
            <w:pPr>
              <w:spacing w:line="276" w:lineRule="auto"/>
              <w:jc w:val="center"/>
            </w:pPr>
            <w:r>
              <w:rPr>
                <w:rFonts w:ascii="Times New Roman" w:hAnsi="Times New Roman" w:eastAsia="宋体"/>
                <w:b w:val="0"/>
                <w:i w:val="0"/>
                <w:color w:val="000000"/>
                <w:sz w:val="17"/>
              </w:rPr>
              <w:t>9.11</w:t>
            </w:r>
          </w:p>
        </w:tc>
        <w:tc>
          <w:tcPr>
            <w:tcW w:type="dxa" w:w="1296"/>
          </w:tcPr>
          <w:p>
            <w:pPr>
              <w:spacing w:line="276" w:lineRule="auto"/>
              <w:jc w:val="center"/>
            </w:pPr>
            <w:r>
              <w:rPr>
                <w:rFonts w:ascii="Times New Roman" w:hAnsi="Times New Roman" w:eastAsia="宋体"/>
                <w:b w:val="0"/>
                <w:i w:val="0"/>
                <w:color w:val="000000"/>
                <w:sz w:val="17"/>
              </w:rPr>
              <w:t>0.69</w:t>
            </w:r>
          </w:p>
        </w:tc>
        <w:tc>
          <w:tcPr>
            <w:tcW w:type="dxa" w:w="1224"/>
          </w:tcPr>
          <w:p>
            <w:pPr>
              <w:spacing w:line="276" w:lineRule="auto"/>
              <w:jc w:val="center"/>
            </w:pPr>
            <w:r>
              <w:rPr>
                <w:rFonts w:ascii="Times New Roman" w:hAnsi="Times New Roman" w:eastAsia="宋体"/>
                <w:b w:val="0"/>
                <w:i w:val="0"/>
                <w:color w:val="000000"/>
                <w:sz w:val="17"/>
              </w:rPr>
              <w:t>0.87</w:t>
            </w:r>
          </w:p>
        </w:tc>
      </w:tr>
      <w:tr>
        <w:tc>
          <w:tcPr>
            <w:tcW w:type="dxa" w:w="2160"/>
          </w:tcPr>
          <w:p>
            <w:pPr>
              <w:spacing w:line="276" w:lineRule="auto"/>
              <w:jc w:val="left"/>
            </w:pPr>
            <w:r>
              <w:rPr>
                <w:rFonts w:ascii="Times New Roman" w:hAnsi="Times New Roman" w:eastAsia="宋体"/>
                <w:b w:val="0"/>
                <w:i w:val="0"/>
                <w:color w:val="000000"/>
                <w:sz w:val="17"/>
              </w:rPr>
              <w:t>监督 PAC</w:t>
            </w:r>
          </w:p>
        </w:tc>
        <w:tc>
          <w:tcPr>
            <w:tcW w:type="dxa" w:w="1368"/>
          </w:tcPr>
          <w:p>
            <w:pPr>
              <w:spacing w:line="276" w:lineRule="auto"/>
              <w:jc w:val="center"/>
            </w:pPr>
            <w:r>
              <w:rPr>
                <w:rFonts w:ascii="Times New Roman" w:hAnsi="Times New Roman" w:eastAsia="宋体"/>
                <w:b w:val="0"/>
                <w:i w:val="0"/>
                <w:color w:val="000000"/>
                <w:sz w:val="17"/>
              </w:rPr>
              <w:t>0.064</w:t>
            </w:r>
          </w:p>
        </w:tc>
        <w:tc>
          <w:tcPr>
            <w:tcW w:type="dxa" w:w="1368"/>
          </w:tcPr>
          <w:p>
            <w:pPr>
              <w:spacing w:line="276" w:lineRule="auto"/>
              <w:jc w:val="center"/>
            </w:pPr>
            <w:r>
              <w:rPr>
                <w:rFonts w:ascii="Times New Roman" w:hAnsi="Times New Roman" w:eastAsia="宋体"/>
                <w:b w:val="0"/>
                <w:i w:val="0"/>
                <w:color w:val="000000"/>
                <w:sz w:val="17"/>
              </w:rPr>
              <w:t>0.160</w:t>
            </w:r>
          </w:p>
        </w:tc>
        <w:tc>
          <w:tcPr>
            <w:tcW w:type="dxa" w:w="1584"/>
          </w:tcPr>
          <w:p>
            <w:pPr>
              <w:spacing w:line="276" w:lineRule="auto"/>
              <w:jc w:val="center"/>
            </w:pPr>
            <w:r>
              <w:rPr>
                <w:rFonts w:ascii="Times New Roman" w:hAnsi="Times New Roman" w:eastAsia="宋体"/>
                <w:b w:val="0"/>
                <w:i w:val="0"/>
                <w:color w:val="000000"/>
                <w:sz w:val="17"/>
              </w:rPr>
              <w:t>0.495</w:t>
            </w:r>
          </w:p>
        </w:tc>
        <w:tc>
          <w:tcPr>
            <w:tcW w:type="dxa" w:w="1368"/>
          </w:tcPr>
          <w:p>
            <w:pPr>
              <w:spacing w:line="276" w:lineRule="auto"/>
              <w:jc w:val="center"/>
            </w:pPr>
            <w:r>
              <w:rPr>
                <w:rFonts w:ascii="Times New Roman" w:hAnsi="Times New Roman" w:eastAsia="宋体"/>
                <w:b w:val="0"/>
                <w:i w:val="0"/>
                <w:color w:val="000000"/>
                <w:sz w:val="17"/>
              </w:rPr>
              <w:t>9.20</w:t>
            </w:r>
          </w:p>
        </w:tc>
        <w:tc>
          <w:tcPr>
            <w:tcW w:type="dxa" w:w="1296"/>
          </w:tcPr>
          <w:p>
            <w:pPr>
              <w:spacing w:line="276" w:lineRule="auto"/>
              <w:jc w:val="center"/>
            </w:pPr>
            <w:r>
              <w:rPr>
                <w:rFonts w:ascii="Times New Roman" w:hAnsi="Times New Roman" w:eastAsia="宋体"/>
                <w:b w:val="0"/>
                <w:i w:val="0"/>
                <w:color w:val="000000"/>
                <w:sz w:val="17"/>
              </w:rPr>
              <w:t>0.69</w:t>
            </w:r>
          </w:p>
        </w:tc>
        <w:tc>
          <w:tcPr>
            <w:tcW w:type="dxa" w:w="1224"/>
          </w:tcPr>
          <w:p>
            <w:pPr>
              <w:spacing w:line="276" w:lineRule="auto"/>
              <w:jc w:val="center"/>
            </w:pPr>
            <w:r>
              <w:rPr>
                <w:rFonts w:ascii="Times New Roman" w:hAnsi="Times New Roman" w:eastAsia="宋体"/>
                <w:b w:val="0"/>
                <w:i w:val="0"/>
                <w:color w:val="000000"/>
                <w:sz w:val="17"/>
              </w:rPr>
              <w:t>0.82</w:t>
            </w:r>
          </w:p>
        </w:tc>
      </w:tr>
      <w:tr>
        <w:tc>
          <w:tcPr>
            <w:tcW w:type="dxa" w:w="2160"/>
          </w:tcPr>
          <w:p>
            <w:pPr>
              <w:spacing w:line="276" w:lineRule="auto"/>
              <w:jc w:val="left"/>
            </w:pPr>
            <w:r>
              <w:rPr>
                <w:rFonts w:ascii="Times New Roman" w:hAnsi="Times New Roman" w:eastAsia="宋体"/>
                <w:b w:val="0"/>
                <w:i w:val="0"/>
                <w:color w:val="000000"/>
                <w:sz w:val="17"/>
              </w:rPr>
              <w:t>残差 PAC</w:t>
            </w:r>
          </w:p>
        </w:tc>
        <w:tc>
          <w:tcPr>
            <w:tcW w:type="dxa" w:w="1368"/>
          </w:tcPr>
          <w:p>
            <w:pPr>
              <w:spacing w:line="276" w:lineRule="auto"/>
              <w:jc w:val="center"/>
            </w:pPr>
            <w:r>
              <w:rPr>
                <w:rFonts w:ascii="Times New Roman" w:hAnsi="Times New Roman" w:eastAsia="宋体"/>
                <w:b w:val="0"/>
                <w:i w:val="0"/>
                <w:color w:val="000000"/>
                <w:sz w:val="17"/>
              </w:rPr>
              <w:t>0.066</w:t>
            </w:r>
          </w:p>
        </w:tc>
        <w:tc>
          <w:tcPr>
            <w:tcW w:type="dxa" w:w="1368"/>
          </w:tcPr>
          <w:p>
            <w:pPr>
              <w:spacing w:line="276" w:lineRule="auto"/>
              <w:jc w:val="center"/>
            </w:pPr>
            <w:r>
              <w:rPr>
                <w:rFonts w:ascii="Times New Roman" w:hAnsi="Times New Roman" w:eastAsia="宋体"/>
                <w:b w:val="0"/>
                <w:i w:val="0"/>
                <w:color w:val="000000"/>
                <w:sz w:val="17"/>
              </w:rPr>
              <w:t>0.116</w:t>
            </w:r>
          </w:p>
        </w:tc>
        <w:tc>
          <w:tcPr>
            <w:tcW w:type="dxa" w:w="1584"/>
          </w:tcPr>
          <w:p>
            <w:pPr>
              <w:spacing w:line="276" w:lineRule="auto"/>
              <w:jc w:val="center"/>
            </w:pPr>
            <w:r>
              <w:rPr>
                <w:rFonts w:ascii="Times New Roman" w:hAnsi="Times New Roman" w:eastAsia="宋体"/>
                <w:b w:val="0"/>
                <w:i w:val="0"/>
                <w:color w:val="000000"/>
                <w:sz w:val="17"/>
              </w:rPr>
              <w:t>0.414</w:t>
            </w:r>
          </w:p>
        </w:tc>
        <w:tc>
          <w:tcPr>
            <w:tcW w:type="dxa" w:w="1368"/>
          </w:tcPr>
          <w:p>
            <w:pPr>
              <w:spacing w:line="276" w:lineRule="auto"/>
              <w:jc w:val="center"/>
            </w:pPr>
            <w:r>
              <w:rPr>
                <w:rFonts w:ascii="Times New Roman" w:hAnsi="Times New Roman" w:eastAsia="宋体"/>
                <w:b w:val="0"/>
                <w:i w:val="0"/>
                <w:color w:val="000000"/>
                <w:sz w:val="17"/>
              </w:rPr>
              <w:t>8.46</w:t>
            </w:r>
          </w:p>
        </w:tc>
        <w:tc>
          <w:tcPr>
            <w:tcW w:type="dxa" w:w="1296"/>
          </w:tcPr>
          <w:p>
            <w:pPr>
              <w:spacing w:line="276" w:lineRule="auto"/>
              <w:jc w:val="center"/>
            </w:pPr>
            <w:r>
              <w:rPr>
                <w:rFonts w:ascii="Times New Roman" w:hAnsi="Times New Roman" w:eastAsia="宋体"/>
                <w:b w:val="0"/>
                <w:i w:val="0"/>
                <w:color w:val="000000"/>
                <w:sz w:val="17"/>
              </w:rPr>
              <w:t>0.80</w:t>
            </w:r>
          </w:p>
        </w:tc>
        <w:tc>
          <w:tcPr>
            <w:tcW w:type="dxa" w:w="1224"/>
          </w:tcPr>
          <w:p>
            <w:pPr>
              <w:spacing w:line="276" w:lineRule="auto"/>
              <w:jc w:val="center"/>
            </w:pPr>
            <w:r>
              <w:rPr>
                <w:rFonts w:ascii="Times New Roman" w:hAnsi="Times New Roman" w:eastAsia="宋体"/>
                <w:b w:val="0"/>
                <w:i w:val="0"/>
                <w:color w:val="000000"/>
                <w:sz w:val="17"/>
              </w:rPr>
              <w:t>0.54</w:t>
            </w:r>
          </w:p>
        </w:tc>
      </w:tr>
    </w:tbl>
    <w:p>
      <w:pPr>
        <w:spacing w:after="40"/>
      </w:pPr>
    </w:p>
    <w:p>
      <w:pPr>
        <w:spacing w:line="312" w:lineRule="auto" w:before="200" w:after="80"/>
      </w:pPr>
      <w:r>
        <w:rPr>
          <w:rFonts w:ascii="Times New Roman" w:hAnsi="Times New Roman" w:eastAsia="黑体"/>
          <w:b/>
          <w:i w:val="0"/>
          <w:color w:val="000000"/>
          <w:sz w:val="23"/>
        </w:rPr>
        <w:t>6.2  残差的价值在哪里</w:t>
      </w:r>
    </w:p>
    <w:p>
      <w:pPr>
        <w:spacing w:line="312" w:lineRule="auto" w:after="120"/>
        <w:ind w:firstLine="420"/>
        <w:jc w:val="both"/>
      </w:pPr>
      <w:r>
        <w:rPr>
          <w:rFonts w:ascii="Times New Roman" w:hAnsi="Times New Roman" w:eastAsia="宋体"/>
          <w:b w:val="0"/>
          <w:i w:val="0"/>
          <w:color w:val="000000"/>
          <w:sz w:val="21"/>
        </w:rPr>
        <w:t>在 OOD 块上，残差策略将跟踪 RMSE 由 0.161 m（监督）降至 0.116 m。预注册的模型种子级配对效应为 −0.0445 m，自由度 4 的 95% t 区间 [−0.0737, −0.0154] m（相对降低 28%）；35 个 OOD 回合的回合级自助法区间为 [−0.0759, −0.0167] m，与种子级分析一致。最大误差由 0.495 m 降至 0.414 m（五种子均值），OOD 艏向误差改善 0.73°。</w:t>
      </w:r>
    </w:p>
    <w:p>
      <w:pPr>
        <w:spacing w:line="312" w:lineRule="auto" w:after="120"/>
        <w:ind w:firstLine="420"/>
        <w:jc w:val="both"/>
      </w:pPr>
      <w:r>
        <w:rPr>
          <w:rFonts w:ascii="Times New Roman" w:hAnsi="Times New Roman" w:eastAsia="宋体"/>
          <w:b w:val="0"/>
          <w:i w:val="0"/>
          <w:color w:val="000000"/>
          <w:sz w:val="21"/>
        </w:rPr>
        <w:t>表 1 最尖锐的读法对我们不利：固定 α=0.5 的 OOD 误差 0.120 m，与残差策略相差不足 3%。该比较未经预注册，本文不做显著性主张；诚实的概括是——残差方法相对“从不自适应”的总体优势很小，其价值集中在最需要自适应处（执行器退化族较固定混合再降 28%，见表 2）。分布内效应为 +0.0028 m [+0.0009, +0.0047]（+0.4%），分布内艏向误差上升 0.32° [+0.29, +0.35]（+4.3%）。</w:t>
      </w:r>
    </w:p>
    <w:p>
      <w:pPr>
        <w:spacing w:line="312" w:lineRule="auto" w:after="120"/>
        <w:ind w:firstLine="420"/>
        <w:jc w:val="both"/>
      </w:pPr>
      <w:r>
        <w:rPr>
          <w:rFonts w:ascii="Times New Roman" w:hAnsi="Times New Roman" w:eastAsia="宋体"/>
          <w:b w:val="0"/>
          <w:i w:val="0"/>
          <w:color w:val="000000"/>
          <w:sz w:val="21"/>
        </w:rPr>
        <w:t>图 6b 的族分解定位增益，图 6a 的预注册配对效应量化增益。SSPO 对残差策略的比较不在归档的配对效应汇总中，以同一种子级程序由原始回合指标补算：OOD −0.0198 m [−0.0211, −0.0185] 利好残差策略，ID +0.0043 m [+0.0033, +0.0053] 利好 SSPO。</w:t>
      </w:r>
    </w:p>
    <w:p>
      <w:pPr>
        <w:keepNext/>
        <w:spacing w:before="160"/>
        <w:jc w:val="center"/>
      </w:pPr>
      <w:r>
        <w:drawing>
          <wp:inline xmlns:a="http://schemas.openxmlformats.org/drawingml/2006/main" xmlns:pic="http://schemas.openxmlformats.org/drawingml/2006/picture">
            <wp:extent cx="5760720" cy="2939944"/>
            <wp:docPr id="6" name="Picture 6"/>
            <wp:cNvGraphicFramePr>
              <a:graphicFrameLocks noChangeAspect="1"/>
            </wp:cNvGraphicFramePr>
            <a:graphic>
              <a:graphicData uri="http://schemas.openxmlformats.org/drawingml/2006/picture">
                <pic:pic>
                  <pic:nvPicPr>
                    <pic:cNvPr id="0" name="fig4_closed_loop_results.png"/>
                    <pic:cNvPicPr/>
                  </pic:nvPicPr>
                  <pic:blipFill>
                    <a:blip r:embed="rId16"/>
                    <a:stretch>
                      <a:fillRect/>
                    </a:stretch>
                  </pic:blipFill>
                  <pic:spPr>
                    <a:xfrm>
                      <a:off x="0" y="0"/>
                      <a:ext cx="5760720" cy="2939944"/>
                    </a:xfrm>
                    <a:prstGeom prst="rect"/>
                  </pic:spPr>
                </pic:pic>
              </a:graphicData>
            </a:graphic>
          </wp:inline>
        </w:drawing>
      </w:r>
    </w:p>
    <w:p>
      <w:pPr>
        <w:spacing w:after="200"/>
        <w:jc w:val="both"/>
      </w:pPr>
      <w:r>
        <w:rPr>
          <w:rFonts w:ascii="Times New Roman" w:hAnsi="Times New Roman" w:eastAsia="宋体"/>
          <w:b/>
          <w:i w:val="0"/>
          <w:color w:val="000000"/>
          <w:sz w:val="18"/>
        </w:rPr>
        <w:t xml:space="preserve">图 6  </w:t>
      </w:r>
      <w:r>
        <w:rPr>
          <w:rFonts w:ascii="Times New Roman" w:hAnsi="Times New Roman" w:eastAsia="宋体"/>
          <w:b w:val="0"/>
          <w:i w:val="0"/>
          <w:color w:val="000000"/>
          <w:sz w:val="18"/>
        </w:rPr>
        <w:t>预注册配对效应与族分解。(a) RMSE 配对效应与模型种子 t(4) 95% 区间，按块（OOD、ID）分组；残差对监督为归档值，SSPO 对比由原始回合指标补算；实心标记为区间不含零。(b) 各扰动族×方法的 OOD RMSE。增益集中于执行器退化族；温和随机与估计延迟族上监督策略与 SSPO 略优。本面板不支持“全面占优”的解读。</w:t>
      </w:r>
    </w:p>
    <w:p>
      <w:pPr>
        <w:keepNext/>
        <w:spacing w:before="160"/>
        <w:jc w:val="both"/>
      </w:pPr>
      <w:r>
        <w:rPr>
          <w:rFonts w:ascii="Times New Roman" w:hAnsi="Times New Roman" w:eastAsia="宋体"/>
          <w:b/>
          <w:i w:val="0"/>
          <w:color w:val="000000"/>
          <w:sz w:val="18"/>
        </w:rPr>
        <w:t xml:space="preserve">表 2  </w:t>
      </w:r>
      <w:r>
        <w:rPr>
          <w:rFonts w:ascii="Times New Roman" w:hAnsi="Times New Roman" w:eastAsia="宋体"/>
          <w:b/>
          <w:i w:val="0"/>
          <w:color w:val="000000"/>
          <w:sz w:val="18"/>
        </w:rPr>
        <w:t>执行器退化族（响应延迟叠加测量噪声）：配对族均值。</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2448"/>
            <w:shd w:val="clear" w:fill="F2F2F2"/>
          </w:tcPr>
          <w:p>
            <w:pPr>
              <w:spacing w:line="276" w:lineRule="auto"/>
              <w:jc w:val="center"/>
            </w:pPr>
            <w:r>
              <w:rPr>
                <w:rFonts w:ascii="Times New Roman" w:hAnsi="Times New Roman" w:eastAsia="宋体"/>
                <w:b/>
                <w:i w:val="0"/>
                <w:color w:val="000000"/>
                <w:sz w:val="17"/>
              </w:rPr>
              <w:t>方法</w:t>
            </w:r>
          </w:p>
        </w:tc>
        <w:tc>
          <w:tcPr>
            <w:tcW w:type="dxa" w:w="1800"/>
            <w:shd w:val="clear" w:fill="F2F2F2"/>
          </w:tcPr>
          <w:p>
            <w:pPr>
              <w:spacing w:line="276" w:lineRule="auto"/>
              <w:jc w:val="center"/>
            </w:pPr>
            <w:r>
              <w:rPr>
                <w:rFonts w:ascii="Times New Roman" w:hAnsi="Times New Roman" w:eastAsia="宋体"/>
                <w:b/>
                <w:i w:val="0"/>
                <w:color w:val="000000"/>
                <w:sz w:val="17"/>
              </w:rPr>
              <w:t>ID RMSE (m)</w:t>
            </w:r>
          </w:p>
        </w:tc>
        <w:tc>
          <w:tcPr>
            <w:tcW w:type="dxa" w:w="1800"/>
            <w:shd w:val="clear" w:fill="F2F2F2"/>
          </w:tcPr>
          <w:p>
            <w:pPr>
              <w:spacing w:line="276" w:lineRule="auto"/>
              <w:jc w:val="center"/>
            </w:pPr>
            <w:r>
              <w:rPr>
                <w:rFonts w:ascii="Times New Roman" w:hAnsi="Times New Roman" w:eastAsia="宋体"/>
                <w:b/>
                <w:i w:val="0"/>
                <w:color w:val="000000"/>
                <w:sz w:val="17"/>
              </w:rPr>
              <w:t>OOD RMSE (m)</w:t>
            </w:r>
          </w:p>
        </w:tc>
        <w:tc>
          <w:tcPr>
            <w:tcW w:type="dxa" w:w="1584"/>
            <w:shd w:val="clear" w:fill="F2F2F2"/>
          </w:tcPr>
          <w:p>
            <w:pPr>
              <w:spacing w:line="276" w:lineRule="auto"/>
              <w:jc w:val="center"/>
            </w:pPr>
            <w:r>
              <w:rPr>
                <w:rFonts w:ascii="Times New Roman" w:hAnsi="Times New Roman" w:eastAsia="宋体"/>
                <w:b/>
                <w:i w:val="0"/>
                <w:color w:val="000000"/>
                <w:sz w:val="17"/>
              </w:rPr>
              <w:t>相对监督基线</w:t>
            </w:r>
          </w:p>
        </w:tc>
      </w:tr>
      <w:tr>
        <w:tc>
          <w:tcPr>
            <w:tcW w:type="dxa" w:w="2448"/>
          </w:tcPr>
          <w:p>
            <w:pPr>
              <w:spacing w:line="276" w:lineRule="auto"/>
              <w:jc w:val="left"/>
            </w:pPr>
            <w:r>
              <w:rPr>
                <w:rFonts w:ascii="Times New Roman" w:hAnsi="Times New Roman" w:eastAsia="宋体"/>
                <w:b w:val="0"/>
                <w:i w:val="0"/>
                <w:color w:val="000000"/>
                <w:sz w:val="17"/>
              </w:rPr>
              <w:t>SMC</w:t>
            </w:r>
          </w:p>
        </w:tc>
        <w:tc>
          <w:tcPr>
            <w:tcW w:type="dxa" w:w="1800"/>
          </w:tcPr>
          <w:p>
            <w:pPr>
              <w:spacing w:line="276" w:lineRule="auto"/>
              <w:jc w:val="center"/>
            </w:pPr>
            <w:r>
              <w:rPr>
                <w:rFonts w:ascii="Times New Roman" w:hAnsi="Times New Roman" w:eastAsia="宋体"/>
                <w:b w:val="0"/>
                <w:i w:val="0"/>
                <w:color w:val="000000"/>
                <w:sz w:val="17"/>
              </w:rPr>
              <w:t>0.142</w:t>
            </w:r>
          </w:p>
        </w:tc>
        <w:tc>
          <w:tcPr>
            <w:tcW w:type="dxa" w:w="1800"/>
          </w:tcPr>
          <w:p>
            <w:pPr>
              <w:spacing w:line="276" w:lineRule="auto"/>
              <w:jc w:val="center"/>
            </w:pPr>
            <w:r>
              <w:rPr>
                <w:rFonts w:ascii="Times New Roman" w:hAnsi="Times New Roman" w:eastAsia="宋体"/>
                <w:b w:val="0"/>
                <w:i w:val="0"/>
                <w:color w:val="000000"/>
                <w:sz w:val="17"/>
              </w:rPr>
              <w:t>0.156</w:t>
            </w:r>
          </w:p>
        </w:tc>
        <w:tc>
          <w:tcPr>
            <w:tcW w:type="dxa" w:w="1584"/>
          </w:tcPr>
          <w:p>
            <w:pPr>
              <w:spacing w:line="276" w:lineRule="auto"/>
              <w:jc w:val="center"/>
            </w:pPr>
            <w:r>
              <w:rPr>
                <w:rFonts w:ascii="Times New Roman" w:hAnsi="Times New Roman" w:eastAsia="宋体"/>
                <w:b w:val="0"/>
                <w:i w:val="0"/>
                <w:color w:val="000000"/>
                <w:sz w:val="17"/>
              </w:rPr>
              <w:t>-47%</w:t>
            </w:r>
          </w:p>
        </w:tc>
      </w:tr>
      <w:tr>
        <w:tc>
          <w:tcPr>
            <w:tcW w:type="dxa" w:w="2448"/>
          </w:tcPr>
          <w:p>
            <w:pPr>
              <w:spacing w:line="276" w:lineRule="auto"/>
              <w:jc w:val="left"/>
            </w:pPr>
            <w:r>
              <w:rPr>
                <w:rFonts w:ascii="Times New Roman" w:hAnsi="Times New Roman" w:eastAsia="宋体"/>
                <w:b w:val="0"/>
                <w:i w:val="0"/>
                <w:color w:val="000000"/>
                <w:sz w:val="17"/>
              </w:rPr>
              <w:t>MPC</w:t>
            </w:r>
          </w:p>
        </w:tc>
        <w:tc>
          <w:tcPr>
            <w:tcW w:type="dxa" w:w="1800"/>
          </w:tcPr>
          <w:p>
            <w:pPr>
              <w:spacing w:line="276" w:lineRule="auto"/>
              <w:jc w:val="center"/>
            </w:pPr>
            <w:r>
              <w:rPr>
                <w:rFonts w:ascii="Times New Roman" w:hAnsi="Times New Roman" w:eastAsia="宋体"/>
                <w:b w:val="0"/>
                <w:i w:val="0"/>
                <w:color w:val="000000"/>
                <w:sz w:val="17"/>
              </w:rPr>
              <w:t>0.089</w:t>
            </w:r>
          </w:p>
        </w:tc>
        <w:tc>
          <w:tcPr>
            <w:tcW w:type="dxa" w:w="1800"/>
          </w:tcPr>
          <w:p>
            <w:pPr>
              <w:spacing w:line="276" w:lineRule="auto"/>
              <w:jc w:val="center"/>
            </w:pPr>
            <w:r>
              <w:rPr>
                <w:rFonts w:ascii="Times New Roman" w:hAnsi="Times New Roman" w:eastAsia="宋体"/>
                <w:b w:val="0"/>
                <w:i w:val="0"/>
                <w:color w:val="000000"/>
                <w:sz w:val="17"/>
              </w:rPr>
              <w:t>0.822</w:t>
            </w:r>
          </w:p>
        </w:tc>
        <w:tc>
          <w:tcPr>
            <w:tcW w:type="dxa" w:w="1584"/>
          </w:tcPr>
          <w:p>
            <w:pPr>
              <w:spacing w:line="276" w:lineRule="auto"/>
              <w:jc w:val="center"/>
            </w:pPr>
            <w:r>
              <w:rPr>
                <w:rFonts w:ascii="Times New Roman" w:hAnsi="Times New Roman" w:eastAsia="宋体"/>
                <w:b w:val="0"/>
                <w:i w:val="0"/>
                <w:color w:val="000000"/>
                <w:sz w:val="17"/>
              </w:rPr>
              <w:t>+179%</w:t>
            </w:r>
          </w:p>
        </w:tc>
      </w:tr>
      <w:tr>
        <w:tc>
          <w:tcPr>
            <w:tcW w:type="dxa" w:w="2448"/>
          </w:tcPr>
          <w:p>
            <w:pPr>
              <w:spacing w:line="276" w:lineRule="auto"/>
              <w:jc w:val="left"/>
            </w:pPr>
            <w:r>
              <w:rPr>
                <w:rFonts w:ascii="Times New Roman" w:hAnsi="Times New Roman" w:eastAsia="宋体"/>
                <w:b w:val="0"/>
                <w:i w:val="0"/>
                <w:color w:val="000000"/>
                <w:sz w:val="17"/>
              </w:rPr>
              <w:t>固定混合 α=0.5</w:t>
            </w:r>
          </w:p>
        </w:tc>
        <w:tc>
          <w:tcPr>
            <w:tcW w:type="dxa" w:w="1800"/>
          </w:tcPr>
          <w:p>
            <w:pPr>
              <w:spacing w:line="276" w:lineRule="auto"/>
              <w:jc w:val="center"/>
            </w:pPr>
            <w:r>
              <w:rPr>
                <w:rFonts w:ascii="Times New Roman" w:hAnsi="Times New Roman" w:eastAsia="宋体"/>
                <w:b w:val="0"/>
                <w:i w:val="0"/>
                <w:color w:val="000000"/>
                <w:sz w:val="17"/>
              </w:rPr>
              <w:t>0.056</w:t>
            </w:r>
          </w:p>
        </w:tc>
        <w:tc>
          <w:tcPr>
            <w:tcW w:type="dxa" w:w="1800"/>
          </w:tcPr>
          <w:p>
            <w:pPr>
              <w:spacing w:line="276" w:lineRule="auto"/>
              <w:jc w:val="center"/>
            </w:pPr>
            <w:r>
              <w:rPr>
                <w:rFonts w:ascii="Times New Roman" w:hAnsi="Times New Roman" w:eastAsia="宋体"/>
                <w:b w:val="0"/>
                <w:i w:val="0"/>
                <w:color w:val="000000"/>
                <w:sz w:val="17"/>
              </w:rPr>
              <w:t>0.125</w:t>
            </w:r>
          </w:p>
        </w:tc>
        <w:tc>
          <w:tcPr>
            <w:tcW w:type="dxa" w:w="1584"/>
          </w:tcPr>
          <w:p>
            <w:pPr>
              <w:spacing w:line="276" w:lineRule="auto"/>
              <w:jc w:val="center"/>
            </w:pPr>
            <w:r>
              <w:rPr>
                <w:rFonts w:ascii="Times New Roman" w:hAnsi="Times New Roman" w:eastAsia="宋体"/>
                <w:b w:val="0"/>
                <w:i w:val="0"/>
                <w:color w:val="000000"/>
                <w:sz w:val="17"/>
              </w:rPr>
              <w:t>-58%</w:t>
            </w:r>
          </w:p>
        </w:tc>
      </w:tr>
      <w:tr>
        <w:tc>
          <w:tcPr>
            <w:tcW w:type="dxa" w:w="2448"/>
          </w:tcPr>
          <w:p>
            <w:pPr>
              <w:spacing w:line="276" w:lineRule="auto"/>
              <w:jc w:val="left"/>
            </w:pPr>
            <w:r>
              <w:rPr>
                <w:rFonts w:ascii="Times New Roman" w:hAnsi="Times New Roman" w:eastAsia="宋体"/>
                <w:b w:val="0"/>
                <w:i w:val="0"/>
                <w:color w:val="000000"/>
                <w:sz w:val="17"/>
              </w:rPr>
              <w:t>SSPO</w:t>
            </w:r>
          </w:p>
        </w:tc>
        <w:tc>
          <w:tcPr>
            <w:tcW w:type="dxa" w:w="1800"/>
          </w:tcPr>
          <w:p>
            <w:pPr>
              <w:spacing w:line="276" w:lineRule="auto"/>
              <w:jc w:val="center"/>
            </w:pPr>
            <w:r>
              <w:rPr>
                <w:rFonts w:ascii="Times New Roman" w:hAnsi="Times New Roman" w:eastAsia="宋体"/>
                <w:b w:val="0"/>
                <w:i w:val="0"/>
                <w:color w:val="000000"/>
                <w:sz w:val="17"/>
              </w:rPr>
              <w:t>0.074</w:t>
            </w:r>
          </w:p>
        </w:tc>
        <w:tc>
          <w:tcPr>
            <w:tcW w:type="dxa" w:w="1800"/>
          </w:tcPr>
          <w:p>
            <w:pPr>
              <w:spacing w:line="276" w:lineRule="auto"/>
              <w:jc w:val="center"/>
            </w:pPr>
            <w:r>
              <w:rPr>
                <w:rFonts w:ascii="Times New Roman" w:hAnsi="Times New Roman" w:eastAsia="宋体"/>
                <w:b w:val="0"/>
                <w:i w:val="0"/>
                <w:color w:val="000000"/>
                <w:sz w:val="17"/>
              </w:rPr>
              <w:t>0.252</w:t>
            </w:r>
          </w:p>
        </w:tc>
        <w:tc>
          <w:tcPr>
            <w:tcW w:type="dxa" w:w="1584"/>
          </w:tcPr>
          <w:p>
            <w:pPr>
              <w:spacing w:line="276" w:lineRule="auto"/>
              <w:jc w:val="center"/>
            </w:pPr>
            <w:r>
              <w:rPr>
                <w:rFonts w:ascii="Times New Roman" w:hAnsi="Times New Roman" w:eastAsia="宋体"/>
                <w:b w:val="0"/>
                <w:i w:val="0"/>
                <w:color w:val="000000"/>
                <w:sz w:val="17"/>
              </w:rPr>
              <w:t>-15%</w:t>
            </w:r>
          </w:p>
        </w:tc>
      </w:tr>
      <w:tr>
        <w:tc>
          <w:tcPr>
            <w:tcW w:type="dxa" w:w="2448"/>
          </w:tcPr>
          <w:p>
            <w:pPr>
              <w:spacing w:line="276" w:lineRule="auto"/>
              <w:jc w:val="left"/>
            </w:pPr>
            <w:r>
              <w:rPr>
                <w:rFonts w:ascii="Times New Roman" w:hAnsi="Times New Roman" w:eastAsia="宋体"/>
                <w:b w:val="0"/>
                <w:i w:val="0"/>
                <w:color w:val="000000"/>
                <w:sz w:val="17"/>
              </w:rPr>
              <w:t>监督 PAC</w:t>
            </w:r>
          </w:p>
        </w:tc>
        <w:tc>
          <w:tcPr>
            <w:tcW w:type="dxa" w:w="1800"/>
          </w:tcPr>
          <w:p>
            <w:pPr>
              <w:spacing w:line="276" w:lineRule="auto"/>
              <w:jc w:val="center"/>
            </w:pPr>
            <w:r>
              <w:rPr>
                <w:rFonts w:ascii="Times New Roman" w:hAnsi="Times New Roman" w:eastAsia="宋体"/>
                <w:b w:val="0"/>
                <w:i w:val="0"/>
                <w:color w:val="000000"/>
                <w:sz w:val="17"/>
              </w:rPr>
              <w:t>0.069</w:t>
            </w:r>
          </w:p>
        </w:tc>
        <w:tc>
          <w:tcPr>
            <w:tcW w:type="dxa" w:w="1800"/>
          </w:tcPr>
          <w:p>
            <w:pPr>
              <w:spacing w:line="276" w:lineRule="auto"/>
              <w:jc w:val="center"/>
            </w:pPr>
            <w:r>
              <w:rPr>
                <w:rFonts w:ascii="Times New Roman" w:hAnsi="Times New Roman" w:eastAsia="宋体"/>
                <w:b w:val="0"/>
                <w:i w:val="0"/>
                <w:color w:val="000000"/>
                <w:sz w:val="17"/>
              </w:rPr>
              <w:t>0.295</w:t>
            </w:r>
          </w:p>
        </w:tc>
        <w:tc>
          <w:tcPr>
            <w:tcW w:type="dxa" w:w="1584"/>
          </w:tcPr>
          <w:p>
            <w:pPr>
              <w:spacing w:line="276" w:lineRule="auto"/>
              <w:jc w:val="center"/>
            </w:pPr>
            <w:r>
              <w:rPr>
                <w:rFonts w:ascii="Times New Roman" w:hAnsi="Times New Roman" w:eastAsia="宋体"/>
                <w:b w:val="0"/>
                <w:i w:val="0"/>
                <w:color w:val="000000"/>
                <w:sz w:val="17"/>
              </w:rPr>
              <w:t>—</w:t>
            </w:r>
          </w:p>
        </w:tc>
      </w:tr>
      <w:tr>
        <w:tc>
          <w:tcPr>
            <w:tcW w:type="dxa" w:w="2448"/>
          </w:tcPr>
          <w:p>
            <w:pPr>
              <w:spacing w:line="276" w:lineRule="auto"/>
              <w:jc w:val="left"/>
            </w:pPr>
            <w:r>
              <w:rPr>
                <w:rFonts w:ascii="Times New Roman" w:hAnsi="Times New Roman" w:eastAsia="宋体"/>
                <w:b w:val="0"/>
                <w:i w:val="0"/>
                <w:color w:val="000000"/>
                <w:sz w:val="17"/>
              </w:rPr>
              <w:t>残差 PAC</w:t>
            </w:r>
          </w:p>
        </w:tc>
        <w:tc>
          <w:tcPr>
            <w:tcW w:type="dxa" w:w="1800"/>
          </w:tcPr>
          <w:p>
            <w:pPr>
              <w:spacing w:line="276" w:lineRule="auto"/>
              <w:jc w:val="center"/>
            </w:pPr>
            <w:r>
              <w:rPr>
                <w:rFonts w:ascii="Times New Roman" w:hAnsi="Times New Roman" w:eastAsia="宋体"/>
                <w:b w:val="0"/>
                <w:i w:val="0"/>
                <w:color w:val="000000"/>
                <w:sz w:val="17"/>
              </w:rPr>
              <w:t>0.056</w:t>
            </w:r>
          </w:p>
        </w:tc>
        <w:tc>
          <w:tcPr>
            <w:tcW w:type="dxa" w:w="1800"/>
          </w:tcPr>
          <w:p>
            <w:pPr>
              <w:spacing w:line="276" w:lineRule="auto"/>
              <w:jc w:val="center"/>
            </w:pPr>
            <w:r>
              <w:rPr>
                <w:rFonts w:ascii="Times New Roman" w:hAnsi="Times New Roman" w:eastAsia="宋体"/>
                <w:b w:val="0"/>
                <w:i w:val="0"/>
                <w:color w:val="000000"/>
                <w:sz w:val="17"/>
              </w:rPr>
              <w:t>0.090</w:t>
            </w:r>
          </w:p>
        </w:tc>
        <w:tc>
          <w:tcPr>
            <w:tcW w:type="dxa" w:w="1584"/>
          </w:tcPr>
          <w:p>
            <w:pPr>
              <w:spacing w:line="276" w:lineRule="auto"/>
              <w:jc w:val="center"/>
            </w:pPr>
            <w:r>
              <w:rPr>
                <w:rFonts w:ascii="Times New Roman" w:hAnsi="Times New Roman" w:eastAsia="宋体"/>
                <w:b w:val="0"/>
                <w:i w:val="0"/>
                <w:color w:val="000000"/>
                <w:sz w:val="17"/>
              </w:rPr>
              <w:t>-69%</w:t>
            </w:r>
          </w:p>
        </w:tc>
      </w:tr>
    </w:tbl>
    <w:p>
      <w:pPr>
        <w:spacing w:after="40"/>
      </w:pPr>
    </w:p>
    <w:p>
      <w:pPr>
        <w:spacing w:line="312" w:lineRule="auto" w:before="200" w:after="80"/>
      </w:pPr>
      <w:r>
        <w:rPr>
          <w:rFonts w:ascii="Times New Roman" w:hAnsi="Times New Roman" w:eastAsia="黑体"/>
          <w:b/>
          <w:i w:val="0"/>
          <w:color w:val="000000"/>
          <w:sz w:val="23"/>
        </w:rPr>
        <w:t>6.3  残差如何起作用？</w:t>
      </w:r>
    </w:p>
    <w:p>
      <w:pPr>
        <w:spacing w:line="312" w:lineRule="auto" w:after="120"/>
        <w:ind w:firstLine="420"/>
        <w:jc w:val="both"/>
      </w:pPr>
      <w:r>
        <w:rPr>
          <w:rFonts w:ascii="Times New Roman" w:hAnsi="Times New Roman" w:eastAsia="宋体"/>
          <w:b w:val="0"/>
          <w:i w:val="0"/>
          <w:color w:val="000000"/>
          <w:sz w:val="21"/>
        </w:rPr>
        <w:t>机制在图 7b 中可见。推进器退化发生后数秒内，监督策略将 α 推过 0.9 并在回合大部分时间里于该处振荡（31.2% 的步数高于 0.9；标准差 0.331）；残差策略从未超过 0.69，且在 97.0% 的步数内保持于 [0.4, 0.6]。残差学到的不是一套新的调度——它学到的是否决监督策略的越界。我们将其解读为分布偏移下的保守化，这是单一家族的观察，我们不外推。</w:t>
      </w:r>
    </w:p>
    <w:p>
      <w:pPr>
        <w:spacing w:line="312" w:lineRule="auto" w:after="120"/>
        <w:ind w:firstLine="420"/>
        <w:jc w:val="both"/>
      </w:pPr>
      <w:r>
        <w:rPr>
          <w:rFonts w:ascii="Times New Roman" w:hAnsi="Times New Roman" w:eastAsia="宋体"/>
          <w:b w:val="0"/>
          <w:i w:val="0"/>
          <w:color w:val="000000"/>
          <w:sz w:val="21"/>
        </w:rPr>
        <w:t>稳定化超出单一回合：在全部 35 个 OOD 回合与五个种子上（每方法 175 个回合），监督策略的逐回合平均权限为 0.82±0.14（10–90 分位 0.62–0.93），残差策略为 0.54±0.03，且每个残差回合都落在 [0.48, 0.62] 内（图 7c）。</w:t>
      </w:r>
    </w:p>
    <w:p>
      <w:pPr>
        <w:keepNext/>
        <w:spacing w:before="160"/>
        <w:jc w:val="center"/>
      </w:pPr>
      <w:r>
        <w:drawing>
          <wp:inline xmlns:a="http://schemas.openxmlformats.org/drawingml/2006/main" xmlns:pic="http://schemas.openxmlformats.org/drawingml/2006/picture">
            <wp:extent cx="5760720" cy="3974557"/>
            <wp:docPr id="7" name="Picture 7"/>
            <wp:cNvGraphicFramePr>
              <a:graphicFrameLocks noChangeAspect="1"/>
            </wp:cNvGraphicFramePr>
            <a:graphic>
              <a:graphicData uri="http://schemas.openxmlformats.org/drawingml/2006/picture">
                <pic:pic>
                  <pic:nvPicPr>
                    <pic:cNvPr id="0" name="fig5_actuator_case.png"/>
                    <pic:cNvPicPr/>
                  </pic:nvPicPr>
                  <pic:blipFill>
                    <a:blip r:embed="rId17"/>
                    <a:stretch>
                      <a:fillRect/>
                    </a:stretch>
                  </pic:blipFill>
                  <pic:spPr>
                    <a:xfrm>
                      <a:off x="0" y="0"/>
                      <a:ext cx="5760720" cy="3974557"/>
                    </a:xfrm>
                    <a:prstGeom prst="rect"/>
                  </pic:spPr>
                </pic:pic>
              </a:graphicData>
            </a:graphic>
          </wp:inline>
        </w:drawing>
      </w:r>
    </w:p>
    <w:p>
      <w:pPr>
        <w:spacing w:after="200"/>
        <w:jc w:val="both"/>
      </w:pPr>
      <w:r>
        <w:rPr>
          <w:rFonts w:ascii="Times New Roman" w:hAnsi="Times New Roman" w:eastAsia="宋体"/>
          <w:b/>
          <w:i w:val="0"/>
          <w:color w:val="000000"/>
          <w:sz w:val="18"/>
        </w:rPr>
        <w:t xml:space="preserve">图 7  </w:t>
      </w:r>
      <w:r>
        <w:rPr>
          <w:rFonts w:ascii="Times New Roman" w:hAnsi="Times New Roman" w:eastAsia="宋体"/>
          <w:b w:val="0"/>
          <w:i w:val="0"/>
          <w:color w:val="000000"/>
          <w:sz w:val="18"/>
        </w:rPr>
        <w:t>执行器退化回合（保留种子 43000，检查前固定；族均值以文字并置）。(a) 位置误差。(b) 代表性回合中的权限系数。(c) 全部 35 个 OOD 回合与五个种子的逐回合平均权限（每方法 175 点；横线为均值）。族均值系数：监督 0.63，残差 0.50。</w:t>
      </w:r>
    </w:p>
    <w:p>
      <w:pPr>
        <w:spacing w:line="312" w:lineRule="auto" w:before="200" w:after="80"/>
      </w:pPr>
      <w:r>
        <w:rPr>
          <w:rFonts w:ascii="Times New Roman" w:hAnsi="Times New Roman" w:eastAsia="黑体"/>
          <w:b/>
          <w:i w:val="0"/>
          <w:color w:val="000000"/>
          <w:sz w:val="23"/>
        </w:rPr>
        <w:t>6.4  控制质量：增益未以执行器滥用换取</w:t>
      </w:r>
    </w:p>
    <w:p>
      <w:pPr>
        <w:spacing w:line="312" w:lineRule="auto" w:after="120"/>
        <w:ind w:firstLine="420"/>
        <w:jc w:val="both"/>
      </w:pPr>
      <w:r>
        <w:rPr>
          <w:rFonts w:ascii="Times New Roman" w:hAnsi="Times New Roman" w:eastAsia="宋体"/>
          <w:b w:val="0"/>
          <w:i w:val="0"/>
          <w:color w:val="000000"/>
          <w:sz w:val="21"/>
        </w:rPr>
        <w:t>在 OOD 块上，残差策略取得六方法中最低的饱和步占比（0.126，对照固定混合 0.134、监督策略 0.168）、最低的控制代价（31.9 对 33.7），率限激活 0.039 低于两位专家的极值。控制代价的配对效应为 OOD −1.78 [−2.31, −1.26]、ID −0.52 [−0.56, −0.48]：残差策略在 OOD 跟踪更好的同时，运行代价反而低于其监督器。这为注册准则“增益不得以艏向、饱和或约束退化换取”提供了实证（图 8）。</w:t>
      </w:r>
    </w:p>
    <w:p>
      <w:pPr>
        <w:keepNext/>
        <w:spacing w:before="160"/>
        <w:jc w:val="center"/>
      </w:pPr>
      <w:r>
        <w:drawing>
          <wp:inline xmlns:a="http://schemas.openxmlformats.org/drawingml/2006/main" xmlns:pic="http://schemas.openxmlformats.org/drawingml/2006/picture">
            <wp:extent cx="5760720" cy="2034380"/>
            <wp:docPr id="8" name="Picture 8"/>
            <wp:cNvGraphicFramePr>
              <a:graphicFrameLocks noChangeAspect="1"/>
            </wp:cNvGraphicFramePr>
            <a:graphic>
              <a:graphicData uri="http://schemas.openxmlformats.org/drawingml/2006/picture">
                <pic:pic>
                  <pic:nvPicPr>
                    <pic:cNvPr id="0" name="fig_control_quality.png"/>
                    <pic:cNvPicPr/>
                  </pic:nvPicPr>
                  <pic:blipFill>
                    <a:blip r:embed="rId18"/>
                    <a:stretch>
                      <a:fillRect/>
                    </a:stretch>
                  </pic:blipFill>
                  <pic:spPr>
                    <a:xfrm>
                      <a:off x="0" y="0"/>
                      <a:ext cx="5760720" cy="2034380"/>
                    </a:xfrm>
                    <a:prstGeom prst="rect"/>
                  </pic:spPr>
                </pic:pic>
              </a:graphicData>
            </a:graphic>
          </wp:inline>
        </w:drawing>
      </w:r>
    </w:p>
    <w:p>
      <w:pPr>
        <w:spacing w:after="200"/>
        <w:jc w:val="both"/>
      </w:pPr>
      <w:r>
        <w:rPr>
          <w:rFonts w:ascii="Times New Roman" w:hAnsi="Times New Roman" w:eastAsia="宋体"/>
          <w:b/>
          <w:i w:val="0"/>
          <w:color w:val="000000"/>
          <w:sz w:val="18"/>
        </w:rPr>
        <w:t xml:space="preserve">图 8  </w:t>
      </w:r>
      <w:r>
        <w:rPr>
          <w:rFonts w:ascii="Times New Roman" w:hAnsi="Times New Roman" w:eastAsia="宋体"/>
          <w:b w:val="0"/>
          <w:i w:val="0"/>
          <w:color w:val="000000"/>
          <w:sz w:val="18"/>
        </w:rPr>
        <w:t>各方法与各块的控制质量（条形为五种子均值 ± 标准差）。(a) 控制代价。(b) 饱和步占比。(c) 率限激活。残差策略在 OOD 上取得全部方法中最低的饱和与控制代价。</w:t>
      </w:r>
    </w:p>
    <w:p>
      <w:pPr>
        <w:spacing w:line="312" w:lineRule="auto" w:before="200" w:after="80"/>
      </w:pPr>
      <w:r>
        <w:rPr>
          <w:rFonts w:ascii="Times New Roman" w:hAnsi="Times New Roman" w:eastAsia="黑体"/>
          <w:b/>
          <w:i w:val="0"/>
          <w:color w:val="000000"/>
          <w:sz w:val="23"/>
        </w:rPr>
        <w:t>6.5  增益的代价</w:t>
      </w:r>
    </w:p>
    <w:p>
      <w:pPr>
        <w:spacing w:line="312" w:lineRule="auto" w:after="120"/>
        <w:ind w:firstLine="420"/>
        <w:jc w:val="both"/>
      </w:pPr>
      <w:r>
        <w:rPr>
          <w:rFonts w:ascii="Times New Roman" w:hAnsi="Times New Roman" w:eastAsia="宋体"/>
          <w:b w:val="0"/>
          <w:i w:val="0"/>
          <w:color w:val="000000"/>
          <w:sz w:val="21"/>
        </w:rPr>
        <w:t>两项代价伴随 OOD 增益。分布内位置与艏向误差如上量化地增加。求解器超时率——评估框架中 MPC 实例墙钟超过 10 ms 控制周期的步数占比，对所有方法同口径测量——在残差策略下由共同的 0.69 基线升至 0.80（OOD +0.107 [+0.094, +0.120]；ID +0.028 [+0.010, +0.047]）。固定混合使该指标不变，故系数取值本身并非原因；候选解释是依赖轨迹的求解器条件数，作为假设而非结论标注。部署侧保障不受影响：回退上一拍指令的触发率全方法为 0.3–0.5%，一米阈值任务成功率不变（ID 0.988 / OOD 0.943），OOD 最大误差反而改善。</w:t>
      </w:r>
    </w:p>
    <w:p>
      <w:pPr>
        <w:keepNext/>
        <w:spacing w:before="160"/>
        <w:jc w:val="center"/>
      </w:pPr>
      <w:r>
        <w:drawing>
          <wp:inline xmlns:a="http://schemas.openxmlformats.org/drawingml/2006/main" xmlns:pic="http://schemas.openxmlformats.org/drawingml/2006/picture">
            <wp:extent cx="5760720" cy="2206662"/>
            <wp:docPr id="9" name="Picture 9"/>
            <wp:cNvGraphicFramePr>
              <a:graphicFrameLocks noChangeAspect="1"/>
            </wp:cNvGraphicFramePr>
            <a:graphic>
              <a:graphicData uri="http://schemas.openxmlformats.org/drawingml/2006/picture">
                <pic:pic>
                  <pic:nvPicPr>
                    <pic:cNvPr id="0" name="fig6_cost_tradeoff.png"/>
                    <pic:cNvPicPr/>
                  </pic:nvPicPr>
                  <pic:blipFill>
                    <a:blip r:embed="rId19"/>
                    <a:stretch>
                      <a:fillRect/>
                    </a:stretch>
                  </pic:blipFill>
                  <pic:spPr>
                    <a:xfrm>
                      <a:off x="0" y="0"/>
                      <a:ext cx="5760720" cy="2206662"/>
                    </a:xfrm>
                    <a:prstGeom prst="rect"/>
                  </pic:spPr>
                </pic:pic>
              </a:graphicData>
            </a:graphic>
          </wp:inline>
        </w:drawing>
      </w:r>
    </w:p>
    <w:p>
      <w:pPr>
        <w:spacing w:after="200"/>
        <w:jc w:val="both"/>
      </w:pPr>
      <w:r>
        <w:rPr>
          <w:rFonts w:ascii="Times New Roman" w:hAnsi="Times New Roman" w:eastAsia="宋体"/>
          <w:b/>
          <w:i w:val="0"/>
          <w:color w:val="000000"/>
          <w:sz w:val="18"/>
        </w:rPr>
        <w:t xml:space="preserve">图 9  </w:t>
      </w:r>
      <w:r>
        <w:rPr>
          <w:rFonts w:ascii="Times New Roman" w:hAnsi="Times New Roman" w:eastAsia="宋体"/>
          <w:b w:val="0"/>
          <w:i w:val="0"/>
          <w:color w:val="000000"/>
          <w:sz w:val="18"/>
        </w:rPr>
        <w:t>代价核算。各方法-种子组合的 OOD RMSE 对求解器超时率散点；该指标统计共享评估框架中 MPC 实例超过 10 ms 控制周期的步数，对所有方法同口径采集。阴影带：共同基线水平（0.69：SMC / MPC / 固定 α / SSPO）。</w:t>
      </w:r>
    </w:p>
    <w:p>
      <w:pPr>
        <w:keepNext/>
        <w:spacing w:before="160"/>
        <w:jc w:val="both"/>
      </w:pPr>
      <w:r>
        <w:rPr>
          <w:rFonts w:ascii="Times New Roman" w:hAnsi="Times New Roman" w:eastAsia="宋体"/>
          <w:b/>
          <w:i w:val="0"/>
          <w:color w:val="000000"/>
          <w:sz w:val="18"/>
        </w:rPr>
        <w:t xml:space="preserve">表 3  </w:t>
      </w:r>
      <w:r>
        <w:rPr>
          <w:rFonts w:ascii="Times New Roman" w:hAnsi="Times New Roman" w:eastAsia="宋体"/>
          <w:b/>
          <w:i w:val="0"/>
          <w:color w:val="000000"/>
          <w:sz w:val="18"/>
        </w:rPr>
        <w:t>残差策略相对监督基线在全部报告指标上的注册配对效应（模型种子 t(4) 95% 区间）。SSPO 对比由原始回合指标补算：RMSE OOD −0.0198 [−0.0211, −0.0185] 利好残差策略，ID +0.0043 [+0.0033, +0.0053] 利好 SSPO。</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trPr>
        <w:tc>
          <w:tcPr>
            <w:tcW w:type="dxa" w:w="3168"/>
            <w:shd w:val="clear" w:fill="F2F2F2"/>
          </w:tcPr>
          <w:p>
            <w:pPr>
              <w:spacing w:line="276" w:lineRule="auto"/>
              <w:jc w:val="center"/>
            </w:pPr>
            <w:r>
              <w:rPr>
                <w:rFonts w:ascii="Times New Roman" w:hAnsi="Times New Roman" w:eastAsia="宋体"/>
                <w:b/>
                <w:i w:val="0"/>
                <w:color w:val="000000"/>
                <w:sz w:val="17"/>
              </w:rPr>
              <w:t>指标</w:t>
            </w:r>
          </w:p>
        </w:tc>
        <w:tc>
          <w:tcPr>
            <w:tcW w:type="dxa" w:w="3312"/>
            <w:shd w:val="clear" w:fill="F2F2F2"/>
          </w:tcPr>
          <w:p>
            <w:pPr>
              <w:spacing w:line="276" w:lineRule="auto"/>
              <w:jc w:val="center"/>
            </w:pPr>
            <w:r>
              <w:rPr>
                <w:rFonts w:ascii="Times New Roman" w:hAnsi="Times New Roman" w:eastAsia="宋体"/>
                <w:b/>
                <w:i w:val="0"/>
                <w:color w:val="000000"/>
                <w:sz w:val="17"/>
              </w:rPr>
              <w:t>ID 效应 [95% CI]</w:t>
            </w:r>
          </w:p>
        </w:tc>
        <w:tc>
          <w:tcPr>
            <w:tcW w:type="dxa" w:w="3312"/>
            <w:shd w:val="clear" w:fill="F2F2F2"/>
          </w:tcPr>
          <w:p>
            <w:pPr>
              <w:spacing w:line="276" w:lineRule="auto"/>
              <w:jc w:val="center"/>
            </w:pPr>
            <w:r>
              <w:rPr>
                <w:rFonts w:ascii="Times New Roman" w:hAnsi="Times New Roman" w:eastAsia="宋体"/>
                <w:b/>
                <w:i w:val="0"/>
                <w:color w:val="000000"/>
                <w:sz w:val="17"/>
              </w:rPr>
              <w:t>OOD 效应 [95% CI]</w:t>
            </w:r>
          </w:p>
        </w:tc>
      </w:tr>
      <w:tr>
        <w:tc>
          <w:tcPr>
            <w:tcW w:type="dxa" w:w="3168"/>
          </w:tcPr>
          <w:p>
            <w:pPr>
              <w:spacing w:line="276" w:lineRule="auto"/>
              <w:jc w:val="left"/>
            </w:pPr>
            <w:r>
              <w:rPr>
                <w:rFonts w:ascii="Times New Roman" w:hAnsi="Times New Roman" w:eastAsia="宋体"/>
                <w:b w:val="0"/>
                <w:i w:val="0"/>
                <w:color w:val="000000"/>
                <w:sz w:val="17"/>
              </w:rPr>
              <w:t>RMSE (m)</w:t>
            </w:r>
          </w:p>
        </w:tc>
        <w:tc>
          <w:tcPr>
            <w:tcW w:type="dxa" w:w="3312"/>
          </w:tcPr>
          <w:p>
            <w:pPr>
              <w:spacing w:line="276" w:lineRule="auto"/>
              <w:jc w:val="center"/>
            </w:pPr>
            <w:r>
              <w:rPr>
                <w:rFonts w:ascii="Times New Roman" w:hAnsi="Times New Roman" w:eastAsia="宋体"/>
                <w:b w:val="0"/>
                <w:i w:val="0"/>
                <w:color w:val="000000"/>
                <w:sz w:val="17"/>
              </w:rPr>
              <w:t>+0.0028 [+0.0009, +0.0047]</w:t>
            </w:r>
          </w:p>
        </w:tc>
        <w:tc>
          <w:tcPr>
            <w:tcW w:type="dxa" w:w="3312"/>
          </w:tcPr>
          <w:p>
            <w:pPr>
              <w:spacing w:line="276" w:lineRule="auto"/>
              <w:jc w:val="center"/>
            </w:pPr>
            <w:r>
              <w:rPr>
                <w:rFonts w:ascii="Times New Roman" w:hAnsi="Times New Roman" w:eastAsia="宋体"/>
                <w:b w:val="0"/>
                <w:i w:val="0"/>
                <w:color w:val="000000"/>
                <w:sz w:val="17"/>
              </w:rPr>
              <w:t>−0.0445 [−0.0737, −0.0154]</w:t>
            </w:r>
          </w:p>
        </w:tc>
      </w:tr>
      <w:tr>
        <w:tc>
          <w:tcPr>
            <w:tcW w:type="dxa" w:w="3168"/>
          </w:tcPr>
          <w:p>
            <w:pPr>
              <w:spacing w:line="276" w:lineRule="auto"/>
              <w:jc w:val="left"/>
            </w:pPr>
            <w:r>
              <w:rPr>
                <w:rFonts w:ascii="Times New Roman" w:hAnsi="Times New Roman" w:eastAsia="宋体"/>
                <w:b w:val="0"/>
                <w:i w:val="0"/>
                <w:color w:val="000000"/>
                <w:sz w:val="17"/>
              </w:rPr>
              <w:t>艏向误差 (°)</w:t>
            </w:r>
          </w:p>
        </w:tc>
        <w:tc>
          <w:tcPr>
            <w:tcW w:type="dxa" w:w="3312"/>
          </w:tcPr>
          <w:p>
            <w:pPr>
              <w:spacing w:line="276" w:lineRule="auto"/>
              <w:jc w:val="center"/>
            </w:pPr>
            <w:r>
              <w:rPr>
                <w:rFonts w:ascii="Times New Roman" w:hAnsi="Times New Roman" w:eastAsia="宋体"/>
                <w:b w:val="0"/>
                <w:i w:val="0"/>
                <w:color w:val="000000"/>
                <w:sz w:val="17"/>
              </w:rPr>
              <w:t>+0.32 [+0.29, +0.35]</w:t>
            </w:r>
          </w:p>
        </w:tc>
        <w:tc>
          <w:tcPr>
            <w:tcW w:type="dxa" w:w="3312"/>
          </w:tcPr>
          <w:p>
            <w:pPr>
              <w:spacing w:line="276" w:lineRule="auto"/>
              <w:jc w:val="center"/>
            </w:pPr>
            <w:r>
              <w:rPr>
                <w:rFonts w:ascii="Times New Roman" w:hAnsi="Times New Roman" w:eastAsia="宋体"/>
                <w:b w:val="0"/>
                <w:i w:val="0"/>
                <w:color w:val="000000"/>
                <w:sz w:val="17"/>
              </w:rPr>
              <w:t>−0.73 [−1.41, −0.06]</w:t>
            </w:r>
          </w:p>
        </w:tc>
      </w:tr>
      <w:tr>
        <w:tc>
          <w:tcPr>
            <w:tcW w:type="dxa" w:w="3168"/>
          </w:tcPr>
          <w:p>
            <w:pPr>
              <w:spacing w:line="276" w:lineRule="auto"/>
              <w:jc w:val="left"/>
            </w:pPr>
            <w:r>
              <w:rPr>
                <w:rFonts w:ascii="Times New Roman" w:hAnsi="Times New Roman" w:eastAsia="宋体"/>
                <w:b w:val="0"/>
                <w:i w:val="0"/>
                <w:color w:val="000000"/>
                <w:sz w:val="17"/>
              </w:rPr>
              <w:t>控制代价</w:t>
            </w:r>
          </w:p>
        </w:tc>
        <w:tc>
          <w:tcPr>
            <w:tcW w:type="dxa" w:w="3312"/>
          </w:tcPr>
          <w:p>
            <w:pPr>
              <w:spacing w:line="276" w:lineRule="auto"/>
              <w:jc w:val="center"/>
            </w:pPr>
            <w:r>
              <w:rPr>
                <w:rFonts w:ascii="Times New Roman" w:hAnsi="Times New Roman" w:eastAsia="宋体"/>
                <w:b w:val="0"/>
                <w:i w:val="0"/>
                <w:color w:val="000000"/>
                <w:sz w:val="17"/>
              </w:rPr>
              <w:t>−0.52 [−0.56, −0.48]</w:t>
            </w:r>
          </w:p>
        </w:tc>
        <w:tc>
          <w:tcPr>
            <w:tcW w:type="dxa" w:w="3312"/>
          </w:tcPr>
          <w:p>
            <w:pPr>
              <w:spacing w:line="276" w:lineRule="auto"/>
              <w:jc w:val="center"/>
            </w:pPr>
            <w:r>
              <w:rPr>
                <w:rFonts w:ascii="Times New Roman" w:hAnsi="Times New Roman" w:eastAsia="宋体"/>
                <w:b w:val="0"/>
                <w:i w:val="0"/>
                <w:color w:val="000000"/>
                <w:sz w:val="17"/>
              </w:rPr>
              <w:t>−1.78 [−2.31, −1.26]</w:t>
            </w:r>
          </w:p>
        </w:tc>
      </w:tr>
      <w:tr>
        <w:tc>
          <w:tcPr>
            <w:tcW w:type="dxa" w:w="3168"/>
          </w:tcPr>
          <w:p>
            <w:pPr>
              <w:spacing w:line="276" w:lineRule="auto"/>
              <w:jc w:val="left"/>
            </w:pPr>
            <w:r>
              <w:rPr>
                <w:rFonts w:ascii="Times New Roman" w:hAnsi="Times New Roman" w:eastAsia="宋体"/>
                <w:b w:val="0"/>
                <w:i w:val="0"/>
                <w:color w:val="000000"/>
                <w:sz w:val="17"/>
              </w:rPr>
              <w:t>超时率</w:t>
            </w:r>
          </w:p>
        </w:tc>
        <w:tc>
          <w:tcPr>
            <w:tcW w:type="dxa" w:w="3312"/>
          </w:tcPr>
          <w:p>
            <w:pPr>
              <w:spacing w:line="276" w:lineRule="auto"/>
              <w:jc w:val="center"/>
            </w:pPr>
            <w:r>
              <w:rPr>
                <w:rFonts w:ascii="Times New Roman" w:hAnsi="Times New Roman" w:eastAsia="宋体"/>
                <w:b w:val="0"/>
                <w:i w:val="0"/>
                <w:color w:val="000000"/>
                <w:sz w:val="17"/>
              </w:rPr>
              <w:t>+0.028 [+0.010, +0.047]</w:t>
            </w:r>
          </w:p>
        </w:tc>
        <w:tc>
          <w:tcPr>
            <w:tcW w:type="dxa" w:w="3312"/>
          </w:tcPr>
          <w:p>
            <w:pPr>
              <w:spacing w:line="276" w:lineRule="auto"/>
              <w:jc w:val="center"/>
            </w:pPr>
            <w:r>
              <w:rPr>
                <w:rFonts w:ascii="Times New Roman" w:hAnsi="Times New Roman" w:eastAsia="宋体"/>
                <w:b w:val="0"/>
                <w:i w:val="0"/>
                <w:color w:val="000000"/>
                <w:sz w:val="17"/>
              </w:rPr>
              <w:t>+0.107 [+0.094, +0.120]</w:t>
            </w:r>
          </w:p>
        </w:tc>
      </w:tr>
    </w:tbl>
    <w:p>
      <w:pPr>
        <w:spacing w:after="40"/>
      </w:pPr>
    </w:p>
    <w:p>
      <w:pPr>
        <w:spacing w:line="312" w:lineRule="auto" w:after="120"/>
        <w:ind w:firstLine="420"/>
        <w:jc w:val="both"/>
      </w:pPr>
      <w:r>
        <w:rPr>
          <w:rFonts w:ascii="Times New Roman" w:hAnsi="Times New Roman" w:eastAsia="宋体"/>
          <w:b w:val="0"/>
          <w:i w:val="0"/>
          <w:color w:val="000000"/>
          <w:sz w:val="21"/>
        </w:rPr>
        <w:t>对照与残差阶段相关的六项预注册验收准则：三项通过（增益未以艏向、饱和或约束违反换取；消融可分离；五种子方向稳定）；两项未通过（整体非劣性——经由分布内 +0.4% 效应；超时率不恶化）；一项——部署推理时间满足控制周期——未评估，且为硬件阶段的第一道门槛。</w:t>
      </w:r>
    </w:p>
    <w:p>
      <w:pPr>
        <w:spacing w:line="312" w:lineRule="auto" w:before="280" w:after="120"/>
      </w:pPr>
      <w:r>
        <w:rPr>
          <w:rFonts w:ascii="Times New Roman" w:hAnsi="Times New Roman" w:eastAsia="黑体"/>
          <w:b/>
          <w:i w:val="0"/>
          <w:color w:val="000000"/>
          <w:sz w:val="26"/>
        </w:rPr>
        <w:t>7  局限与讨论</w:t>
      </w:r>
    </w:p>
    <w:p>
      <w:pPr>
        <w:spacing w:line="312" w:lineRule="auto" w:after="120"/>
        <w:ind w:firstLine="420"/>
        <w:jc w:val="both"/>
      </w:pPr>
      <w:r>
        <w:rPr>
          <w:rFonts w:ascii="Times New Roman" w:hAnsi="Times New Roman" w:eastAsia="宋体"/>
          <w:b w:val="0"/>
          <w:i w:val="0"/>
          <w:color w:val="000000"/>
          <w:sz w:val="21"/>
        </w:rPr>
        <w:t>核心结果是：两千参数量级的残差，仅作用于有界权限系数，将在分布偏移下失效的监督仲裁策略，改造为总体上匹配强常数混合、并在最需要自适应处显著占优的策略。安全论证是架构性的：零初始化保证部署起点与已部署基线数值一致，有界输出限制此后每次扰动，固定回退将最坏情形界定为基线本身。这界定了本文相对残差强化学习[5]（扰动执行器指令）与学习型安全滤波[11]（在学习路径中放置学习组件）的位置。</w:t>
      </w:r>
    </w:p>
    <w:p>
      <w:pPr>
        <w:spacing w:line="312" w:lineRule="auto" w:after="120"/>
        <w:ind w:firstLine="420"/>
        <w:jc w:val="both"/>
      </w:pPr>
      <w:r>
        <w:rPr>
          <w:rFonts w:ascii="Times New Roman" w:hAnsi="Times New Roman" w:eastAsia="宋体"/>
          <w:b w:val="0"/>
          <w:i w:val="0"/>
          <w:color w:val="000000"/>
          <w:sz w:val="21"/>
        </w:rPr>
        <w:t>六条边界限定本文主张。第一，全部证据为仿真级别。第二，特征集接收精确海流信息，硬件上必须估计。第三，分布外指相对扰动族采样，不指任意现场条件。第四，分布内非劣性未通过（位置 +0.4%、艏向 +4.3%）。第五，超时率上升（+0.107）原因未确立。第六，组合策略的部署延迟未测量。</w:t>
      </w:r>
    </w:p>
    <w:p>
      <w:pPr>
        <w:spacing w:line="312" w:lineRule="auto" w:after="120"/>
        <w:ind w:firstLine="420"/>
        <w:jc w:val="both"/>
      </w:pPr>
      <w:r>
        <w:rPr>
          <w:rFonts w:ascii="Times New Roman" w:hAnsi="Times New Roman" w:eastAsia="宋体"/>
          <w:b w:val="0"/>
          <w:i w:val="0"/>
          <w:color w:val="000000"/>
          <w:sz w:val="21"/>
        </w:rPr>
        <w:t>这些边界定义了注册的下一步实验。第一，直接 RL 对照——在同一网格上端到端输出推进器指令的 TD3 策略——补齐残差 RL 研究所期待的比较层级。第二，α ∈ {0, 0.25, 0.5, 0.75, 1} 的常数权限扫描，揭示策略所航行的信任地形。两者均需新的注册运行。第三，在预注册规则下解冻最后一个编码器块、针对分布内效应的残差第二轮训练。第四，隔离超时机制。第五，第 8 节的硬件协议，其第一道门槛为部署时延。</w:t>
      </w:r>
    </w:p>
    <w:p>
      <w:pPr>
        <w:spacing w:line="312" w:lineRule="auto" w:before="280" w:after="120"/>
      </w:pPr>
      <w:r>
        <w:rPr>
          <w:rFonts w:ascii="Times New Roman" w:hAnsi="Times New Roman" w:eastAsia="黑体"/>
          <w:b/>
          <w:i w:val="0"/>
          <w:color w:val="000000"/>
          <w:sz w:val="26"/>
        </w:rPr>
        <w:t>8  计划中的硬件验证</w:t>
      </w:r>
    </w:p>
    <w:p>
      <w:pPr>
        <w:spacing w:line="312" w:lineRule="auto" w:after="120"/>
        <w:ind w:firstLine="420"/>
        <w:jc w:val="both"/>
      </w:pPr>
      <w:r>
        <w:rPr>
          <w:rFonts w:ascii="Times New Roman" w:hAnsi="Times New Roman" w:eastAsia="宋体"/>
          <w:b w:val="0"/>
          <w:i w:val="0"/>
          <w:color w:val="000000"/>
          <w:sz w:val="21"/>
        </w:rPr>
        <w:t>没有物理实验，本文不具备投稿条件。计划在同一台 10 kg 六推进器航行器上部署相同的 SMC、MPC 专家、监督 PAC 与 残差 PAC 检查点。协议包括每方法每扰动条件至少十次独立试验、控制器次序随机化、固定的电池电压接受窗、相同的轨迹与执行器限制。扰动从静水逐步推进到稳态横流、由系留牵引或标定流源产生的可复现阶跃式扰动，以及——针对本文主张——注入的执行器退化条件：在部分推进器上施加经标定的一阶指令滞后加噪声。</w:t>
      </w:r>
    </w:p>
    <w:p>
      <w:pPr>
        <w:spacing w:line="312" w:lineRule="auto" w:after="120"/>
        <w:ind w:firstLine="420"/>
        <w:jc w:val="both"/>
      </w:pPr>
      <w:r>
        <w:rPr>
          <w:rFonts w:ascii="Times New Roman" w:hAnsi="Times New Roman" w:eastAsia="宋体"/>
          <w:b w:val="0"/>
          <w:i w:val="0"/>
          <w:color w:val="000000"/>
          <w:sz w:val="21"/>
        </w:rPr>
        <w:t>机载估计器须由 IMU、深度、DVL 与定位信息提供位姿、体速度与因果海流估计；不得暴露仿真器的精确海流。除位置与姿态 RMSE 外，硬件部分报告最大误差、成功率、实测电能耗、逐步推理时延、端到端控制回路时延（即未评估的那项准则）、饱和时长与紧急干预。占位项（平台尺寸、传感器套件、试验点标定、试验数）只能以实测值填充，不得以仿真或预期数据顶替。</w:t>
      </w:r>
    </w:p>
    <w:p>
      <w:pPr>
        <w:spacing w:line="312" w:lineRule="auto" w:before="280" w:after="120"/>
      </w:pPr>
      <w:r>
        <w:rPr>
          <w:rFonts w:ascii="Times New Roman" w:hAnsi="Times New Roman" w:eastAsia="黑体"/>
          <w:b/>
          <w:i w:val="0"/>
          <w:color w:val="000000"/>
          <w:sz w:val="26"/>
        </w:rPr>
        <w:t>9  结论</w:t>
      </w:r>
    </w:p>
    <w:p>
      <w:pPr>
        <w:spacing w:line="312" w:lineRule="auto" w:after="120"/>
        <w:ind w:firstLine="420"/>
        <w:jc w:val="both"/>
      </w:pPr>
      <w:r>
        <w:rPr>
          <w:rFonts w:ascii="Times New Roman" w:hAnsi="Times New Roman" w:eastAsia="宋体"/>
          <w:b w:val="0"/>
          <w:i w:val="0"/>
          <w:color w:val="000000"/>
          <w:sz w:val="21"/>
        </w:rPr>
        <w:t>PAC 将学习型水下控制重构为结构化控制器之间的信任问题，残差阶段在分布偏移下修复这种信任：OOD 跟踪误差降低 28%，种子级与回合级的置信区间均不含零；优化器的退化失效被约束至 0.090 m；每一项代价都与训练前固定的准则对照测量。学习组件保持有界、可作为单条系数轨迹审计、最坏情形等价于已部署基线。硬件验证、因果海流估计、时延测量与时变混合的稳定性分析，是任何面向真实环境的鲁棒性主张之前提。</w:t>
      </w:r>
    </w:p>
    <w:p>
      <w:pPr>
        <w:spacing w:line="312" w:lineRule="auto" w:before="280" w:after="120"/>
      </w:pPr>
      <w:r>
        <w:rPr>
          <w:rFonts w:ascii="Times New Roman" w:hAnsi="Times New Roman" w:eastAsia="黑体"/>
          <w:b/>
          <w:i w:val="0"/>
          <w:color w:val="000000"/>
          <w:sz w:val="26"/>
        </w:rPr>
        <w:t>数据可用性</w:t>
      </w:r>
    </w:p>
    <w:p>
      <w:pPr>
        <w:spacing w:line="312" w:lineRule="auto" w:after="120"/>
        <w:ind w:firstLine="420"/>
        <w:jc w:val="both"/>
      </w:pPr>
      <w:r>
        <w:rPr>
          <w:rFonts w:ascii="Times New Roman" w:hAnsi="Times New Roman" w:eastAsia="宋体"/>
          <w:b w:val="0"/>
          <w:i w:val="0"/>
          <w:color w:val="000000"/>
          <w:sz w:val="21"/>
        </w:rPr>
        <w:t>本文全部数值来自哈希冻结的归档（配置、数据集与检查点摘要及逐文件校验和），覆盖监督与残差两个训练阶段与配对评估。每幅图与每张表的源数据均可由代码库构建脚本从这些归档重新生成；轨迹图由冻结检查点对归档回合做确定性重放。</w:t>
      </w:r>
    </w:p>
    <w:p>
      <w:pPr>
        <w:spacing w:line="312" w:lineRule="auto" w:before="280" w:after="120"/>
      </w:pPr>
      <w:r>
        <w:rPr>
          <w:rFonts w:ascii="Times New Roman" w:hAnsi="Times New Roman" w:eastAsia="黑体"/>
          <w:b/>
          <w:i w:val="0"/>
          <w:color w:val="000000"/>
          <w:sz w:val="26"/>
        </w:rPr>
        <w:t>参考文献</w:t>
      </w:r>
    </w:p>
    <w:p>
      <w:pPr>
        <w:spacing w:line="312" w:lineRule="auto" w:after="60"/>
        <w:ind w:left="425" w:hanging="425"/>
      </w:pPr>
      <w:r>
        <w:rPr>
          <w:rFonts w:ascii="Times New Roman" w:hAnsi="Times New Roman" w:eastAsia="宋体"/>
          <w:b w:val="0"/>
          <w:i w:val="0"/>
          <w:color w:val="000000"/>
          <w:sz w:val="19"/>
        </w:rPr>
        <w:t>[1]  T. I. Fossen. Handbook of Marine Craft Hydrodynamics and Motion Control[M]. 2nd ed. Wiley, 2021.</w:t>
      </w:r>
    </w:p>
    <w:p>
      <w:pPr>
        <w:spacing w:line="312" w:lineRule="auto" w:after="60"/>
        <w:ind w:left="425" w:hanging="425"/>
      </w:pPr>
      <w:r>
        <w:rPr>
          <w:rFonts w:ascii="Times New Roman" w:hAnsi="Times New Roman" w:eastAsia="宋体"/>
          <w:b w:val="0"/>
          <w:i w:val="0"/>
          <w:color w:val="000000"/>
          <w:sz w:val="19"/>
        </w:rPr>
        <w:t>[2]  G. Antonelli. Underwater Robots: Motion and Force Control of Vehicle-Manipulator Systems[M]. 3rd ed. Springer, 2014.</w:t>
      </w:r>
    </w:p>
    <w:p>
      <w:pPr>
        <w:spacing w:line="312" w:lineRule="auto" w:after="60"/>
        <w:ind w:left="425" w:hanging="425"/>
      </w:pPr>
      <w:r>
        <w:rPr>
          <w:rFonts w:ascii="Times New Roman" w:hAnsi="Times New Roman" w:eastAsia="宋体"/>
          <w:b w:val="0"/>
          <w:i w:val="0"/>
          <w:color w:val="000000"/>
          <w:sz w:val="19"/>
        </w:rPr>
        <w:t>[3]  E. F. Camacho, C. Bordons Alba. Model Predictive Control[M]. 2nd ed. Springer, 2013.</w:t>
      </w:r>
    </w:p>
    <w:p>
      <w:pPr>
        <w:spacing w:line="312" w:lineRule="auto" w:after="60"/>
        <w:ind w:left="425" w:hanging="425"/>
      </w:pPr>
      <w:r>
        <w:rPr>
          <w:rFonts w:ascii="Times New Roman" w:hAnsi="Times New Roman" w:eastAsia="宋体"/>
          <w:b w:val="0"/>
          <w:i w:val="0"/>
          <w:color w:val="000000"/>
          <w:sz w:val="19"/>
        </w:rPr>
        <w:t>[4]  L. Hewing, K. P. Wabersich, M. Menner, M. N. Zeilinger. Learning-based model predictive control: Toward safe learning in control[J]. Annual Review of Control, Robotics, and Autonomous Systems, 2020, 3: 269–296.</w:t>
      </w:r>
    </w:p>
    <w:p>
      <w:pPr>
        <w:spacing w:line="312" w:lineRule="auto" w:after="60"/>
        <w:ind w:left="425" w:hanging="425"/>
      </w:pPr>
      <w:r>
        <w:rPr>
          <w:rFonts w:ascii="Times New Roman" w:hAnsi="Times New Roman" w:eastAsia="宋体"/>
          <w:b w:val="0"/>
          <w:i w:val="0"/>
          <w:color w:val="000000"/>
          <w:sz w:val="19"/>
        </w:rPr>
        <w:t>[5]  T. Johannink, et al. Residual reinforcement learning for robot control[C]//Proc. IEEE ICRA, 2019: 6023–6029.</w:t>
      </w:r>
    </w:p>
    <w:p>
      <w:pPr>
        <w:spacing w:line="312" w:lineRule="auto" w:after="60"/>
        <w:ind w:left="425" w:hanging="425"/>
      </w:pPr>
      <w:r>
        <w:rPr>
          <w:rFonts w:ascii="Times New Roman" w:hAnsi="Times New Roman" w:eastAsia="宋体"/>
          <w:b w:val="0"/>
          <w:i w:val="0"/>
          <w:color w:val="000000"/>
          <w:sz w:val="19"/>
        </w:rPr>
        <w:t>[6]  A. Romero, Y. Song, D. Scaramuzza. Actor-critic model predictive control[C]//Proc. IEEE ICRA, 2024: 14777–14784.</w:t>
      </w:r>
    </w:p>
    <w:p>
      <w:pPr>
        <w:spacing w:line="312" w:lineRule="auto" w:after="60"/>
        <w:ind w:left="425" w:hanging="425"/>
      </w:pPr>
      <w:r>
        <w:rPr>
          <w:rFonts w:ascii="Times New Roman" w:hAnsi="Times New Roman" w:eastAsia="宋体"/>
          <w:b w:val="0"/>
          <w:i w:val="0"/>
          <w:color w:val="000000"/>
          <w:sz w:val="19"/>
        </w:rPr>
        <w:t>[7]  K. Nguyen, S. Schoedel, A. Alavilli, B. Plancher, Z. Manchester. TinyMPC: Model-predictive control on resource-constrained microcontrollers[C]//Proc. IEEE ICRA, 2024.</w:t>
      </w:r>
    </w:p>
    <w:p>
      <w:pPr>
        <w:spacing w:line="312" w:lineRule="auto" w:after="60"/>
        <w:ind w:left="425" w:hanging="425"/>
      </w:pPr>
      <w:r>
        <w:rPr>
          <w:rFonts w:ascii="Times New Roman" w:hAnsi="Times New Roman" w:eastAsia="宋体"/>
          <w:b w:val="0"/>
          <w:i w:val="0"/>
          <w:color w:val="000000"/>
          <w:sz w:val="19"/>
        </w:rPr>
        <w:t>[8]  L. Cai, K. Chang, Y. Girdhar. Learning to swim: Reinforcement learning for 6-DOF control of thruster-driven autonomous underwater vehicles[C]//Proc. IEEE ICRA, 2025: 11286–11293.</w:t>
      </w:r>
    </w:p>
    <w:p>
      <w:pPr>
        <w:spacing w:line="312" w:lineRule="auto" w:after="60"/>
        <w:ind w:left="425" w:hanging="425"/>
      </w:pPr>
      <w:r>
        <w:rPr>
          <w:rFonts w:ascii="Times New Roman" w:hAnsi="Times New Roman" w:eastAsia="宋体"/>
          <w:b w:val="0"/>
          <w:i w:val="0"/>
          <w:color w:val="000000"/>
          <w:sz w:val="19"/>
        </w:rPr>
        <w:t>[9]  X. Lin, et al. UIVNAV: Underwater information-driven vision-based navigation via imitation learning[C]//Proc. IEEE ICRA, 2024: 5250–5256.</w:t>
      </w:r>
    </w:p>
    <w:p>
      <w:pPr>
        <w:spacing w:line="312" w:lineRule="auto" w:after="60"/>
        <w:ind w:left="425" w:hanging="425"/>
      </w:pPr>
      <w:r>
        <w:rPr>
          <w:rFonts w:ascii="Times New Roman" w:hAnsi="Times New Roman" w:eastAsia="宋体"/>
          <w:b w:val="0"/>
          <w:i w:val="0"/>
          <w:color w:val="000000"/>
          <w:sz w:val="19"/>
        </w:rPr>
        <w:t>[10]  Y. Fan, H. Dong, X. Zhao, P. Denissenko. Path-following control of unmanned underwater vehicle based on an improved TD3 deep reinforcement learning[J]. IEEE Transactions on Control Systems Technology, 2024, 32(5): 1904–1919.</w:t>
      </w:r>
    </w:p>
    <w:p>
      <w:pPr>
        <w:spacing w:line="312" w:lineRule="auto" w:after="60"/>
        <w:ind w:left="425" w:hanging="425"/>
      </w:pPr>
      <w:r>
        <w:rPr>
          <w:rFonts w:ascii="Times New Roman" w:hAnsi="Times New Roman" w:eastAsia="宋体"/>
          <w:b w:val="0"/>
          <w:i w:val="0"/>
          <w:color w:val="000000"/>
          <w:sz w:val="19"/>
        </w:rPr>
        <w:t>[11]  O. So, et al. How to train your neural control barrier function: Learning safety filters for complex input-constrained systems[C]//Proc. IEEE ICRA, 2024: 11532–11539.</w:t>
      </w:r>
    </w:p>
    <w:p>
      <w:pPr>
        <w:spacing w:line="312" w:lineRule="auto" w:after="60"/>
        <w:ind w:left="425" w:hanging="425"/>
      </w:pPr>
      <w:r>
        <w:rPr>
          <w:rFonts w:ascii="Times New Roman" w:hAnsi="Times New Roman" w:eastAsia="宋体"/>
          <w:b w:val="0"/>
          <w:i w:val="0"/>
          <w:color w:val="000000"/>
          <w:sz w:val="19"/>
        </w:rPr>
        <w:t>[12]  A. Vaswani, et al. Attention is all you need[C]//Advances in Neural Information Processing Systems, 2017, 30: 5998–6008.</w:t>
      </w:r>
    </w:p>
    <w:p>
      <w:pPr>
        <w:spacing w:line="312" w:lineRule="auto" w:after="60"/>
        <w:ind w:left="425" w:hanging="425"/>
      </w:pPr>
      <w:r>
        <w:rPr>
          <w:rFonts w:ascii="Times New Roman" w:hAnsi="Times New Roman" w:eastAsia="宋体"/>
          <w:b w:val="0"/>
          <w:i w:val="0"/>
          <w:color w:val="000000"/>
          <w:sz w:val="19"/>
        </w:rPr>
        <w:t>[13]  L. Chen, et al. Decision Transformer: Reinforcement learning via sequence modeling[C]//Advances in Neural Information Processing Systems, 2021, 34: 15084–15097.</w:t>
      </w:r>
    </w:p>
    <w:p>
      <w:pPr>
        <w:spacing w:line="312" w:lineRule="auto" w:after="60"/>
        <w:ind w:left="425" w:hanging="425"/>
      </w:pPr>
      <w:r>
        <w:rPr>
          <w:rFonts w:ascii="Times New Roman" w:hAnsi="Times New Roman" w:eastAsia="宋体"/>
          <w:b w:val="0"/>
          <w:i w:val="0"/>
          <w:color w:val="000000"/>
          <w:sz w:val="19"/>
        </w:rPr>
        <w:t>[14]  M. Janner, Q. Li, S. Levine. Offline reinforcement learning as one big sequence modeling problem[C]//Advances in Neural Information Processing Systems, 2021, 34: 1273–1286.</w:t>
      </w:r>
    </w:p>
    <w:p>
      <w:pPr>
        <w:spacing w:line="312" w:lineRule="auto" w:after="60"/>
        <w:ind w:left="425" w:hanging="425"/>
      </w:pPr>
      <w:r>
        <w:rPr>
          <w:rFonts w:ascii="Times New Roman" w:hAnsi="Times New Roman" w:eastAsia="宋体"/>
          <w:b w:val="0"/>
          <w:i w:val="0"/>
          <w:color w:val="000000"/>
          <w:sz w:val="19"/>
        </w:rPr>
        <w:t>[15]  C. Chi, et al. Diffusion policy: Visuomotor policy learning via action diffusion[C]//Robotics: Science and Systems, 2023.</w:t>
      </w:r>
    </w:p>
    <w:p>
      <w:pPr>
        <w:spacing w:line="312" w:lineRule="auto" w:after="60"/>
        <w:ind w:left="425" w:hanging="425"/>
      </w:pPr>
      <w:r>
        <w:rPr>
          <w:rFonts w:ascii="Times New Roman" w:hAnsi="Times New Roman" w:eastAsia="宋体"/>
          <w:b w:val="0"/>
          <w:i w:val="0"/>
          <w:color w:val="000000"/>
          <w:sz w:val="19"/>
        </w:rPr>
        <w:t>[16]  D. Liberzon. Switching in Systems and Control[M]. Birkhäuser, 2003.</w:t>
      </w:r>
    </w:p>
    <w:p>
      <w:pPr>
        <w:spacing w:line="312" w:lineRule="auto" w:after="60"/>
        <w:ind w:left="425" w:hanging="425"/>
      </w:pPr>
      <w:r>
        <w:rPr>
          <w:rFonts w:ascii="Times New Roman" w:hAnsi="Times New Roman" w:eastAsia="宋体"/>
          <w:b w:val="0"/>
          <w:i w:val="0"/>
          <w:color w:val="000000"/>
          <w:sz w:val="19"/>
        </w:rPr>
        <w:t>[17]  Z. Zhao, X. Liu, T. Wang, Z. Zhou, M. Zhang. Hybrid control scheme of nonlinear model prediction and adaptive terminal sliding mode for underwater vehicles based on threshold switching[J]. ISA Transactions, 2026, 176: 580–590.</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 arabic \* MERGEFORMAT">
      <w:r>
        <w:rPr>
          <w:sz w:val="18"/>
          <w:color w:val="808080"/>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b w:val="0"/>
        <w:i w:val="0"/>
        <w:color w:val="606060"/>
        <w:sz w:val="18"/>
      </w:rPr>
      <w:t>预测权限控制用于自主水下航行器</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