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80" w:after="120"/>
      </w:pPr>
      <w:r>
        <w:rPr>
          <w:rFonts w:ascii="Times New Roman" w:hAnsi="Times New Roman" w:eastAsia="黑体"/>
          <w:b/>
          <w:sz w:val="28"/>
        </w:rPr>
        <w:t>国内外同类方法参数量与控制效果对比调研</w:t>
      </w:r>
    </w:p>
    <w:p>
      <w:pPr>
        <w:spacing w:before="200" w:after="120"/>
      </w:pPr>
      <w:r>
        <w:rPr>
          <w:rFonts w:ascii="Times New Roman" w:hAnsi="Times New Roman" w:eastAsia="黑体"/>
          <w:b/>
          <w:sz w:val="24"/>
        </w:rPr>
        <w:t>一、PAC 规格（基准）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268"/>
            <w:shd w:val="clear" w:fill="F2F2F2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7"/>
              </w:rPr>
              <w:t>指标</w:t>
            </w:r>
          </w:p>
        </w:tc>
        <w:tc>
          <w:tcPr>
            <w:tcW w:type="dxa" w:w="6236"/>
            <w:shd w:val="clear" w:fill="F2F2F2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7"/>
              </w:rPr>
              <w:t>数值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>
              <w:rPr>
                <w:rFonts w:ascii="Times New Roman" w:hAnsi="Times New Roman" w:eastAsia="宋体"/>
                <w:sz w:val="17"/>
              </w:rPr>
              <w:t>Transformer 骨干</w:t>
            </w:r>
          </w:p>
        </w:tc>
        <w:tc>
          <w:tcPr>
            <w:tcW w:type="dxa" w:w="6236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7"/>
              </w:rPr>
              <w:t>14,113 参数 / 55.1 KB (FP32)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>
              <w:rPr>
                <w:rFonts w:ascii="Times New Roman" w:hAnsi="Times New Roman" w:eastAsia="宋体"/>
                <w:sz w:val="17"/>
              </w:rPr>
              <w:t>残差头</w:t>
            </w:r>
          </w:p>
        </w:tc>
        <w:tc>
          <w:tcPr>
            <w:tcW w:type="dxa" w:w="6236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7"/>
              </w:rPr>
              <w:t>2,177 参数 / 8.5 KB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>
              <w:rPr>
                <w:rFonts w:ascii="Times New Roman" w:hAnsi="Times New Roman" w:eastAsia="宋体"/>
                <w:sz w:val="17"/>
              </w:rPr>
              <w:t>部署总计</w:t>
            </w:r>
          </w:p>
        </w:tc>
        <w:tc>
          <w:tcPr>
            <w:tcW w:type="dxa" w:w="6236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7"/>
              </w:rPr>
              <w:t>16,290 参数 / 63.6 KB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>
              <w:rPr>
                <w:rFonts w:ascii="Times New Roman" w:hAnsi="Times New Roman" w:eastAsia="宋体"/>
                <w:sz w:val="17"/>
              </w:rPr>
              <w:t>每步推理代价</w:t>
            </w:r>
          </w:p>
        </w:tc>
        <w:tc>
          <w:tcPr>
            <w:tcW w:type="dxa" w:w="6236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7"/>
              </w:rPr>
              <w:t>~0.23M MACs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>
              <w:rPr>
                <w:rFonts w:ascii="Times New Roman" w:hAnsi="Times New Roman" w:eastAsia="宋体"/>
                <w:sz w:val="17"/>
              </w:rPr>
              <w:t>输出维度</w:t>
            </w:r>
          </w:p>
        </w:tc>
        <w:tc>
          <w:tcPr>
            <w:tcW w:type="dxa" w:w="6236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7"/>
              </w:rPr>
              <w:t>1（标量 α）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>
              <w:rPr>
                <w:rFonts w:ascii="Times New Roman" w:hAnsi="Times New Roman" w:eastAsia="宋体"/>
                <w:sz w:val="17"/>
              </w:rPr>
              <w:t>控制频率</w:t>
            </w:r>
          </w:p>
        </w:tc>
        <w:tc>
          <w:tcPr>
            <w:tcW w:type="dxa" w:w="6236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7"/>
              </w:rPr>
              <w:t>100 Hz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>
              <w:rPr>
                <w:rFonts w:ascii="Times New Roman" w:hAnsi="Times New Roman" w:eastAsia="宋体"/>
                <w:sz w:val="17"/>
              </w:rPr>
              <w:t>ID RMSE</w:t>
            </w:r>
          </w:p>
        </w:tc>
        <w:tc>
          <w:tcPr>
            <w:tcW w:type="dxa" w:w="6236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7"/>
              </w:rPr>
              <w:t>0.066 m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>
              <w:rPr>
                <w:rFonts w:ascii="Times New Roman" w:hAnsi="Times New Roman" w:eastAsia="宋体"/>
                <w:sz w:val="17"/>
              </w:rPr>
              <w:t>OOD RMSE</w:t>
            </w:r>
          </w:p>
        </w:tc>
        <w:tc>
          <w:tcPr>
            <w:tcW w:type="dxa" w:w="6236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7"/>
              </w:rPr>
              <w:t>0.116 m（−28% vs 监督基线）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>
              <w:rPr>
                <w:rFonts w:ascii="Times New Roman" w:hAnsi="Times New Roman" w:eastAsia="宋体"/>
                <w:sz w:val="17"/>
              </w:rPr>
              <w:t>执行器退化 RMSE</w:t>
            </w:r>
          </w:p>
        </w:tc>
        <w:tc>
          <w:tcPr>
            <w:tcW w:type="dxa" w:w="6236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7"/>
              </w:rPr>
              <w:t>0.090 m（MPC 单独：0.822 m）</w:t>
            </w:r>
          </w:p>
        </w:tc>
      </w:tr>
    </w:tbl>
    <w:p>
      <w:pPr>
        <w:spacing w:before="200" w:after="120"/>
      </w:pPr>
      <w:r>
        <w:rPr>
          <w:rFonts w:ascii="Times New Roman" w:hAnsi="Times New Roman" w:eastAsia="黑体"/>
          <w:b/>
          <w:sz w:val="24"/>
        </w:rPr>
        <w:t>二、对标论文对比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587"/>
            <w:shd w:val="clear" w:fill="F2F2F2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7"/>
              </w:rPr>
              <w:t>方法</w:t>
            </w:r>
          </w:p>
        </w:tc>
        <w:tc>
          <w:tcPr>
            <w:tcW w:type="dxa" w:w="1020"/>
            <w:shd w:val="clear" w:fill="F2F2F2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7"/>
              </w:rPr>
              <w:t>来源</w:t>
            </w:r>
          </w:p>
        </w:tc>
        <w:tc>
          <w:tcPr>
            <w:tcW w:type="dxa" w:w="1020"/>
            <w:shd w:val="clear" w:fill="F2F2F2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7"/>
              </w:rPr>
              <w:t>参数量</w:t>
            </w:r>
          </w:p>
        </w:tc>
        <w:tc>
          <w:tcPr>
            <w:tcW w:type="dxa" w:w="907"/>
            <w:shd w:val="clear" w:fill="F2F2F2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7"/>
              </w:rPr>
              <w:t>模型大小</w:t>
            </w:r>
          </w:p>
        </w:tc>
        <w:tc>
          <w:tcPr>
            <w:tcW w:type="dxa" w:w="907"/>
            <w:shd w:val="clear" w:fill="F2F2F2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7"/>
              </w:rPr>
              <w:t>输出维度</w:t>
            </w:r>
          </w:p>
        </w:tc>
        <w:tc>
          <w:tcPr>
            <w:tcW w:type="dxa" w:w="964"/>
            <w:shd w:val="clear" w:fill="F2F2F2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7"/>
              </w:rPr>
              <w:t>安全回退</w:t>
            </w:r>
          </w:p>
        </w:tc>
        <w:tc>
          <w:tcPr>
            <w:tcW w:type="dxa" w:w="794"/>
            <w:shd w:val="clear" w:fill="F2F2F2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7"/>
              </w:rPr>
              <w:t>OOD测试</w:t>
            </w:r>
          </w:p>
        </w:tc>
      </w:tr>
      <w:tr>
        <w:tc>
          <w:tcPr>
            <w:tcW w:type="dxa" w:w="1587"/>
          </w:tcPr>
          <w:p>
            <w:pPr>
              <w:jc w:val="left"/>
            </w:pPr>
            <w:r>
              <w:rPr>
                <w:rFonts w:ascii="Times New Roman" w:hAnsi="Times New Roman" w:eastAsia="宋体"/>
                <w:sz w:val="17"/>
              </w:rPr>
              <w:t>PAC（本文）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7"/>
              </w:rPr>
              <w:t>—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7"/>
              </w:rPr>
              <w:t>16,290</w:t>
            </w:r>
          </w:p>
        </w:tc>
        <w:tc>
          <w:tcPr>
            <w:tcW w:type="dxa" w:w="907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7"/>
              </w:rPr>
              <w:t>63.6 KB</w:t>
            </w:r>
          </w:p>
        </w:tc>
        <w:tc>
          <w:tcPr>
            <w:tcW w:type="dxa" w:w="907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7"/>
              </w:rPr>
              <w:t>1（α）</w:t>
            </w:r>
          </w:p>
        </w:tc>
        <w:tc>
          <w:tcPr>
            <w:tcW w:type="dxa" w:w="964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7"/>
              </w:rPr>
              <w:t>✓ 零初始化</w:t>
            </w:r>
          </w:p>
        </w:tc>
        <w:tc>
          <w:tcPr>
            <w:tcW w:type="dxa" w:w="794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7"/>
              </w:rPr>
              <w:t>10族</w:t>
            </w:r>
          </w:p>
        </w:tc>
      </w:tr>
      <w:tr>
        <w:tc>
          <w:tcPr>
            <w:tcW w:type="dxa" w:w="1587"/>
          </w:tcPr>
          <w:p>
            <w:pPr>
              <w:jc w:val="left"/>
            </w:pPr>
            <w:r>
              <w:rPr>
                <w:rFonts w:ascii="Times New Roman" w:hAnsi="Times New Roman" w:eastAsia="宋体"/>
                <w:sz w:val="17"/>
              </w:rPr>
              <w:t>Cai et al.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7"/>
              </w:rPr>
              <w:t>ICRA 2025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7"/>
              </w:rPr>
              <w:t>~70K*</w:t>
            </w:r>
          </w:p>
        </w:tc>
        <w:tc>
          <w:tcPr>
            <w:tcW w:type="dxa" w:w="907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7"/>
              </w:rPr>
              <w:t>~280 KB*</w:t>
            </w:r>
          </w:p>
        </w:tc>
        <w:tc>
          <w:tcPr>
            <w:tcW w:type="dxa" w:w="907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7"/>
              </w:rPr>
              <w:t>6（推杆）</w:t>
            </w:r>
          </w:p>
        </w:tc>
        <w:tc>
          <w:tcPr>
            <w:tcW w:type="dxa" w:w="964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7"/>
              </w:rPr>
              <w:t>✗</w:t>
            </w:r>
          </w:p>
        </w:tc>
        <w:tc>
          <w:tcPr>
            <w:tcW w:type="dxa" w:w="794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7"/>
              </w:rPr>
              <w:t>参数偏移</w:t>
            </w:r>
          </w:p>
        </w:tc>
      </w:tr>
      <w:tr>
        <w:tc>
          <w:tcPr>
            <w:tcW w:type="dxa" w:w="1587"/>
          </w:tcPr>
          <w:p>
            <w:pPr>
              <w:jc w:val="left"/>
            </w:pPr>
            <w:r>
              <w:rPr>
                <w:rFonts w:ascii="Times New Roman" w:hAnsi="Times New Roman" w:eastAsia="宋体"/>
                <w:sz w:val="17"/>
              </w:rPr>
              <w:t>Fan et al.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7"/>
              </w:rPr>
              <w:t>TCST 2024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7"/>
              </w:rPr>
              <w:t>~320K*</w:t>
            </w:r>
          </w:p>
        </w:tc>
        <w:tc>
          <w:tcPr>
            <w:tcW w:type="dxa" w:w="907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7"/>
              </w:rPr>
              <w:t>~1.3 MB*</w:t>
            </w:r>
          </w:p>
        </w:tc>
        <w:tc>
          <w:tcPr>
            <w:tcW w:type="dxa" w:w="907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7"/>
              </w:rPr>
              <w:t>6（推杆）</w:t>
            </w:r>
          </w:p>
        </w:tc>
        <w:tc>
          <w:tcPr>
            <w:tcW w:type="dxa" w:w="964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7"/>
              </w:rPr>
              <w:t>✗</w:t>
            </w:r>
          </w:p>
        </w:tc>
        <w:tc>
          <w:tcPr>
            <w:tcW w:type="dxa" w:w="794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7"/>
              </w:rPr>
              <w:t>无</w:t>
            </w:r>
          </w:p>
        </w:tc>
      </w:tr>
      <w:tr>
        <w:tc>
          <w:tcPr>
            <w:tcW w:type="dxa" w:w="1587"/>
          </w:tcPr>
          <w:p>
            <w:pPr>
              <w:jc w:val="left"/>
            </w:pPr>
            <w:r>
              <w:rPr>
                <w:rFonts w:ascii="Times New Roman" w:hAnsi="Times New Roman" w:eastAsia="宋体"/>
                <w:sz w:val="17"/>
              </w:rPr>
              <w:t>Johannink et al.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7"/>
              </w:rPr>
              <w:t>ICRA 2019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7"/>
              </w:rPr>
              <w:t>~100K*</w:t>
            </w:r>
          </w:p>
        </w:tc>
        <w:tc>
          <w:tcPr>
            <w:tcW w:type="dxa" w:w="907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7"/>
              </w:rPr>
              <w:t>~400 KB*</w:t>
            </w:r>
          </w:p>
        </w:tc>
        <w:tc>
          <w:tcPr>
            <w:tcW w:type="dxa" w:w="907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7"/>
              </w:rPr>
              <w:t>关节空间</w:t>
            </w:r>
          </w:p>
        </w:tc>
        <w:tc>
          <w:tcPr>
            <w:tcW w:type="dxa" w:w="964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7"/>
              </w:rPr>
              <w:t>✗</w:t>
            </w:r>
          </w:p>
        </w:tc>
        <w:tc>
          <w:tcPr>
            <w:tcW w:type="dxa" w:w="794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7"/>
              </w:rPr>
              <w:t>无</w:t>
            </w:r>
          </w:p>
        </w:tc>
      </w:tr>
      <w:tr>
        <w:tc>
          <w:tcPr>
            <w:tcW w:type="dxa" w:w="1587"/>
          </w:tcPr>
          <w:p>
            <w:pPr>
              <w:jc w:val="left"/>
            </w:pPr>
            <w:r>
              <w:rPr>
                <w:rFonts w:ascii="Times New Roman" w:hAnsi="Times New Roman" w:eastAsia="宋体"/>
                <w:sz w:val="17"/>
              </w:rPr>
              <w:t>Xu et al. RBF-NN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7"/>
              </w:rPr>
              <w:t>EAAI 2025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7"/>
              </w:rPr>
              <w:t>100–500**</w:t>
            </w:r>
          </w:p>
        </w:tc>
        <w:tc>
          <w:tcPr>
            <w:tcW w:type="dxa" w:w="907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7"/>
              </w:rPr>
              <w:t>&lt;2 KB</w:t>
            </w:r>
          </w:p>
        </w:tc>
        <w:tc>
          <w:tcPr>
            <w:tcW w:type="dxa" w:w="907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7"/>
              </w:rPr>
              <w:t>控制律</w:t>
            </w:r>
          </w:p>
        </w:tc>
        <w:tc>
          <w:tcPr>
            <w:tcW w:type="dxa" w:w="964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7"/>
              </w:rPr>
              <w:t>Lyapunov</w:t>
            </w:r>
          </w:p>
        </w:tc>
        <w:tc>
          <w:tcPr>
            <w:tcW w:type="dxa" w:w="794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7"/>
              </w:rPr>
              <w:t>无</w:t>
            </w:r>
          </w:p>
        </w:tc>
      </w:tr>
      <w:tr>
        <w:tc>
          <w:tcPr>
            <w:tcW w:type="dxa" w:w="1587"/>
          </w:tcPr>
          <w:p>
            <w:pPr>
              <w:jc w:val="left"/>
            </w:pPr>
            <w:r>
              <w:rPr>
                <w:rFonts w:ascii="Times New Roman" w:hAnsi="Times New Roman" w:eastAsia="宋体"/>
                <w:sz w:val="17"/>
              </w:rPr>
              <w:t>TinyMPC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7"/>
              </w:rPr>
              <w:t>ICRA 2024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7"/>
              </w:rPr>
              <w:t>N/A（非NN）</w:t>
            </w:r>
          </w:p>
        </w:tc>
        <w:tc>
          <w:tcPr>
            <w:tcW w:type="dxa" w:w="907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7"/>
              </w:rPr>
              <w:t>10–50 KB</w:t>
            </w:r>
          </w:p>
        </w:tc>
        <w:tc>
          <w:tcPr>
            <w:tcW w:type="dxa" w:w="907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7"/>
              </w:rPr>
              <w:t>6（推杆）</w:t>
            </w:r>
          </w:p>
        </w:tc>
        <w:tc>
          <w:tcPr>
            <w:tcW w:type="dxa" w:w="964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7"/>
              </w:rPr>
              <w:t>数学保证</w:t>
            </w:r>
          </w:p>
        </w:tc>
        <w:tc>
          <w:tcPr>
            <w:tcW w:type="dxa" w:w="794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7"/>
              </w:rPr>
              <w:t>无</w:t>
            </w:r>
          </w:p>
        </w:tc>
      </w:tr>
      <w:tr>
        <w:tc>
          <w:tcPr>
            <w:tcW w:type="dxa" w:w="1587"/>
          </w:tcPr>
          <w:p>
            <w:pPr>
              <w:jc w:val="left"/>
            </w:pPr>
            <w:r>
              <w:rPr>
                <w:rFonts w:ascii="Times New Roman" w:hAnsi="Times New Roman" w:eastAsia="宋体"/>
                <w:sz w:val="17"/>
              </w:rPr>
              <w:t>Decision Trans.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7"/>
              </w:rPr>
              <w:t>NeurIPS 2021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7"/>
              </w:rPr>
              <w:t>1M–5M</w:t>
            </w:r>
          </w:p>
        </w:tc>
        <w:tc>
          <w:tcPr>
            <w:tcW w:type="dxa" w:w="907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7"/>
              </w:rPr>
              <w:t>4–20 MB</w:t>
            </w:r>
          </w:p>
        </w:tc>
        <w:tc>
          <w:tcPr>
            <w:tcW w:type="dxa" w:w="907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7"/>
              </w:rPr>
              <w:t>动作序列</w:t>
            </w:r>
          </w:p>
        </w:tc>
        <w:tc>
          <w:tcPr>
            <w:tcW w:type="dxa" w:w="964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7"/>
              </w:rPr>
              <w:t>✗</w:t>
            </w:r>
          </w:p>
        </w:tc>
        <w:tc>
          <w:tcPr>
            <w:tcW w:type="dxa" w:w="794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7"/>
              </w:rPr>
              <w:t>无</w:t>
            </w:r>
          </w:p>
        </w:tc>
      </w:tr>
    </w:tbl>
    <w:p>
      <w:pPr>
        <w:spacing w:line="312" w:lineRule="auto" w:after="120"/>
        <w:jc w:val="both"/>
      </w:pPr>
      <w:r>
        <w:rPr>
          <w:rFonts w:ascii="Times New Roman" w:hAnsi="Times New Roman" w:eastAsia="宋体"/>
          <w:b w:val="0"/>
          <w:color w:val="000000"/>
          <w:sz w:val="18"/>
        </w:rPr>
        <w:t>* 参数量为根据论文描述的架构和标准配置推算的估计值，原论文未明确报告总参数量。这是该领域的普遍问题——2025 年 arXiv 综述（2504.15129）专门指出“学习型端到端控制很少报告实现细节”。</w:t>
      </w:r>
    </w:p>
    <w:p>
      <w:pPr>
        <w:spacing w:line="312" w:lineRule="auto" w:after="120"/>
        <w:jc w:val="both"/>
      </w:pPr>
      <w:r>
        <w:rPr>
          <w:rFonts w:ascii="Times New Roman" w:hAnsi="Times New Roman" w:eastAsia="宋体"/>
          <w:b w:val="0"/>
          <w:color w:val="000000"/>
          <w:sz w:val="18"/>
        </w:rPr>
        <w:t>** RBF 自适应 NN 参数极少（5–20 个神经元），但这是在线自适应方法，与离线训练的深度学习方法不可直接比参数量。</w:t>
      </w:r>
    </w:p>
    <w:p>
      <w:pPr>
        <w:spacing w:before="200" w:after="120"/>
      </w:pPr>
      <w:r>
        <w:rPr>
          <w:rFonts w:ascii="Times New Roman" w:hAnsi="Times New Roman" w:eastAsia="黑体"/>
          <w:b/>
          <w:sz w:val="24"/>
        </w:rPr>
        <w:t>三、轻量化排名</w:t>
      </w:r>
    </w:p>
    <w:p>
      <w:pPr>
        <w:spacing w:line="312" w:lineRule="auto" w:after="120"/>
        <w:ind w:firstLine="440"/>
        <w:jc w:val="both"/>
      </w:pPr>
      <w:r>
        <w:rPr>
          <w:rFonts w:ascii="Times New Roman" w:hAnsi="Times New Roman" w:eastAsia="宋体"/>
          <w:b w:val="0"/>
          <w:color w:val="000000"/>
          <w:sz w:val="22"/>
        </w:rPr>
        <w:t>在深度学习控制器中，PAC 的 16,290 参数是最小的——为同类 RL 控制器的 1/4 到 1/20。63.6 KB 可直接部署在 ARM Cortex-M 级别微控制器上。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268"/>
            <w:shd w:val="clear" w:fill="F2F2F2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7"/>
              </w:rPr>
              <w:t>方法</w:t>
            </w:r>
          </w:p>
        </w:tc>
        <w:tc>
          <w:tcPr>
            <w:tcW w:type="dxa" w:w="1701"/>
            <w:shd w:val="clear" w:fill="F2F2F2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7"/>
              </w:rPr>
              <w:t>参数量</w:t>
            </w:r>
          </w:p>
        </w:tc>
        <w:tc>
          <w:tcPr>
            <w:tcW w:type="dxa" w:w="1701"/>
            <w:shd w:val="clear" w:fill="F2F2F2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7"/>
              </w:rPr>
              <w:t>相对 PAC 倍数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>
              <w:rPr>
                <w:rFonts w:ascii="Times New Roman" w:hAnsi="Times New Roman" w:eastAsia="宋体"/>
                <w:sz w:val="17"/>
              </w:rPr>
              <w:t>RBF 自适应 NN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7"/>
              </w:rPr>
              <w:t>~200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7"/>
              </w:rPr>
              <w:t>0.01x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>
              <w:rPr>
                <w:rFonts w:ascii="Times New Roman" w:hAnsi="Times New Roman" w:eastAsia="宋体"/>
                <w:sz w:val="17"/>
              </w:rPr>
              <w:t>PAC（本文）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7"/>
              </w:rPr>
              <w:t>16,290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7"/>
              </w:rPr>
              <w:t>1x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>
              <w:rPr>
                <w:rFonts w:ascii="Times New Roman" w:hAnsi="Times New Roman" w:eastAsia="宋体"/>
                <w:sz w:val="17"/>
              </w:rPr>
              <w:t>Cai ICRA 2025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7"/>
              </w:rPr>
              <w:t>~70,000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7"/>
              </w:rPr>
              <w:t>4.3x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>
              <w:rPr>
                <w:rFonts w:ascii="Times New Roman" w:hAnsi="Times New Roman" w:eastAsia="宋体"/>
                <w:sz w:val="17"/>
              </w:rPr>
              <w:t>Johannink ICRA 2019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7"/>
              </w:rPr>
              <w:t>~100,000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7"/>
              </w:rPr>
              <w:t>6.1x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>
              <w:rPr>
                <w:rFonts w:ascii="Times New Roman" w:hAnsi="Times New Roman" w:eastAsia="宋体"/>
                <w:sz w:val="17"/>
              </w:rPr>
              <w:t>Fan TCST 2024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7"/>
              </w:rPr>
              <w:t>~320,000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7"/>
              </w:rPr>
              <w:t>19.6x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>
              <w:rPr>
                <w:rFonts w:ascii="Times New Roman" w:hAnsi="Times New Roman" w:eastAsia="宋体"/>
                <w:sz w:val="17"/>
              </w:rPr>
              <w:t>Decision Transformer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7"/>
              </w:rPr>
              <w:t>~1,000,000+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7"/>
              </w:rPr>
              <w:t>61x+</w:t>
            </w:r>
          </w:p>
        </w:tc>
      </w:tr>
    </w:tbl>
    <w:p>
      <w:pPr>
        <w:spacing w:before="200" w:after="120"/>
      </w:pPr>
      <w:r>
        <w:rPr>
          <w:rFonts w:ascii="Times New Roman" w:hAnsi="Times New Roman" w:eastAsia="黑体"/>
          <w:b/>
          <w:sz w:val="24"/>
        </w:rPr>
        <w:t>四、控制效果定位</w:t>
      </w:r>
    </w:p>
    <w:p>
      <w:pPr>
        <w:spacing w:line="312" w:lineRule="auto" w:after="120"/>
        <w:ind w:firstLine="440"/>
        <w:jc w:val="both"/>
      </w:pPr>
      <w:r>
        <w:rPr>
          <w:rFonts w:ascii="Times New Roman" w:hAnsi="Times New Roman" w:eastAsia="宋体"/>
          <w:b w:val="0"/>
          <w:color w:val="000000"/>
          <w:sz w:val="22"/>
        </w:rPr>
        <w:t>1. 绝对精度：ID 0.066 m、OOD 0.116 m。不同论文评估协议不同，直接比米数不公平。</w:t>
      </w:r>
    </w:p>
    <w:p>
      <w:pPr>
        <w:spacing w:line="312" w:lineRule="auto" w:after="120"/>
        <w:ind w:firstLine="440"/>
        <w:jc w:val="both"/>
      </w:pPr>
      <w:r>
        <w:rPr>
          <w:rFonts w:ascii="Times New Roman" w:hAnsi="Times New Roman" w:eastAsia="宋体"/>
          <w:b w:val="0"/>
          <w:color w:val="000000"/>
          <w:sz w:val="22"/>
        </w:rPr>
        <w:t>2. OOD 鲁棒性：PAC 是唯一一个在 10 族分布外扰动上做了系统性测试的——Cai 只测了参数偏移，Fan 没有 OOD 实验。</w:t>
      </w:r>
    </w:p>
    <w:p>
      <w:pPr>
        <w:spacing w:line="312" w:lineRule="auto" w:after="120"/>
        <w:ind w:firstLine="440"/>
        <w:jc w:val="both"/>
      </w:pPr>
      <w:r>
        <w:rPr>
          <w:rFonts w:ascii="Times New Roman" w:hAnsi="Times New Roman" w:eastAsia="宋体"/>
          <w:b w:val="0"/>
          <w:color w:val="000000"/>
          <w:sz w:val="22"/>
        </w:rPr>
        <w:t>3. 安全回退：没有对比论文提供“最坏=已验证基线”保证。这是部署认证优势。</w:t>
      </w:r>
    </w:p>
    <w:p>
      <w:pPr>
        <w:spacing w:line="312" w:lineRule="auto" w:after="120"/>
        <w:ind w:firstLine="440"/>
        <w:jc w:val="both"/>
      </w:pPr>
      <w:r>
        <w:rPr>
          <w:rFonts w:ascii="Times New Roman" w:hAnsi="Times New Roman" w:eastAsia="宋体"/>
          <w:b w:val="0"/>
          <w:color w:val="000000"/>
          <w:sz w:val="22"/>
        </w:rPr>
        <w:t>4. 可解释性：输出 1 维权限 α 可直接审计；端到端输出 6 维推杆指令不可分解。</w:t>
      </w:r>
    </w:p>
    <w:p>
      <w:pPr>
        <w:spacing w:before="200" w:after="120"/>
      </w:pPr>
      <w:r>
        <w:rPr>
          <w:rFonts w:ascii="Times New Roman" w:hAnsi="Times New Roman" w:eastAsia="黑体"/>
          <w:b/>
          <w:sz w:val="24"/>
        </w:rPr>
        <w:t>五、核心结论</w:t>
      </w:r>
    </w:p>
    <w:p>
      <w:pPr>
        <w:spacing w:line="312" w:lineRule="auto" w:after="120"/>
        <w:ind w:firstLine="440"/>
        <w:jc w:val="both"/>
      </w:pPr>
      <w:r>
        <w:rPr>
          <w:rFonts w:ascii="Times New Roman" w:hAnsi="Times New Roman" w:eastAsia="宋体"/>
          <w:b/>
          <w:color w:val="000000"/>
          <w:sz w:val="22"/>
        </w:rPr>
        <w:t>PAC 在深度学习控制器中轻量化程度绝对领先（16,290 参数，63.6 KB，0.23M MACs @100 Hz），同时独有提供可验证的最坏情形回退到已验证基线的安全保证。在 10 族分布外扰动上的系统测试（OOD −28% + 执行器退化免疫 0.822→0.090 m）在同类文献中没有对标。</w:t>
      </w:r>
    </w:p>
    <w:p>
      <w:pPr>
        <w:spacing w:before="200" w:after="120"/>
      </w:pPr>
      <w:r>
        <w:rPr>
          <w:rFonts w:ascii="Times New Roman" w:hAnsi="Times New Roman" w:eastAsia="黑体"/>
          <w:b/>
          <w:sz w:val="24"/>
        </w:rPr>
        <w:t>六、参考文献</w:t>
      </w:r>
    </w:p>
    <w:p>
      <w:pPr>
        <w:spacing w:line="288" w:lineRule="auto" w:after="60"/>
        <w:ind w:left="425" w:hanging="425"/>
      </w:pPr>
      <w:r>
        <w:rPr>
          <w:rFonts w:ascii="Times New Roman" w:hAnsi="Times New Roman"/>
          <w:sz w:val="18"/>
        </w:rPr>
        <w:t>[1]  L. Cai, K. Chang, and Y. Girdhar. Learning to swim: Reinforcement learning for 6-DOF control of thruster-driven autonomous underwater vehicles. In Proc. IEEE ICRA, 2025.</w:t>
      </w:r>
    </w:p>
    <w:p>
      <w:pPr>
        <w:spacing w:line="288" w:lineRule="auto" w:after="60"/>
        <w:ind w:left="425" w:hanging="425"/>
      </w:pPr>
      <w:r>
        <w:rPr>
          <w:rFonts w:ascii="Times New Roman" w:hAnsi="Times New Roman"/>
          <w:sz w:val="18"/>
        </w:rPr>
        <w:t>[2]  Y. Fan, H. Dong, X. Zhao, and P. Denissenko. Path-following control of unmanned underwater vehicle based on an improved TD3 deep reinforcement learning. IEEE Trans. Control Systems Technology, 32(5):1904–1919, 2024.</w:t>
      </w:r>
    </w:p>
    <w:p>
      <w:pPr>
        <w:spacing w:line="288" w:lineRule="auto" w:after="60"/>
        <w:ind w:left="425" w:hanging="425"/>
      </w:pPr>
      <w:r>
        <w:rPr>
          <w:rFonts w:ascii="Times New Roman" w:hAnsi="Times New Roman"/>
          <w:sz w:val="18"/>
        </w:rPr>
        <w:t>[3]  T. Johannink et al. Residual reinforcement learning for robot control. In Proc. IEEE ICRA, 2019, pp. 6023–6029.</w:t>
      </w:r>
    </w:p>
    <w:p>
      <w:pPr>
        <w:spacing w:line="288" w:lineRule="auto" w:after="60"/>
        <w:ind w:left="425" w:hanging="425"/>
      </w:pPr>
      <w:r>
        <w:rPr>
          <w:rFonts w:ascii="Times New Roman" w:hAnsi="Times New Roman"/>
          <w:sz w:val="18"/>
        </w:rPr>
        <w:t>[4]  K. Nguyen, S. Schoedel, A. Alavilli, B. Plancher, and Z. Manchester. TinyMPC: Model-predictive control on resource-constrained microcontrollers. In Proc. IEEE ICRA, 2024.</w:t>
      </w:r>
    </w:p>
    <w:p>
      <w:pPr>
        <w:spacing w:line="288" w:lineRule="auto" w:after="60"/>
        <w:ind w:left="425" w:hanging="425"/>
      </w:pPr>
      <w:r>
        <w:rPr>
          <w:rFonts w:ascii="Times New Roman" w:hAnsi="Times New Roman"/>
          <w:sz w:val="18"/>
        </w:rPr>
        <w:t>[5]  W. Xu. Low complexity adaptive neural network three-dimensional tracking control of autonomous underwater vehicles. Engineering Applications of Artificial Intelligence, 137:109860, 2025.</w:t>
      </w:r>
    </w:p>
    <w:p>
      <w:pPr>
        <w:spacing w:line="288" w:lineRule="auto" w:after="60"/>
        <w:ind w:left="425" w:hanging="425"/>
      </w:pPr>
      <w:r>
        <w:rPr>
          <w:rFonts w:ascii="Times New Roman" w:hAnsi="Times New Roman"/>
          <w:sz w:val="18"/>
        </w:rPr>
        <w:t>[6]  L. Chen et al. Decision Transformer: Reinforcement learning via sequence modeling. In NeurIPS, 2021.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