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经典水下控制器以互补的方式失效：滑模控制（SMC）鲁棒但粗糙；受约束模型预测控制（MPC）精准，却在执行器退化下崩溃——我们的仿真中其跟踪误差达 0.822 m，约为正常水平的九倍。预测权限控制（PAC）不替代这些控制器：一个紧凑的时序编码器预测有界的权限系数，对两个专家指令做凸混合，推进器指令从不由网络产生。本文在监督 PAC 策略之上引入受约束残差阶段（残差 PAC）：监督器冻结，新增零初始化的 2,177 参数头输出不超过 0.1 的修正量，系统在部署起点与基线数值一致。在 1,680 次配对、预注册的仿真滚动评估中（覆盖分布内与分布外扰动族），残差策略将分布外（相对扰动族采样）跟踪均方根误差降低 28%（0.161 m 至 0.116 m；95% 置信区间 [−0.074, −0.015] m），将退化失效约束至 0.090 m，并付出可测量的代价：分布内误差 +0.4%、艏向误差 +4.3%、求解器超时率上升。固定混合 α=0.5 总体上与之相差不足 3%，因此残差的价值集中在最需要自适应处，而非平均值。预注册判定中与残差阶段相关的六项准则：三项通过、两项未通过、一项未评估，全部如实报告。</w:t>
      </w:r>
    </w:p>
    <w:p>
      <w:pPr>
        <w:spacing w:line="312" w:lineRule="auto" w:after="240"/>
        <w:ind w:firstLine="420"/>
        <w:jc w:val="both"/>
      </w:pPr>
      <w:r>
        <w:rPr>
          <w:rFonts w:ascii="Times New Roman" w:hAnsi="Times New Roman" w:eastAsia="宋体"/>
          <w:b/>
          <w:i w:val="0"/>
          <w:color w:val="000000"/>
          <w:sz w:val="21"/>
        </w:rPr>
        <w:t>全部证据为仿真级别；第 8 节的硬件验证协议尚待执行。</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精确轨迹跟踪是自主水下航行器（AUV）巡检、作业与取样的核心。该任务至今困难：水动力系数不确定、海流随海域变化、推进器随老化出现响应延迟与噪声[1,2]。SMC 以透明的反馈结构抑制有界扰动，但代价是保守增益与抖振；MPC 引入预测与约束[3]，其性能却依赖模型保真度——执行器退化后内部模型不再代表真实对象，优化器在错误前提上自信地给出失效指令。</w:t>
      </w:r>
    </w:p>
    <w:p>
      <w:pPr>
        <w:spacing w:line="312" w:lineRule="auto" w:after="120"/>
        <w:ind w:firstLine="420"/>
        <w:jc w:val="both"/>
      </w:pPr>
      <w:r>
        <w:rPr>
          <w:rFonts w:ascii="Times New Roman" w:hAnsi="Times New Roman" w:eastAsia="宋体"/>
          <w:b w:val="0"/>
          <w:i w:val="0"/>
          <w:color w:val="000000"/>
          <w:sz w:val="21"/>
        </w:rPr>
        <w:t>本文只回答一个问题：面对两个完整且互补的控制器，航行器每一时刻应当各信任多少？答案随扰动状态连续变化，无法由人工设计的切换规则解决[16]。</w:t>
      </w:r>
    </w:p>
    <w:p>
      <w:pPr>
        <w:spacing w:line="312" w:lineRule="auto" w:after="120"/>
        <w:ind w:firstLine="420"/>
        <w:jc w:val="both"/>
      </w:pPr>
      <w:r>
        <w:rPr>
          <w:rFonts w:ascii="Times New Roman" w:hAnsi="Times New Roman" w:eastAsia="宋体"/>
          <w:b w:val="0"/>
          <w:i w:val="0"/>
          <w:color w:val="000000"/>
          <w:sz w:val="21"/>
        </w:rPr>
        <w:t>我们以权限分配研究该问题。PAC 策略不学习六维推进器指令，而是预测标量 αₜ ∈ [0,1] 并施加</w:t>
      </w:r>
    </w:p>
    <w:p>
      <w:pPr>
        <w:spacing w:line="312" w:lineRule="auto" w:before="80" w:after="120"/>
        <w:jc w:val="center"/>
      </w:pPr>
      <w:r>
        <w:rPr>
          <w:rFonts w:ascii="Times New Roman" w:hAnsi="Times New Roman" w:eastAsia="楷体"/>
          <w:b w:val="0"/>
          <w:i/>
          <w:color w:val="000000"/>
          <w:sz w:val="21"/>
        </w:rPr>
        <w:t>uₜ = (1 − αₜ) uₜᴴᴹᶜ + αₜ uₜᴹᴳᶜ ,   αₜ ∈ [0, 1],   (1)</w:t>
      </w:r>
    </w:p>
    <w:p>
      <w:pPr>
        <w:spacing w:line="312" w:lineRule="auto" w:after="120"/>
        <w:ind w:firstLine="420"/>
        <w:jc w:val="both"/>
      </w:pPr>
      <w:r>
        <w:rPr>
          <w:rFonts w:ascii="Times New Roman" w:hAnsi="Times New Roman" w:eastAsia="宋体"/>
          <w:b w:val="0"/>
          <w:i w:val="0"/>
          <w:color w:val="000000"/>
          <w:sz w:val="21"/>
        </w:rPr>
        <w:t>其中 uᴴᴹᶜ 与 uᴹᴳᶜ 分别为 SMC 与 MPC 指令。两个控制器保持显式，学习输出有界且可解释，变化率限制阻止权限的突变转移。采用 Transformer 编码短历史，是因为控制器偏好不仅取决于瞬时误差，还取决于误差正在增大、正在恢复，还是与执行器饱和同时发生。</w:t>
      </w:r>
    </w:p>
    <w:p>
      <w:pPr>
        <w:spacing w:line="312" w:lineRule="auto" w:after="120"/>
        <w:ind w:firstLine="420"/>
        <w:jc w:val="both"/>
      </w:pPr>
      <w:r>
        <w:rPr>
          <w:rFonts w:ascii="Times New Roman" w:hAnsi="Times New Roman" w:eastAsia="宋体"/>
          <w:b w:val="0"/>
          <w:i w:val="0"/>
          <w:color w:val="000000"/>
          <w:sz w:val="21"/>
        </w:rPr>
        <w:t>我们的初步实验建立了该思想的监督形态，也暴露了其缺陷：在训练从未出现的扰动族下，学习到的系数劣于不自适应的常数混合，且在全值域内振荡。本文以受约束残差回应该缺陷，做出三项贡献，各自回应上述问题：</w:t>
      </w:r>
    </w:p>
    <w:p>
      <w:pPr>
        <w:spacing w:line="312" w:lineRule="auto" w:after="120"/>
        <w:ind w:firstLine="420"/>
        <w:jc w:val="both"/>
      </w:pPr>
      <w:r>
        <w:rPr>
          <w:rFonts w:ascii="Times New Roman" w:hAnsi="Times New Roman" w:eastAsia="宋体"/>
          <w:b/>
          <w:i w:val="0"/>
          <w:color w:val="000000"/>
          <w:sz w:val="21"/>
        </w:rPr>
        <w:t>冻结监督器之上的有界残差学习。</w:t>
      </w:r>
      <w:r>
        <w:rPr>
          <w:rFonts w:ascii="Times New Roman" w:hAnsi="Times New Roman" w:eastAsia="宋体"/>
          <w:b w:val="0"/>
          <w:i w:val="0"/>
          <w:color w:val="000000"/>
          <w:sz w:val="21"/>
        </w:rPr>
        <w:t>强化学习头对监督式信任答案的每步修正不超过 0.1，且零初始化——组合策略在训练前与已部署基线数值一致，此后只能在有界包络内修正信任。</w:t>
      </w:r>
    </w:p>
    <w:p>
      <w:pPr>
        <w:spacing w:line="312" w:lineRule="auto" w:after="120"/>
        <w:ind w:firstLine="420"/>
        <w:jc w:val="both"/>
      </w:pPr>
      <w:r>
        <w:rPr>
          <w:rFonts w:ascii="Times New Roman" w:hAnsi="Times New Roman" w:eastAsia="宋体"/>
          <w:b/>
          <w:i w:val="0"/>
          <w:color w:val="000000"/>
          <w:sz w:val="21"/>
        </w:rPr>
        <w:t>分布偏移下的运动层证据。</w:t>
      </w:r>
      <w:r>
        <w:rPr>
          <w:rFonts w:ascii="Times New Roman" w:hAnsi="Times New Roman" w:eastAsia="宋体"/>
          <w:b w:val="0"/>
          <w:i w:val="0"/>
          <w:color w:val="000000"/>
          <w:sz w:val="21"/>
        </w:rPr>
        <w:t>轨迹、姿态与误差时序——而非仅聚合指标——展示残差价值所在：监督策略把信任交给正在失效的优化器，残差学会了否决这种转移。</w:t>
      </w:r>
    </w:p>
    <w:p>
      <w:pPr>
        <w:spacing w:line="312" w:lineRule="auto" w:after="120"/>
        <w:ind w:firstLine="420"/>
        <w:jc w:val="both"/>
      </w:pPr>
      <w:r>
        <w:rPr>
          <w:rFonts w:ascii="Times New Roman" w:hAnsi="Times New Roman" w:eastAsia="宋体"/>
          <w:b/>
          <w:i w:val="0"/>
          <w:color w:val="000000"/>
          <w:sz w:val="21"/>
        </w:rPr>
        <w:t>报告自身失败的预注册评估。</w:t>
      </w:r>
      <w:r>
        <w:rPr>
          <w:rFonts w:ascii="Times New Roman" w:hAnsi="Times New Roman" w:eastAsia="宋体"/>
          <w:b w:val="0"/>
          <w:i w:val="0"/>
          <w:color w:val="000000"/>
          <w:sz w:val="21"/>
        </w:rPr>
        <w:t>多种方法在每方法-种子组合 120 个配对回合上比较，采用模型种子置信区间且不做事后挑选；两项未通过与一项未评估的判定与通过项一并报告。</w:t>
      </w:r>
    </w:p>
    <w:p>
      <w:pPr>
        <w:spacing w:line="312" w:lineRule="auto" w:after="120"/>
        <w:ind w:firstLine="420"/>
        <w:jc w:val="both"/>
      </w:pPr>
      <w:r>
        <w:rPr>
          <w:rFonts w:ascii="Times New Roman" w:hAnsi="Times New Roman" w:eastAsia="宋体"/>
          <w:b w:val="0"/>
          <w:i w:val="0"/>
          <w:color w:val="000000"/>
          <w:sz w:val="21"/>
        </w:rPr>
        <w:t>本文其余部分安排：第 3 节框架，第 4 节学习阶段，第 5 节实验协议，第 6 节运动层与机制层结果，第 7 节局限，第 8 节计划中的硬件验证。</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预测权限控制架构。(a) 闭环：专家产生指令并由 α 混合；冻结时序编码器预测监督系数，有界、零初始化残差头对其修正。(b) 分层安全滤波（按执行顺序）。(c) 两阶段训练。</w:t>
      </w:r>
    </w:p>
    <w:p>
      <w:pPr>
        <w:keepNext/>
        <w:spacing w:before="160"/>
        <w:jc w:val="center"/>
      </w:pPr>
      <w:r>
        <w:drawing>
          <wp:inline xmlns:a="http://schemas.openxmlformats.org/drawingml/2006/main" xmlns:pic="http://schemas.openxmlformats.org/drawingml/2006/picture">
            <wp:extent cx="5760720" cy="2736265"/>
            <wp:docPr id="2" name="Picture 2"/>
            <wp:cNvGraphicFramePr>
              <a:graphicFrameLocks noChangeAspect="1"/>
            </wp:cNvGraphicFramePr>
            <a:graphic>
              <a:graphicData uri="http://schemas.openxmlformats.org/drawingml/2006/picture">
                <pic:pic>
                  <pic:nvPicPr>
                    <pic:cNvPr id="0" name="fig_network_training.png"/>
                    <pic:cNvPicPr/>
                  </pic:nvPicPr>
                  <pic:blipFill>
                    <a:blip r:embed="rId12"/>
                    <a:stretch>
                      <a:fillRect/>
                    </a:stretch>
                  </pic:blipFill>
                  <pic:spPr>
                    <a:xfrm>
                      <a:off x="0" y="0"/>
                      <a:ext cx="5760720" cy="2736265"/>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w:r>
        <w:rPr>
          <w:rFonts w:ascii="Times New Roman" w:hAnsi="Times New Roman" w:eastAsia="楷体"/>
          <w:b w:val="0"/>
          <w:i/>
          <w:color w:val="000000"/>
          <w:sz w:val="21"/>
        </w:rPr>
        <w:t>J(α) = ‖eₓᵧ‖² + 0.7 eᵣ² + 0.08 eψ² + 0.02 mean([|u| − 0.92]₊²) + 0.01 mean((u − uₜ₋₁)²),   (2)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w:r>
        <w:rPr>
          <w:rFonts w:ascii="Times New Roman" w:hAnsi="Times New Roman" w:eastAsia="楷体"/>
          <w:b w:val="0"/>
          <w:i/>
          <w:color w:val="000000"/>
          <w:sz w:val="21"/>
        </w:rPr>
        <w:t>αₜ = clip[0,1]( α̂ₜ + Δαₜ ),   Δαₜ = 0.1 tanh(zₜ),   (3)</w:t>
      </w:r>
    </w:p>
    <w:p>
      <w:pPr>
        <w:spacing w:line="312" w:lineRule="auto" w:after="120"/>
        <w:ind w:firstLine="420"/>
        <w:jc w:val="both"/>
      </w:pPr>
      <w:r>
        <w:rPr>
          <w:rFonts w:ascii="Times New Roman" w:hAnsi="Times New Roman" w:eastAsia="宋体"/>
          <w:b w:val="0"/>
          <w:i w:val="0"/>
          <w:color w:val="000000"/>
          <w:sz w:val="21"/>
        </w:rPr>
        <w:t>其中 zₜ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以三维路径、水平投影与垂向误差展示两个代表性配对回合——分布内正弦海流与分布外执行器退化回合。分布内，全部学习与混合方法紧贴利萨如参考，SMC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垂向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