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 xml:space="preserve">Classical underwater controllers provide useful structure but exhibit complementary failure modes under changing currents: robust feedback can be conservative, whereas a predictive controller can be accurate in favorable regimes yet degrade under model mismatch. We introduce Predictive Authority Control (PAC), a compact Transformer policy that does not replace these controllers. Instead, it predicts a bounded scalar authority coefficient from a short state–controller history and continuously blends the outputs of a sliding-mode controller and a constrained model predictive controller. Training uses supervised predictive initialization from a short-horizon rollout oracle, followed by constrained residual reinforcement learning on the frozen backbone. In a six-degree-of-freedom simulation of a 10-kg, six-thruster autonomous underwater vehicle, five independently trained residual policies are evaluated over 1,680 paired rollouts spanning in-distribution and out-of-distribution disturbance families. The residual policy obtains an out-of-distribution 3-D position RMSE of </w:t>
      </w:r>
      <m:oMath xmlns:mml="http://www.w3.org/1998/Math/MathML">
        <m:r>
          <m:t>0.1160±0.0011</m:t>
        </m:r>
      </m:oMath>
      <w:r>
        <w:rPr>
          <w:rFonts w:ascii="Times New Roman" w:hAnsi="Times New Roman" w:eastAsia="Times New Roman"/>
          <w:b w:val="0"/>
          <w:i w:val="0"/>
          <w:color w:val="000000"/>
          <w:sz w:val="22"/>
        </w:rPr>
        <w:t xml:space="preserve"> m, compared with </w:t>
      </w:r>
      <m:oMath xmlns:mml="http://www.w3.org/1998/Math/MathML">
        <m:r>
          <m:t>0.1605±0.0239</m:t>
        </m:r>
      </m:oMath>
      <w:r>
        <w:rPr>
          <w:rFonts w:ascii="Times New Roman" w:hAnsi="Times New Roman" w:eastAsia="Times New Roman"/>
          <w:b w:val="0"/>
          <w:i w:val="0"/>
          <w:color w:val="000000"/>
          <w:sz w:val="22"/>
        </w:rPr>
        <w:t xml:space="preserve"> m for the supervised baseline, </w:t>
      </w:r>
      <m:oMath xmlns:mml="http://www.w3.org/1998/Math/MathML">
        <m:r>
          <m:t>0.2482</m:t>
        </m:r>
      </m:oMath>
      <w:r>
        <w:rPr>
          <w:rFonts w:ascii="Times New Roman" w:hAnsi="Times New Roman" w:eastAsia="Times New Roman"/>
          <w:b w:val="0"/>
          <w:i w:val="0"/>
          <w:color w:val="000000"/>
          <w:sz w:val="22"/>
        </w:rPr>
        <w:t xml:space="preserve"> m for sliding-mode control, and </w:t>
      </w:r>
      <m:oMath xmlns:mml="http://www.w3.org/1998/Math/MathML">
        <m:r>
          <m:t>0.2213</m:t>
        </m:r>
      </m:oMath>
      <w:r>
        <w:rPr>
          <w:rFonts w:ascii="Times New Roman" w:hAnsi="Times New Roman" w:eastAsia="Times New Roman"/>
          <w:b w:val="0"/>
          <w:i w:val="0"/>
          <w:color w:val="000000"/>
          <w:sz w:val="22"/>
        </w:rPr>
        <w:t xml:space="preserve"> m for the predictive baseline, corresponding to reductions of 27.8\%, 53.3\%, and 47.6\%, respectively. The residual policy also reduces mean maximum error by 31.1\% and 28.0\% relative to SMC and MPC. The gains are not free: the residual policy uses 4.4\% more in-distribution position error and 4.3\% more heading error than the supervised baseline, and its solver deadline-miss fraction rises from 0.69 to 0.80 out-of-distribution. These results support learned temporal authority allocation as an interpretable alternative to direct neural control.</w:t>
      </w:r>
    </w:p>
    <w:p>
      <w:pPr>
        <w:spacing w:line="312" w:lineRule="auto" w:after="240"/>
        <w:jc w:val="both"/>
      </w:pPr>
      <w:r>
        <w:rPr>
          <w:rFonts w:ascii="Times New Roman" w:hAnsi="Times New Roman" w:eastAsia="Times New Roman"/>
          <w:b/>
          <w:i w:val="0"/>
          <w:color w:val="000000"/>
          <w:sz w:val="22"/>
        </w:rPr>
        <w:t>This draft reports simulation evidence only; the planned hardware validation must be completed before submission.</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Accurate trajectory tracking is central to autonomous underwater vehicle (AUV) inspection, intervention, and sampling. The task remains difficult because hydrodynamic coefficients are uncertain, environmental currents vary over time, and thruster saturation couples tracking quality to control effort [1,2]. Sliding-mode control (SMC) can reject bounded disturbances with a transparent feedback structure, but its robustness is commonly purchased through conservative gains or non-smooth control action. Model predictive control (MPC) incorporates prediction and constraints, yet its performance depends on model fidelity and real-time optimization [3,4].</w:t>
      </w:r>
    </w:p>
    <w:p>
      <w:pPr>
        <w:spacing w:line="312" w:lineRule="auto" w:after="120"/>
        <w:jc w:val="both"/>
      </w:pPr>
      <w:r>
        <w:rPr>
          <w:rFonts w:ascii="Times New Roman" w:hAnsi="Times New Roman" w:eastAsia="Times New Roman"/>
          <w:b w:val="0"/>
          <w:i w:val="0"/>
          <w:color w:val="000000"/>
          <w:sz w:val="22"/>
        </w:rPr>
        <w:t>Learning-based control offers another route. Recent work has demonstrated full six-degree-of-freedom learned AUV control and zero-shot sim-to-real transfer [8], while imitation learning has enabled information-driven underwater navigation [9]. More broadly, residual reinforcement learning combines a fixed controller with a learned additive correction [5], and actor–critic MPC embeds a differentiable optimizer inside a learned policy [6]. These methods establish the value of retaining control structure, but they do not directly answer a simpler deployment question: given two complete and complementary controllers, when should the robot trust each one, and by how much?</w:t>
      </w:r>
    </w:p>
    <w:p>
      <w:pPr>
        <w:spacing w:line="312" w:lineRule="auto" w:after="120"/>
        <w:jc w:val="both"/>
      </w:pPr>
      <w:r>
        <w:rPr>
          <w:rFonts w:ascii="Times New Roman" w:hAnsi="Times New Roman" w:eastAsia="Times New Roman"/>
          <w:b w:val="0"/>
          <w:i w:val="0"/>
          <w:color w:val="000000"/>
          <w:sz w:val="22"/>
        </w:rPr>
        <w:t xml:space="preserve">We study this question through authority allocation. Rather than learning a six-dimensional thruster command, PAC predicts one scalar </w:t>
      </w:r>
      <m:oMath xmlns:mml="http://www.w3.org/1998/Math/MathML">
        <m:sSub>
          <m:e>
            <m:r>
              <m:t>α</m:t>
            </m:r>
          </m:e>
          <m:sub>
            <m:r>
              <m:t>t</m:t>
            </m:r>
          </m:sub>
        </m:sSub>
        <m:r>
          <m:t>∈[0,1]</m:t>
        </m:r>
      </m:oMath>
      <w:r>
        <w:rPr>
          <w:rFonts w:ascii="Times New Roman" w:hAnsi="Times New Roman" w:eastAsia="Times New Roman"/>
          <w:b w:val="0"/>
          <w:i w:val="0"/>
          <w:color w:val="000000"/>
          <w:sz w:val="22"/>
        </w:rPr>
        <w:t xml:space="preserve"> and applies</w:t>
      </w:r>
    </w:p>
    <w:p>
      <w:pPr>
        <w:spacing w:line="312" w:lineRule="auto" w:before="80" w:after="120"/>
        <w:jc w:val="center"/>
      </w:pPr>
      <m:oMath xmlns:mml="http://www.w3.org/1998/Math/MathML">
        <m:sSub>
          <m:e>
            <m:r>
              <m:rPr>
                <m:sty m:val="bi"/>
              </m:rPr>
              <m:t>u</m:t>
            </m:r>
          </m:e>
          <m:sub>
            <m:r>
              <m:t>t</m:t>
            </m:r>
          </m:sub>
        </m:sSub>
        <m:r>
          <m:t>=(1−</m:t>
        </m:r>
        <m:sSub>
          <m:e>
            <m:r>
              <m:t>α</m:t>
            </m:r>
          </m:e>
          <m:sub>
            <m:r>
              <m:t>t</m:t>
            </m:r>
          </m:sub>
        </m:sSub>
        <m:r>
          <m:t>)</m:t>
        </m:r>
        <m:sSubSup>
          <m:e>
            <m:r>
              <m:rPr>
                <m:sty m:val="bi"/>
              </m:rPr>
              <m:t>u</m:t>
            </m:r>
          </m:e>
          <m:sub>
            <m:r>
              <m:t>t</m:t>
            </m:r>
          </m:sub>
          <m:sup>
            <m:r>
              <m:rPr>
                <m:sty m:val="p"/>
              </m:rPr>
              <m:t>SMC</m:t>
            </m:r>
          </m:sup>
        </m:sSubSup>
        <m:r>
          <m:t>+</m:t>
        </m:r>
        <m:sSub>
          <m:e>
            <m:r>
              <m:t>α</m:t>
            </m:r>
          </m:e>
          <m:sub>
            <m:r>
              <m:t>t</m:t>
            </m:r>
          </m:sub>
        </m:sSub>
        <m:sSubSup>
          <m:e>
            <m:r>
              <m:rPr>
                <m:sty m:val="bi"/>
              </m:rPr>
              <m:t>u</m:t>
            </m:r>
          </m:e>
          <m:sub>
            <m:r>
              <m:t>t</m:t>
            </m:r>
          </m:sub>
          <m:sup>
            <m:r>
              <m:rPr>
                <m:sty m:val="p"/>
              </m:rPr>
              <m:t>MPC</m:t>
            </m:r>
          </m:sup>
        </m:sSubSup>
      </m:oMath>
      <w:r>
        <w:rPr>
          <w:rFonts w:ascii="Times New Roman" w:hAnsi="Times New Roman"/>
          <w:sz w:val="22"/>
        </w:rPr>
        <w:t xml:space="preserve">        (1)</w:t>
      </w:r>
    </w:p>
    <w:p>
      <w:pPr>
        <w:spacing w:line="312" w:lineRule="auto" w:after="120"/>
        <w:jc w:val="both"/>
      </w:pPr>
      <w:r>
        <w:rPr>
          <w:rFonts w:ascii="Times New Roman" w:hAnsi="Times New Roman" w:eastAsia="Times New Roman"/>
          <w:b w:val="0"/>
          <w:i w:val="0"/>
          <w:color w:val="000000"/>
          <w:sz w:val="22"/>
        </w:rPr>
        <w:t xml:space="preserve">where </w:t>
      </w:r>
      <m:oMath xmlns:mml="http://www.w3.org/1998/Math/MathML">
        <m:r>
          <m:rPr>
            <m:sty m:val="p"/>
          </m:rPr>
          <m:t>\vect</m:t>
        </m:r>
        <m:sSubSup>
          <m:e>
            <m:r>
              <m:t>u</m:t>
            </m:r>
          </m:e>
          <m:sub>
            <m:r>
              <m:t>t</m:t>
            </m:r>
          </m:sub>
          <m:sup>
            <m:r>
              <m:rPr>
                <m:sty m:val="p"/>
              </m:rPr>
              <m:t>MPC</m:t>
            </m:r>
          </m:sup>
        </m:sSubSup>
      </m:oMath>
      <w:r>
        <w:rPr>
          <w:rFonts w:ascii="Times New Roman" w:hAnsi="Times New Roman" w:eastAsia="Times New Roman"/>
          <w:b w:val="0"/>
          <w:i w:val="0"/>
          <w:color w:val="000000"/>
          <w:sz w:val="22"/>
        </w:rPr>
        <w:t xml:space="preserve"> is the predictive-controller command. The two controllers remain explicit, the learned output is bounded and interpretable, and a rate limiter prevents abrupt authority transfer. A Transformer encodes a short history because controller preference depends not only on instantaneous error but also on whether that error is growing, recovering, or coincident with actuator saturation. We further append a zero-initialized residual head that outputs </w:t>
      </w:r>
      <m:oMath xmlns:mml="http://www.w3.org/1998/Math/MathML">
        <m:r>
          <m:t>Δ</m:t>
        </m:r>
        <m:sSub>
          <m:e>
            <m:r>
              <m:t>α</m:t>
            </m:r>
          </m:e>
          <m:sub>
            <m:r>
              <m:t>t</m:t>
            </m:r>
          </m:sub>
        </m:sSub>
        <m:r>
          <m:t>=0.1</m:t>
        </m:r>
        <m:r>
          <m:rPr>
            <m:sty m:val="p"/>
          </m:rPr>
          <m:t>tanh</m:t>
        </m:r>
        <m:r>
          <m:t>(</m:t>
        </m:r>
        <m:sSub>
          <m:e>
            <m:r>
              <m:t>z</m:t>
            </m:r>
          </m:e>
          <m:sub>
            <m:r>
              <m:t>t</m:t>
            </m:r>
          </m:sub>
        </m:sSub>
        <m:r>
          <m:t>)</m:t>
        </m:r>
      </m:oMath>
      <w:r>
        <w:rPr>
          <w:rFonts w:ascii="Times New Roman" w:hAnsi="Times New Roman" w:eastAsia="Times New Roman"/>
          <w:b w:val="0"/>
          <w:i w:val="0"/>
          <w:color w:val="000000"/>
          <w:sz w:val="22"/>
        </w:rPr>
        <w:t>, so the composite policy is numerically identical to the deployed baseline at initialization and can only revise trust within a bounded envelope thereafter.</w:t>
      </w:r>
    </w:p>
    <w:p>
      <w:pPr>
        <w:spacing w:line="312" w:lineRule="auto" w:after="120"/>
        <w:jc w:val="both"/>
      </w:pPr>
      <w:r>
        <w:rPr>
          <w:rFonts w:ascii="Times New Roman" w:hAnsi="Times New Roman" w:eastAsia="Times New Roman"/>
          <w:b w:val="0"/>
          <w:i w:val="0"/>
          <w:color w:val="000000"/>
          <w:sz w:val="22"/>
        </w:rPr>
        <w:t>This paper makes three contributions:</w:t>
      </w:r>
    </w:p>
    <w:p>
      <w:pPr>
        <w:spacing w:line="312" w:lineRule="auto" w:after="120"/>
        <w:jc w:val="both"/>
      </w:pPr>
      <w:r>
        <w:rPr>
          <w:rFonts w:ascii="Times New Roman" w:hAnsi="Times New Roman" w:eastAsia="Times New Roman"/>
          <w:b/>
          <w:i w:val="0"/>
          <w:color w:val="000000"/>
          <w:sz w:val="22"/>
        </w:rPr>
        <w:t xml:space="preserve">Contribution 1. </w:t>
      </w:r>
      <w:r>
        <w:rPr>
          <w:rFonts w:ascii="Times New Roman" w:hAnsi="Times New Roman" w:eastAsia="Times New Roman"/>
          <w:b w:val="0"/>
          <w:i w:val="0"/>
          <w:color w:val="000000"/>
          <w:sz w:val="22"/>
        </w:rPr>
        <w:t>We formulate controller selection as continuous, history-conditioned authority prediction, retaining two structured controllers while reducing the learned action space to one bounded variable.</w:t>
      </w:r>
    </w:p>
    <w:p>
      <w:pPr>
        <w:spacing w:line="312" w:lineRule="auto" w:after="120"/>
        <w:jc w:val="both"/>
      </w:pPr>
      <w:r>
        <w:rPr>
          <w:rFonts w:ascii="Times New Roman" w:hAnsi="Times New Roman" w:eastAsia="Times New Roman"/>
          <w:b w:val="0"/>
          <w:i w:val="0"/>
          <w:color w:val="000000"/>
          <w:sz w:val="22"/>
        </w:rPr>
        <w:t xml:space="preserve">Contribution 2. We develop a two-stage learning procedure: supervised predictive initialization from a short-horizon oracle, followed by constrained residual reinforcement learning on the frozen backbone, with the residual output bounded by </w:t>
      </w:r>
      <m:oMath xmlns:mml="http://www.w3.org/1998/Math/MathML">
        <m:r>
          <m:t>|Δ</m:t>
        </m:r>
        <m:sSub>
          <m:e>
            <m:r>
              <m:t>α</m:t>
            </m:r>
          </m:e>
          <m:sub>
            <m:r>
              <m:t>t</m:t>
            </m:r>
          </m:sub>
        </m:sSub>
        <m:r>
          <m:t>|≤0.1</m:t>
        </m:r>
      </m:oMath>
      <w:r>
        <w:rPr>
          <w:rFonts w:ascii="Times New Roman" w:hAnsi="Times New Roman" w:eastAsia="Times New Roman"/>
          <w:b w:val="0"/>
          <w:i w:val="0"/>
          <w:color w:val="000000"/>
          <w:sz w:val="22"/>
        </w:rPr>
        <w:t xml:space="preserve"> and zero-initialized.</w:t>
      </w:r>
    </w:p>
    <w:p>
      <w:pPr>
        <w:spacing w:line="312" w:lineRule="auto" w:after="120"/>
        <w:jc w:val="both"/>
      </w:pPr>
      <w:r>
        <w:rPr>
          <w:rFonts w:ascii="Times New Roman" w:hAnsi="Times New Roman" w:eastAsia="Times New Roman"/>
          <w:b/>
          <w:i w:val="0"/>
          <w:color w:val="000000"/>
          <w:sz w:val="22"/>
        </w:rPr>
        <w:t xml:space="preserve">Contribution 3. </w:t>
      </w:r>
      <w:r>
        <w:rPr>
          <w:rFonts w:ascii="Times New Roman" w:hAnsi="Times New Roman" w:eastAsia="Times New Roman"/>
          <w:b w:val="0"/>
          <w:i w:val="0"/>
          <w:color w:val="000000"/>
          <w:sz w:val="22"/>
        </w:rPr>
        <w:t>We evaluate five independently trained policies over 1,680 paired rollouts spanning in-distribution and out-of-distribution disturbance families, and report both improvements and failure cases, including scenario-wise RMSE, peak error, heading error, control effort, saturation, and solver deadline-miss fraction.</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m:oMath xmlns:mml="http://www.w3.org/1998/Math/MathML">
        <m:r>
          <m:t>J(α)=‖</m:t>
        </m:r>
        <m:sSub>
          <m:e>
            <m:r>
              <m:rPr>
                <m:sty m:val="bi"/>
              </m:rPr>
              <m:t>e</m:t>
            </m:r>
          </m:e>
          <m:sub>
            <m:r>
              <m:t>xy</m:t>
            </m:r>
          </m:sub>
        </m:sSub>
        <m:sSup>
          <m:e>
            <m:r>
              <m:t>‖</m:t>
            </m:r>
          </m:e>
          <m:sup>
            <m:r>
              <m:t>2</m:t>
            </m:r>
          </m:sup>
        </m:sSup>
        <m:r>
          <m:t>+0.7</m:t>
        </m:r>
        <m:sSubSup>
          <m:e>
            <m:r>
              <m:t>e</m:t>
            </m:r>
          </m:e>
          <m:sub>
            <m:r>
              <m:t>z</m:t>
            </m:r>
          </m:sub>
          <m:sup>
            <m:r>
              <m:t>2</m:t>
            </m:r>
          </m:sup>
        </m:sSubSup>
        <m:r>
          <m:t>+0.08</m:t>
        </m:r>
        <m:sSubSup>
          <m:e>
            <m:r>
              <m:t>e</m:t>
            </m:r>
          </m:e>
          <m:sub>
            <m:r>
              <m:t>ψ</m:t>
            </m:r>
          </m:sub>
          <m:sup>
            <m:r>
              <m:t>2</m:t>
            </m:r>
          </m:sup>
        </m:sSubSup>
        <m:r>
          <m:t>+0.02</m:t>
        </m:r>
        <m:r>
          <m:rPr>
            <m:sty m:val="p"/>
          </m:rPr>
          <m:t>mean</m:t>
        </m:r>
        <m:r>
          <m:t>([</m:t>
        </m:r>
        <m:r>
          <m:t>|</m:t>
        </m:r>
        <m:r>
          <m:rPr>
            <m:sty m:val="bi"/>
          </m:rPr>
          <m:t>u</m:t>
        </m:r>
        <m:r>
          <m:t>|−0.92</m:t>
        </m:r>
        <m:sSubSup>
          <m:e>
            <m:r>
              <m:t>]</m:t>
            </m:r>
          </m:e>
          <m:sub>
            <m:r>
              <m:t>+</m:t>
            </m:r>
          </m:sub>
          <m:sup>
            <m:r>
              <m:t>2</m:t>
            </m:r>
          </m:sup>
        </m:sSubSup>
        <m:r>
          <m:t>)</m:t>
        </m:r>
        <m:r>
          <m:t>+0.01</m:t>
        </m:r>
        <m:r>
          <m:rPr>
            <m:sty m:val="p"/>
          </m:rPr>
          <m:t>mean</m:t>
        </m:r>
        <m:r>
          <m:t>((</m:t>
        </m:r>
        <m:r>
          <m:rPr>
            <m:sty m:val="bi"/>
          </m:rPr>
          <m:t>u</m:t>
        </m:r>
        <m:r>
          <m:t>−</m:t>
        </m:r>
        <m:sSub>
          <m:e>
            <m:r>
              <m:rPr>
                <m:sty m:val="bi"/>
              </m:rPr>
              <m:t>u</m:t>
            </m:r>
          </m:e>
          <m:sub>
            <m:r>
              <m:t>t−1</m:t>
            </m:r>
          </m:sub>
        </m:sSub>
        <m:sSup>
          <m:e>
            <m:r>
              <m:t>)</m:t>
            </m:r>
          </m:e>
          <m:sup>
            <m:r>
              <m:t>2</m:t>
            </m:r>
          </m:sup>
        </m:sSup>
        <m:r>
          <m:t>)</m:t>
        </m:r>
      </m:oMath>
      <w:r>
        <w:rPr>
          <w:rFonts w:ascii="Times New Roman" w:hAnsi="Times New Roman"/>
          <w:sz w:val="22"/>
        </w:rPr>
        <w:t xml:space="preserve">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m:oMath xmlns:mml="http://www.w3.org/1998/Math/MathML">
        <m:sSub>
          <m:e>
            <m:r>
              <m:t>α</m:t>
            </m:r>
          </m:e>
          <m:sub>
            <m:r>
              <m:t>t</m:t>
            </m:r>
          </m:sub>
        </m:sSub>
        <m:r>
          <m:t>=</m:t>
        </m:r>
        <m:sSub>
          <m:e>
            <m:r>
              <m:rPr>
                <m:sty m:val="p"/>
              </m:rPr>
              <m:t>clip</m:t>
            </m:r>
          </m:e>
          <m:sub>
            <m:r>
              <m:t>[0,1]</m:t>
            </m:r>
          </m:sub>
        </m:sSub>
        <m:r>
          <m:t>(</m:t>
        </m:r>
        <m:sSub>
          <m:e>
            <m:acc>
              <m:accPr>
                <m:chr m:val="̂"/>
              </m:accPr>
              <m:e>
                <m:r>
                  <m:t>α</m:t>
                </m:r>
              </m:e>
            </m:acc>
          </m:e>
          <m:sub>
            <m:r>
              <m:t>t</m:t>
            </m:r>
          </m:sub>
        </m:sSub>
        <m:r>
          <m:t>+Δ</m:t>
        </m:r>
        <m:sSub>
          <m:e>
            <m:r>
              <m:t>α</m:t>
            </m:r>
          </m:e>
          <m:sub>
            <m:r>
              <m:t>t</m:t>
            </m:r>
          </m:sub>
        </m:sSub>
        <m:r>
          <m:t>),</m:t>
        </m:r>
        <m:r>
          <m:t>Δ</m:t>
        </m:r>
        <m:sSub>
          <m:e>
            <m:r>
              <m:t>α</m:t>
            </m:r>
          </m:e>
          <m:sub>
            <m:r>
              <m:t>t</m:t>
            </m:r>
          </m:sub>
        </m:sSub>
        <m:r>
          <m:t>=0.1</m:t>
        </m:r>
        <m:r>
          <m:rPr>
            <m:sty m:val="p"/>
          </m:rPr>
          <m:t>tanh</m:t>
        </m:r>
        <m:r>
          <m:t>(</m:t>
        </m:r>
        <m:sSub>
          <m:e>
            <m:r>
              <m:t>z</m:t>
            </m:r>
          </m:e>
          <m:sub>
            <m:r>
              <m:t>t</m:t>
            </m:r>
          </m:sub>
        </m:sSub>
        <m:r>
          <m:t>)</m:t>
        </m:r>
      </m:oMath>
      <w:r>
        <w:rPr>
          <w:rFonts w:ascii="Times New Roman" w:hAnsi="Times New Roman"/>
          <w:sz w:val="22"/>
        </w:rPr>
        <w:t xml:space="preserve">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5. Residual training across the five model seeds. (a) Episode reward, (b) critic loss, (c) actor loss. Thin lines: per-seed values; bold line and shaded band: five-seed mean </w:t>
      </w:r>
      <m:oMath xmlns:mml="http://www.w3.org/1998/Math/MathML">
        <m:r>
          <m:t>±</m:t>
        </m:r>
      </m:oMath>
      <w:r>
        <w:rPr>
          <w:rFonts w:ascii="Times New Roman" w:hAnsi="Times New Roman" w:eastAsia="Times New Roman"/>
          <w:b w:val="0"/>
          <w:i w:val="0"/>
          <w:color w:val="000000"/>
          <w:sz w:val="22"/>
        </w:rPr>
        <w:t xml:space="preserve"> 1 sd. All metrics are collected under exploration noise on the rotating training-family schedule, so trends reflect the changing episode mix rather than greedy-policy performance; no seed diverges.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val="0"/>
          <w:i w:val="0"/>
          <w:color w:val="000000"/>
          <w:sz w:val="22"/>
        </w:rPr>
        <w:t xml:space="preserve">Figure 8. Control quality by method and block (bars: five-seed means </w:t>
      </w:r>
      <m:oMath xmlns:mml="http://www.w3.org/1998/Math/MathML">
        <m:r>
          <m:t>±</m:t>
        </m:r>
      </m:oMath>
      <w:r>
        <w:rPr>
          <w:rFonts w:ascii="Times New Roman" w:hAnsi="Times New Roman" w:eastAsia="Times New Roman"/>
          <w:b w:val="0"/>
          <w:i w:val="0"/>
          <w:color w:val="000000"/>
          <w:sz w:val="22"/>
        </w:rPr>
        <w:t xml:space="preserve">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