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Autonomous underwater vehicles support ocean observation, ecological monitoring, infrastructure inspection, and intervention, but these missions require accurate motion under uncertain and time-varying currents. Sliding-mode control (SMC) provides an explicit disturbance-rejection structure but can trade tracking precision for conservative or non-smooth action. Model predictive control (MPC) anticipates motion and actuator limits, but its advantage depends on the operating regime and the quality of the prediction model. Direct reinforcement-learning policies can adapt through interaction, yet they must learn the full actuation map and inherit substantial verification and deployment burdens. None of these approaches directly answers a simpler question: when two complete controllers are available, how much authority should each receive at the current instant? We introduce Predictive Authority Control (PAC), which learns this temporal allocation rather than replacing the controllers. A 14,113-parameter Transformer encodes a 0.16-s history of tracking state, controller commands, current context, and trajectory phase, then predicts one bounded scalar coefficient that continuously blends SMC and MPC. A zero-initialized residual head of 2,177 parameters further revises this coefficient by at most 0.1 per step, so the composite policy is numerically identical to the supervised baseline at deployment start. Training first imitates a short-horizon rollout oracle and then applies constrained residual reinforcement learning on the frozen backbone. In a six-degree-of-freedom simulation of a 10-kg, six-thruster underwater vehicle, five independently initialized residual policies were assessed across in-distribution and out-of-distribution disturbance families over 1,680 paired rollouts. Out-of-distribution mean 3-D position RMSE was 0.1160 m, compared with 0.1605 m for the supervised baseline, 0.2482 m for SMC, and 0.2213 m for MPC, corresponding to reductions of 27.8%, 53.3%, and 47.6%. Mean maximum error was reduced by 31.1% and 28.0% relative to SMC and MPC, respectively. Under actuator degradation, the MPC expert alone diverges to 0.822 m while the residual policy confines the error to 0.090 m. The gains are not free: in-distribution position error rises by 4.4%, heading error by 4.3%, and the solver deadline-miss fraction from 0.69 to 0.80. These results show that a compact temporal policy can allocate trust between structured controllers, improve out-of-distribution tracking, and preserve a verifiable worst-case fallback to the supervised baseline.</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Ocean observations are needed to resolve dynamic processes that influence marine ecosystems, weather, ocean energetics, and the global climate system [1]. Long-term observations have already revealed climate-driven changes across large fractions of the surface ocean [2]. Autonomous platforms expand these measurements beyond the duration, weather tolerance, and spatial coverage of ship-based campaigns. Swarms of underwater drifters have resolved three-dimensional submesoscale dynamics [3], while maneuverable vehicles have enabled close-range ecological observation over fragile and irregular seabeds [4]. In both settings, the value of the recorded data depends on where the vehicle is when a measurement is acquired. Tracking error can therefore misregister observations, reduce image quality, narrow collision margins, and consume limited propulsion energy rather than merely produce an unattractive trajectory.</w:t>
      </w:r>
    </w:p>
    <w:p>
      <w:pPr>
        <w:spacing w:line="312" w:lineRule="auto" w:after="120"/>
        <w:jc w:val="both"/>
      </w:pPr>
      <w:r>
        <w:rPr>
          <w:rFonts w:ascii="Times New Roman" w:hAnsi="Times New Roman" w:eastAsia="Times New Roman"/>
          <w:b w:val="0"/>
          <w:i w:val="0"/>
          <w:color w:val="000000"/>
          <w:sz w:val="22"/>
        </w:rPr>
        <w:t>Reliable tracking remains difficult because an underwater vehicle couples nonlinear rigid-body motion, added mass, drag, restoring forces, and bounded thrusters. The external flow is neither spatially uniform nor fully known. Recent studies show that successful autonomous navigation in changing currents depends strongly on the available flow information [5,6]. A controller must consequently balance at least four requirements: accurate position tracking, stable attitude, limited actuator saturation, and sufficiently smooth action for the hardware. Improving only one requirement can transfer error or burden to another. This coupling is the central engineering problem addressed here.</w:t>
      </w:r>
    </w:p>
    <w:p>
      <w:pPr>
        <w:spacing w:line="312" w:lineRule="auto" w:after="120"/>
        <w:jc w:val="both"/>
      </w:pPr>
      <w:r>
        <w:rPr>
          <w:rFonts w:ascii="Times New Roman" w:hAnsi="Times New Roman" w:eastAsia="Times New Roman"/>
          <w:b w:val="0"/>
          <w:i w:val="0"/>
          <w:color w:val="000000"/>
          <w:sz w:val="22"/>
        </w:rPr>
        <w:t>Model-based feedback retains an important role because it exposes how vehicle states produce corrective forces. Marine control models provide a physically interpretable basis for compensation and stability analysis [7,8]. SMC is particularly attractive under bounded uncertainty because its reaching law can reject disturbances without solving an online optimization problem [9]. That robustness is not free: discontinuous or high-gain action can induce chattering, excite actuators, and require boundary-layer tuning [10]. Comparative AUV studies also show that controller suitability depends on the vehicle subsystem and operating condition rather than on a single universally dominant design [11]. These observations motivate retaining SMC as a robust expert without assigning it exclusive authority at every instant.</w:t>
      </w:r>
    </w:p>
    <w:p>
      <w:pPr>
        <w:spacing w:line="312" w:lineRule="auto" w:after="120"/>
        <w:jc w:val="both"/>
      </w:pPr>
      <w:r>
        <w:rPr>
          <w:rFonts w:ascii="Times New Roman" w:hAnsi="Times New Roman" w:eastAsia="Times New Roman"/>
          <w:b w:val="0"/>
          <w:i w:val="0"/>
          <w:color w:val="000000"/>
          <w:sz w:val="22"/>
        </w:rPr>
        <w:t>MPC addresses a different part of the problem. It uses a predictive model and an explicit objective to trade tracking against control action while enforcing constraints [12]. Experimental AUV work has combined nonlinear MPC with disturbance-handling layers to improve tracking under dead time and uncertainty [13]. Learning-based MPC extends this structure by adapting models, costs, or constraints from data [14], and compact solvers show that predictive control can fit resource-constrained processors [15]. Nevertheless, predictive performance remains linked to model fidelity, objective design, and the time available for optimization. Recent AUV work therefore uses reinforcement learning to tune MPC objectives rather than treating fixed weights as universally appropriate [16].</w:t>
      </w:r>
    </w:p>
    <w:p>
      <w:pPr>
        <w:spacing w:line="312" w:lineRule="auto" w:after="120"/>
        <w:jc w:val="both"/>
      </w:pPr>
      <w:r>
        <w:rPr>
          <w:rFonts w:ascii="Times New Roman" w:hAnsi="Times New Roman" w:eastAsia="Times New Roman"/>
          <w:b w:val="0"/>
          <w:i w:val="0"/>
          <w:color w:val="000000"/>
          <w:sz w:val="22"/>
        </w:rPr>
        <w:t>End-to-end learning offers greater flexibility but introduces a different verification problem. Full six-degree-of-freedom AUV policies have demonstrated strong simulation and transfer results [17], and deep reinforcement learning has improved path following under nonlinear dynamics [18]. Imitation learning has also supported information-driven underwater navigation [19]. However, real-world reinforcement learning must handle limited data, safety constraints, partial observability, delayed effects, and distribution shift [20]. Safety frameworks can bound some of these risks [21], but a learned six-dimensional action remains harder to inspect than a conventional control law. This paper therefore asks learning to choose authority, not to rediscover the entire actuation mechanism.</w:t>
      </w:r>
    </w:p>
    <w:p>
      <w:pPr>
        <w:spacing w:line="312" w:lineRule="auto" w:after="120"/>
        <w:jc w:val="both"/>
      </w:pPr>
      <w:r>
        <w:rPr>
          <w:rFonts w:ascii="Times New Roman" w:hAnsi="Times New Roman" w:eastAsia="Times New Roman"/>
          <w:b w:val="0"/>
          <w:i w:val="0"/>
          <w:color w:val="000000"/>
          <w:sz w:val="22"/>
        </w:rPr>
        <w:t>Structured robot learning has previously combined nominal controllers with learned corrections. Residual reinforcement learning adds a learned action to conventional feedback [22], and related shared-autonomy methods learn minimal corrections to another actor [23]. Actor-critic MPC embeds predictive optimization inside a learned policy [24], whereas composable policy classes encode task structure directly [25]. These methods demonstrate that learning benefits from a strong control prior. They do not, however, formulate the contribution of two complete controllers as one bounded, continuously interpretable trust variable conditioned on recent closed-loop behavior.</w:t>
      </w:r>
    </w:p>
    <w:p>
      <w:pPr>
        <w:spacing w:line="312" w:lineRule="auto" w:after="120"/>
        <w:jc w:val="both"/>
      </w:pPr>
      <w:r>
        <w:rPr>
          <w:rFonts w:ascii="Times New Roman" w:hAnsi="Times New Roman" w:eastAsia="Times New Roman"/>
          <w:b w:val="0"/>
          <w:i w:val="0"/>
          <w:color w:val="000000"/>
          <w:sz w:val="22"/>
        </w:rPr>
        <w:t>PAC fills this gap. At every 10-ms control step, a small Transformer receives the recent state-controller history and produces an authority coefficient between zero and one. The coefficient blends the complete SMC and MPC commands, while smoothing and rate limiting prevent abrupt transfer. A zero-initialized residual head of 2,177 parameters further revises the coefficient by at most 0.1 per step, so the composite policy starts exactly at the supervised baseline and can only revise trust within a bounded envelope. The sequence model is deliberately much smaller than typical Transformer policies: it contains 14,113 parameters, approximately 55.1 KiB of FP32 weights, and about 0.23 million multiply-accumulate operations per inference. Its learned output is scalar, whereas all physical actuation remains generated by explicit controllers.</w:t>
      </w:r>
    </w:p>
    <w:p>
      <w:pPr>
        <w:spacing w:line="312" w:lineRule="auto" w:after="120"/>
        <w:jc w:val="both"/>
      </w:pPr>
      <w:r>
        <w:rPr>
          <w:rFonts w:ascii="Times New Roman" w:hAnsi="Times New Roman" w:eastAsia="Times New Roman"/>
          <w:b w:val="0"/>
          <w:i w:val="0"/>
          <w:color w:val="000000"/>
          <w:sz w:val="22"/>
        </w:rPr>
        <w:t>This study makes four contributions:</w:t>
      </w:r>
    </w:p>
    <w:p>
      <w:pPr>
        <w:spacing w:line="312" w:lineRule="auto" w:after="120"/>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continuous temporal authority allocation between two complete controllers;</w:t>
      </w:r>
    </w:p>
    <w:p>
      <w:pPr>
        <w:spacing w:line="312" w:lineRule="auto" w:after="120"/>
        <w:jc w:val="both"/>
      </w:pPr>
      <w:r>
        <w:rPr>
          <w:rFonts w:ascii="Times New Roman" w:hAnsi="Times New Roman" w:eastAsia="Times New Roman"/>
          <w:b w:val="0"/>
          <w:i w:val="0"/>
          <w:color w:val="000000"/>
          <w:sz w:val="22"/>
        </w:rPr>
        <w:t xml:space="preserve">(2) rollout-oracle supervision followed by constrained residual reinforcement learning on the frozen backbone, with the residual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w:t>
      </w:r>
    </w:p>
    <w:p>
      <w:pPr>
        <w:spacing w:line="312" w:lineRule="auto" w:after="120"/>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an extremely compact Transformer for edge-oriented temporal inference whose worst-case behavior equals the deployed supervised baseline;</w:t>
      </w:r>
    </w:p>
    <w:p>
      <w:pPr>
        <w:spacing w:line="312" w:lineRule="auto" w:after="120"/>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a five-initialization paired evaluation over 1,680 rollouts covering in-distribution and out-of-distribution disturbance families, reporting tracking, attitude, smoothness, saturation, control effort, and solver deadline-miss fraction.</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