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Times New Roman"/>
          <w:b/>
          <w:i w:val="0"/>
          <w:color w:val="000000"/>
          <w:sz w:val="30"/>
        </w:rPr>
        <w:t>Predictive Authority Control: Learning How Much to Trust Each Controller, and Repairing That Trust Under Distribution Shift*</w:t>
      </w:r>
    </w:p>
    <w:p>
      <w:pPr>
        <w:spacing w:line="312" w:lineRule="auto" w:after="40"/>
        <w:jc w:val="center"/>
      </w:pPr>
      <w:r>
        <w:rPr>
          <w:rFonts w:ascii="Times New Roman" w:hAnsi="Times New Roman" w:eastAsia="Times New Roman"/>
          <w:b w:val="0"/>
          <w:i/>
          <w:color w:val="000000"/>
          <w:sz w:val="22"/>
        </w:rPr>
        <w:t>[Author names]</w:t>
      </w:r>
    </w:p>
    <w:p>
      <w:pPr>
        <w:spacing w:line="312" w:lineRule="auto" w:after="40"/>
        <w:jc w:val="center"/>
      </w:pPr>
      <w:r>
        <w:rPr>
          <w:rFonts w:ascii="Times New Roman" w:hAnsi="Times New Roman" w:eastAsia="Times New Roman"/>
          <w:b w:val="0"/>
          <w:i/>
          <w:color w:val="000000"/>
          <w:sz w:val="20"/>
        </w:rPr>
        <w:t>[Affiliations]</w:t>
      </w:r>
    </w:p>
    <w:p>
      <w:pPr>
        <w:spacing w:line="312" w:lineRule="auto" w:after="240"/>
        <w:jc w:val="center"/>
      </w:pPr>
      <w:r>
        <w:rPr>
          <w:rFonts w:ascii="Times New Roman" w:hAnsi="Times New Roman" w:eastAsia="Times New Roman"/>
          <w:b w:val="0"/>
          <w:i/>
          <w:color w:val="606060"/>
          <w:sz w:val="18"/>
        </w:rPr>
        <w:t>* The abbreviation PAC is unrelated to probably approximately correct learning.</w:t>
      </w:r>
    </w:p>
    <w:p>
      <w:pPr>
        <w:spacing w:line="312" w:lineRule="auto" w:before="280" w:after="120"/>
      </w:pPr>
      <w:r>
        <w:rPr>
          <w:rFonts w:ascii="Times New Roman" w:hAnsi="Times New Roman" w:eastAsia="Times New Roman"/>
          <w:b/>
          <w:i w:val="0"/>
          <w:color w:val="000000"/>
          <w:sz w:val="26"/>
        </w:rPr>
        <w:t>Abstract</w:t>
      </w:r>
    </w:p>
    <w:p>
      <w:pPr>
        <w:spacing w:line="312" w:lineRule="auto" w:after="120"/>
        <w:jc w:val="both"/>
      </w:pPr>
      <w:r>
        <w:rPr>
          <w:rFonts w:ascii="Times New Roman" w:hAnsi="Times New Roman" w:eastAsia="Times New Roman"/>
          <w:b w:val="0"/>
          <w:i w:val="0"/>
          <w:color w:val="000000"/>
          <w:sz w:val="22"/>
        </w:rPr>
        <w:t>Classical underwater controllers provide useful structure but exhibit complementary failure modes under changing currents: robust feedback can be conservative, whereas a predictive controller can be accurate in favorable regimes yet degrade under model mismatch. We introduce Predictive Authority Control (PAC), a compact Transformer policy that does not replace these controllers. Instead, it predicts a bounded scalar authority coefficient from a short state–controller history and continuously blends the outputs of a sliding-mode controller and a constrained model predictive controller. Training uses supervised predictive initialization from a short-horizon rollout oracle, followed by constrained residual reinforcement learning on the frozen backbone. In a six-degree-of-freedom simulation of a 10-kg, six-thruster autonomous underwater vehicle, five independently trained residual policies are evaluated over 1,680 paired rollouts spanning in-distribution and out-of-distribution disturbance families. The residual policy obtains an out-of-distribution 3-D position RMSE of $0.1160\pm0.0011$ m, compared with $0.1605\pm0.0239$ m for the supervised baseline, $0.2482$ m for sliding-mode control, and $0.2213$ m for the predictive baseline, corresponding to reductions of 27.8\%, 53.3\%, and 47.6\%, respectively. The residual policy also reduces mean maximum error by 31.1\% and 28.0\% relative to SMC and MPC. The gains are not free: the residual policy uses 4.4\% more in-distribution position error and 4.3\% more heading error than the supervised baseline, and its solver deadline-miss fraction rises from 0.69 to 0.80 out-of-distribution. These results support learned temporal authority allocation as an interpretable alternative to direct neural control.</w:t>
      </w:r>
    </w:p>
    <w:p>
      <w:pPr>
        <w:spacing w:line="312" w:lineRule="auto" w:after="240"/>
        <w:jc w:val="both"/>
      </w:pPr>
      <w:r>
        <w:rPr>
          <w:rFonts w:ascii="Times New Roman" w:hAnsi="Times New Roman" w:eastAsia="Times New Roman"/>
          <w:b/>
          <w:i w:val="0"/>
          <w:color w:val="000000"/>
          <w:sz w:val="22"/>
        </w:rPr>
        <w:t>This draft reports simulation evidence only; the planned hardware validation must be completed before submission.</w:t>
      </w:r>
    </w:p>
    <w:p>
      <w:pPr>
        <w:spacing w:line="312" w:lineRule="auto" w:before="280" w:after="120"/>
      </w:pPr>
      <w:r>
        <w:rPr>
          <w:rFonts w:ascii="Times New Roman" w:hAnsi="Times New Roman" w:eastAsia="Times New Roman"/>
          <w:b/>
          <w:i w:val="0"/>
          <w:color w:val="000000"/>
          <w:sz w:val="26"/>
        </w:rPr>
        <w:t>1  Introduction</w:t>
      </w:r>
    </w:p>
    <w:p>
      <w:pPr>
        <w:spacing w:line="312" w:lineRule="auto" w:after="120"/>
        <w:jc w:val="both"/>
      </w:pPr>
      <w:r>
        <w:rPr>
          <w:rFonts w:ascii="Times New Roman" w:hAnsi="Times New Roman" w:eastAsia="Times New Roman"/>
          <w:b w:val="0"/>
          <w:i w:val="0"/>
          <w:color w:val="000000"/>
          <w:sz w:val="22"/>
        </w:rPr>
        <w:t>Accurate trajectory tracking is central to autonomous underwater vehicle (AUV) inspection, intervention, and sampling. The task remains difficult because hydrodynamic coefficients are uncertain, environmental currents vary over time, and thruster saturation couples tracking quality to control effort [1,2]. Sliding-mode control (SMC) can reject bounded disturbances with a transparent feedback structure, but its robustness is commonly purchased through conservative gains or non-smooth control action. Model predictive control (MPC) incorporates prediction and constraints, yet its performance depends on model fidelity and real-time optimization [3,4].</w:t>
      </w:r>
    </w:p>
    <w:p>
      <w:pPr>
        <w:spacing w:line="312" w:lineRule="auto" w:after="120"/>
        <w:jc w:val="both"/>
      </w:pPr>
      <w:r>
        <w:rPr>
          <w:rFonts w:ascii="Times New Roman" w:hAnsi="Times New Roman" w:eastAsia="Times New Roman"/>
          <w:b w:val="0"/>
          <w:i w:val="0"/>
          <w:color w:val="000000"/>
          <w:sz w:val="22"/>
        </w:rPr>
        <w:t>Learning-based control offers another route. Recent work has demonstrated full six-degree-of-freedom learned AUV control and zero-shot sim-to-real transfer [8], while imitation learning has enabled information-driven underwater navigation [9]. More broadly, residual reinforcement learning combines a fixed controller with a learned additive correction [5], and actor–critic MPC embeds a differentiable optimizer inside a learned policy [6]. These methods establish the value of retaining control structure, but they do not directly answer a simpler deployment question: given two complete and complementary controllers, when should the robot trust each one, and by how much?</w:t>
      </w:r>
    </w:p>
    <w:p>
      <w:pPr>
        <w:spacing w:line="312" w:lineRule="auto" w:after="120"/>
        <w:jc w:val="both"/>
      </w:pPr>
      <w:r>
        <w:rPr>
          <w:rFonts w:ascii="Times New Roman" w:hAnsi="Times New Roman" w:eastAsia="Times New Roman"/>
          <w:b w:val="0"/>
          <w:i w:val="0"/>
          <w:color w:val="000000"/>
          <w:sz w:val="22"/>
        </w:rPr>
        <w:t>We study this question through authority allocation. Rather than learning a six-dimensional thruster command, PAC predicts one scalar $\alpha_t\in[0,1]$ and applies</w:t>
      </w:r>
    </w:p>
    <w:p>
      <w:pPr>
        <w:spacing w:line="312" w:lineRule="auto" w:before="80" w:after="120"/>
        <w:jc w:val="center"/>
      </w:pPr>
      <w:r>
        <w:rPr>
          <w:rFonts w:ascii="Cambria Math" w:hAnsi="Cambria Math" w:eastAsia="Cambria Math"/>
          <w:b w:val="0"/>
          <w:i/>
          <w:color w:val="000000"/>
          <w:sz w:val="22"/>
        </w:rPr>
        <w:t>\vect{u}_t=(1-\alpha_t)\vect{u}^{\mathrm{SMC}}_t+\alpha_t\vect{u}^{\mathrm{MPC}}_t   (1)</w:t>
      </w:r>
    </w:p>
    <w:p>
      <w:pPr>
        <w:spacing w:line="312" w:lineRule="auto" w:after="120"/>
        <w:jc w:val="both"/>
      </w:pPr>
      <w:r>
        <w:rPr>
          <w:rFonts w:ascii="Times New Roman" w:hAnsi="Times New Roman" w:eastAsia="Times New Roman"/>
          <w:b w:val="0"/>
          <w:i w:val="0"/>
          <w:color w:val="000000"/>
          <w:sz w:val="22"/>
        </w:rPr>
        <w:t>where $\vect{u}^{\mathrm{MPC}}_t$ is the predictive-controller command. The two controllers remain explicit, the learned output is bounded and interpretable, and a rate limiter prevents abrupt authority transfer. A Transformer encodes a short history because controller preference depends not only on instantaneous error but also on whether that error is growing, recovering, or coincident with actuator saturation. We further append a zero-initialized residual head that outputs $\Delta\alpha_t = 0.1\,\tanh(z_t)$, so the composite policy is numerically identical to the deployed baseline at initialization and can only revise trust within a bounded envelope thereafter.</w:t>
      </w:r>
    </w:p>
    <w:p>
      <w:pPr>
        <w:spacing w:line="312" w:lineRule="auto" w:after="120"/>
        <w:jc w:val="both"/>
      </w:pPr>
      <w:r>
        <w:rPr>
          <w:rFonts w:ascii="Times New Roman" w:hAnsi="Times New Roman" w:eastAsia="Times New Roman"/>
          <w:b w:val="0"/>
          <w:i w:val="0"/>
          <w:color w:val="000000"/>
          <w:sz w:val="22"/>
        </w:rPr>
        <w:t>This paper makes three contributions:</w:t>
      </w:r>
    </w:p>
    <w:p>
      <w:pPr>
        <w:spacing w:line="312" w:lineRule="auto" w:after="120"/>
        <w:jc w:val="both"/>
      </w:pPr>
      <w:r>
        <w:rPr>
          <w:rFonts w:ascii="Times New Roman" w:hAnsi="Times New Roman" w:eastAsia="Times New Roman"/>
          <w:b/>
          <w:i w:val="0"/>
          <w:color w:val="000000"/>
          <w:sz w:val="22"/>
        </w:rPr>
        <w:t xml:space="preserve">Contribution 1. </w:t>
      </w:r>
      <w:r>
        <w:rPr>
          <w:rFonts w:ascii="Times New Roman" w:hAnsi="Times New Roman" w:eastAsia="Times New Roman"/>
          <w:b w:val="0"/>
          <w:i w:val="0"/>
          <w:color w:val="000000"/>
          <w:sz w:val="22"/>
        </w:rPr>
        <w:t>We formulate controller selection as continuous, history-conditioned authority prediction, retaining two structured controllers while reducing the learned action space to one bounded variable.</w:t>
      </w:r>
    </w:p>
    <w:p>
      <w:pPr>
        <w:spacing w:line="312" w:lineRule="auto" w:after="120"/>
        <w:jc w:val="both"/>
      </w:pPr>
      <w:r>
        <w:rPr>
          <w:rFonts w:ascii="Times New Roman" w:hAnsi="Times New Roman" w:eastAsia="Times New Roman"/>
          <w:b/>
          <w:i w:val="0"/>
          <w:color w:val="000000"/>
          <w:sz w:val="22"/>
        </w:rPr>
        <w:t xml:space="preserve">Contribution 2. </w:t>
      </w:r>
      <w:r>
        <w:rPr>
          <w:rFonts w:ascii="Times New Roman" w:hAnsi="Times New Roman" w:eastAsia="Times New Roman"/>
          <w:b w:val="0"/>
          <w:i w:val="0"/>
          <w:color w:val="000000"/>
          <w:sz w:val="22"/>
        </w:rPr>
        <w:t>We develop a two-stage learning procedure: supervised predictive initialization from a short-horizon oracle, followed by constrained residual reinforcement learning on the frozen backbone, with the residual output bounded by $|\Delta\alpha_t| \leq 0.1$ and zero-initialized.</w:t>
      </w:r>
    </w:p>
    <w:p>
      <w:pPr>
        <w:spacing w:line="312" w:lineRule="auto" w:after="120"/>
        <w:jc w:val="both"/>
      </w:pPr>
      <w:r>
        <w:rPr>
          <w:rFonts w:ascii="Times New Roman" w:hAnsi="Times New Roman" w:eastAsia="Times New Roman"/>
          <w:b/>
          <w:i w:val="0"/>
          <w:color w:val="000000"/>
          <w:sz w:val="22"/>
        </w:rPr>
        <w:t xml:space="preserve">Contribution 3. </w:t>
      </w:r>
      <w:r>
        <w:rPr>
          <w:rFonts w:ascii="Times New Roman" w:hAnsi="Times New Roman" w:eastAsia="Times New Roman"/>
          <w:b w:val="0"/>
          <w:i w:val="0"/>
          <w:color w:val="000000"/>
          <w:sz w:val="22"/>
        </w:rPr>
        <w:t>We evaluate five independently trained policies over 1,680 paired rollouts spanning in-distribution and out-of-distribution disturbance families, and report both improvements and failure cases, including scenario-wise RMSE, peak error, heading error, control effort, saturation, and solver deadline-miss fraction.</w:t>
      </w:r>
    </w:p>
    <w:p>
      <w:pPr>
        <w:spacing w:line="312" w:lineRule="auto" w:before="280" w:after="120"/>
      </w:pPr>
      <w:r>
        <w:rPr>
          <w:rFonts w:ascii="Times New Roman" w:hAnsi="Times New Roman" w:eastAsia="Times New Roman"/>
          <w:b/>
          <w:i w:val="0"/>
          <w:color w:val="000000"/>
          <w:sz w:val="26"/>
        </w:rPr>
        <w:t>2  Related Work</w:t>
      </w:r>
    </w:p>
    <w:p>
      <w:pPr>
        <w:spacing w:line="312" w:lineRule="auto" w:before="200" w:after="80"/>
      </w:pPr>
      <w:r>
        <w:rPr>
          <w:rFonts w:ascii="Times New Roman" w:hAnsi="Times New Roman" w:eastAsia="Times New Roman"/>
          <w:b/>
          <w:i w:val="0"/>
          <w:color w:val="000000"/>
          <w:sz w:val="23"/>
        </w:rPr>
        <w:t>2.1  Underwater vehicle control</w:t>
      </w:r>
    </w:p>
    <w:p>
      <w:pPr>
        <w:spacing w:line="312" w:lineRule="auto" w:after="120"/>
        <w:jc w:val="both"/>
      </w:pPr>
      <w:r>
        <w:rPr>
          <w:rFonts w:ascii="Times New Roman" w:hAnsi="Times New Roman" w:eastAsia="Times New Roman"/>
          <w:b w:val="0"/>
          <w:i w:val="0"/>
          <w:color w:val="000000"/>
          <w:sz w:val="22"/>
        </w:rPr>
        <w:t>Marine vehicle control is developed from rigid-body dynamics with added mass, damping, and restoring forces [1,2]. Hybrid schemes combine nonlinear MPC with sliding-mode terms under threshold switching, retaining each expert in its favorable regime [17]; such switching surfaces are fixed at design time, whereas PAC answers the trust question online and continuously. Learning-based AUV control has advanced rapidly: improved TD3 path following [10] and six-degree-of-freedom control trained in parallel simulators with zero-shot transfer [8] learn commands directly. PAC instead learns a one-dimensional arbitration variable over complete structured controllers.</w:t>
      </w:r>
    </w:p>
    <w:p>
      <w:pPr>
        <w:spacing w:line="312" w:lineRule="auto" w:before="200" w:after="80"/>
      </w:pPr>
      <w:r>
        <w:rPr>
          <w:rFonts w:ascii="Times New Roman" w:hAnsi="Times New Roman" w:eastAsia="Times New Roman"/>
          <w:b/>
          <w:i w:val="0"/>
          <w:color w:val="000000"/>
          <w:sz w:val="23"/>
        </w:rPr>
        <w:t>2.2  Learning with structured controllers</w:t>
      </w:r>
    </w:p>
    <w:p>
      <w:pPr>
        <w:spacing w:line="312" w:lineRule="auto" w:after="120"/>
        <w:jc w:val="both"/>
      </w:pPr>
      <w:r>
        <w:rPr>
          <w:rFonts w:ascii="Times New Roman" w:hAnsi="Times New Roman" w:eastAsia="Times New Roman"/>
          <w:b w:val="0"/>
          <w:i w:val="0"/>
          <w:color w:val="000000"/>
          <w:sz w:val="22"/>
        </w:rPr>
        <w:t>Residual reinforcement learning superposes a learned correction on a hand-designed base policy [5]. Actor-critic MPC embeds a differentiable optimizer in the actor [6], and learning-based MPC surveys data-driven refinement with safety considerations [4]. PAC differs in the interface: the residual applies to a bounded scalar authority rather than actuator commands, the supervisor is frozen rather than jointly trained, and zero initialization yields exact initial equivalence to the deployed system. Learned safety filters train barrier-like corrections [11]; the PAC safety filter instead composes fixed bounds with structured fallbacks and contains no learned component in the safety path. Embedded solvers such as TinyMPC [7] constrain what an onboard arbitration layer may assume computationally.</w:t>
      </w:r>
    </w:p>
    <w:p>
      <w:pPr>
        <w:spacing w:line="312" w:lineRule="auto" w:before="200" w:after="80"/>
      </w:pPr>
      <w:r>
        <w:rPr>
          <w:rFonts w:ascii="Times New Roman" w:hAnsi="Times New Roman" w:eastAsia="Times New Roman"/>
          <w:b/>
          <w:i w:val="0"/>
          <w:color w:val="000000"/>
          <w:sz w:val="23"/>
        </w:rPr>
        <w:t>2.3  Temporal encoders for sequential decisions</w:t>
      </w:r>
    </w:p>
    <w:p>
      <w:pPr>
        <w:spacing w:line="312" w:lineRule="auto" w:after="120"/>
        <w:jc w:val="both"/>
      </w:pPr>
      <w:r>
        <w:rPr>
          <w:rFonts w:ascii="Times New Roman" w:hAnsi="Times New Roman" w:eastAsia="Times New Roman"/>
          <w:b w:val="0"/>
          <w:i w:val="0"/>
          <w:color w:val="000000"/>
          <w:sz w:val="22"/>
        </w:rPr>
        <w:t>Self-attention [12] and sequence-modeling formulations of control [13,14] scale with data and width. The PAC encoder deliberately occupies the opposite regime: one encoder layer over a 16-step history mapping to a single coefficient, which suffices for the arbitration interface and keeps edge deployment plausible. Diffusion policies [15] and imitation navigation [9] address different output spaces and are complementary.</w:t>
      </w:r>
    </w:p>
    <w:p>
      <w:pPr>
        <w:spacing w:line="312" w:lineRule="auto" w:before="280" w:after="120"/>
      </w:pPr>
      <w:r>
        <w:rPr>
          <w:rFonts w:ascii="Times New Roman" w:hAnsi="Times New Roman" w:eastAsia="Times New Roman"/>
          <w:b/>
          <w:i w:val="0"/>
          <w:color w:val="000000"/>
          <w:sz w:val="26"/>
        </w:rPr>
        <w:t>3  Predictive Authority Control</w:t>
      </w:r>
    </w:p>
    <w:p>
      <w:pPr>
        <w:spacing w:line="312" w:lineRule="auto" w:before="200" w:after="80"/>
      </w:pPr>
      <w:r>
        <w:rPr>
          <w:rFonts w:ascii="Times New Roman" w:hAnsi="Times New Roman" w:eastAsia="Times New Roman"/>
          <w:b/>
          <w:i w:val="0"/>
          <w:color w:val="000000"/>
          <w:sz w:val="23"/>
        </w:rPr>
        <w:t>3.1  Vehicle model and tracking objective</w:t>
      </w:r>
    </w:p>
    <w:p>
      <w:pPr>
        <w:spacing w:line="312" w:lineRule="auto" w:after="120"/>
        <w:jc w:val="both"/>
      </w:pPr>
      <w:r>
        <w:rPr>
          <w:rFonts w:ascii="Times New Roman" w:hAnsi="Times New Roman" w:eastAsia="Times New Roman"/>
          <w:b w:val="0"/>
          <w:i w:val="0"/>
          <w:color w:val="000000"/>
          <w:sz w:val="22"/>
        </w:rPr>
        <w:t>The vehicle pose and body velocity are η = [x, y, z, φ, θ, ψ]ᵀ and ν = [u, v, w, p, q, r]ᵀ. The simulator integrates the diagonalized six-degree-of-freedom model with added mass, linear and quadratic damping, and restoring stiffness by fourth-order Runge–Kutta at 100 Hz for 2,100 steps (21 s) per episode. Six thrusters in an X layout are limited to 35 N with magnitude and slew-rate constraints. The reference is a three-dimensional Lissajous path with desired yaw aligned to the horizontal tangent; initial pose and velocity are perturbed with standard deviations 0.03 m and 0.01 m/s.</w:t>
      </w:r>
    </w:p>
    <w:p>
      <w:pPr>
        <w:spacing w:line="312" w:lineRule="auto" w:before="200" w:after="80"/>
      </w:pPr>
      <w:r>
        <w:rPr>
          <w:rFonts w:ascii="Times New Roman" w:hAnsi="Times New Roman" w:eastAsia="Times New Roman"/>
          <w:b/>
          <w:i w:val="0"/>
          <w:color w:val="000000"/>
          <w:sz w:val="23"/>
        </w:rPr>
        <w:t>3.2  Structured controller experts</w:t>
      </w:r>
    </w:p>
    <w:p>
      <w:pPr>
        <w:spacing w:line="312" w:lineRule="auto" w:after="120"/>
        <w:jc w:val="both"/>
      </w:pPr>
      <w:r>
        <w:rPr>
          <w:rFonts w:ascii="Times New Roman" w:hAnsi="Times New Roman" w:eastAsia="Times New Roman"/>
          <w:b w:val="0"/>
          <w:i w:val="0"/>
          <w:color w:val="000000"/>
          <w:sz w:val="22"/>
        </w:rPr>
        <w:t>The primary expert is an equivalent-control SMC whose translational sliding surface combines velocity error and pose error, with feedforward acceleration, damping compensation, and a bounded reaching term. The second expert is a receding-horizon linear-time-varying constrained MPC with a 20-step horizon (0.2 s), normalized thruster limits, warm-start smoothing, and an online solve-time limit of 7.5 ms with fallback to the previous plan. This expert replaces the one-step quadratic tracking law used in an earlier implementation of this framework; all results here use the constrained MPC.</w:t>
      </w:r>
    </w:p>
    <w:p>
      <w:pPr>
        <w:spacing w:line="312" w:lineRule="auto" w:before="200" w:after="80"/>
      </w:pPr>
      <w:r>
        <w:rPr>
          <w:rFonts w:ascii="Times New Roman" w:hAnsi="Times New Roman" w:eastAsia="Times New Roman"/>
          <w:b/>
          <w:i w:val="0"/>
          <w:color w:val="000000"/>
          <w:sz w:val="23"/>
        </w:rPr>
        <w:t>3.3  History features and temporal encoder</w:t>
      </w:r>
    </w:p>
    <w:p>
      <w:pPr>
        <w:spacing w:line="312" w:lineRule="auto" w:after="120"/>
        <w:jc w:val="both"/>
      </w:pPr>
      <w:r>
        <w:rPr>
          <w:rFonts w:ascii="Times New Roman" w:hAnsi="Times New Roman" w:eastAsia="Times New Roman"/>
          <w:b w:val="0"/>
          <w:i w:val="0"/>
          <w:color w:val="000000"/>
          <w:sz w:val="22"/>
        </w:rPr>
        <w:t>At each step a 24-dimensional feature vector summarizes pose errors, body velocities, per-controller command statistics and disagreement, near-saturation fraction, horizontal current components, and trajectory phase. The most recent 16 vectors form the encoder input; one Transformer encoder layer (four heads, 128-unit feed-forward, 14,113 trainable parameters) maps the final token to α̂ₜ through a sigmoid head. At inference the prediction is scaled by 1.2, clipped, smoothed with coefficient 0.5, and rate-limited to 0.0125 per step.</w:t>
      </w:r>
    </w:p>
    <w:p>
      <w:pPr>
        <w:spacing w:line="312" w:lineRule="auto" w:before="200" w:after="80"/>
      </w:pPr>
      <w:r>
        <w:rPr>
          <w:rFonts w:ascii="Times New Roman" w:hAnsi="Times New Roman" w:eastAsia="Times New Roman"/>
          <w:b/>
          <w:i w:val="0"/>
          <w:color w:val="000000"/>
          <w:sz w:val="23"/>
        </w:rPr>
        <w:t>3.4  Layered safety filter</w:t>
      </w:r>
    </w:p>
    <w:p>
      <w:pPr>
        <w:spacing w:line="312" w:lineRule="auto" w:after="120"/>
        <w:jc w:val="both"/>
      </w:pPr>
      <w:r>
        <w:rPr>
          <w:rFonts w:ascii="Times New Roman" w:hAnsi="Times New Roman" w:eastAsia="Times New Roman"/>
          <w:b w:val="0"/>
          <w:i w:val="0"/>
          <w:color w:val="000000"/>
          <w:sz w:val="22"/>
        </w:rPr>
        <w:t>Every learned contribution passes a fixed filter stack, in execution order: (i) the residual is bounded; (ii) the blended coefficient is clipped, smoothed, and rate-limited; (iii) expert failure forces primary control; and (iv) non-finite values fall back to the frozen supervised prediction. Because the residual head is zero-initialized, the composite policy reproduces the deployed baseline numerically at initialization, enforced by a unit test comparing full-episode rollouts to tight numerical tolerances. The worst case of the learning components is therefore the baseline policy itself. Figure 2 details the two networks and the two-phase training procedure: the backbone is frozen throughout phase 2, and the residual head is zero-initialized, so the composite policy starts exactly at the supervised baseline.</w:t>
      </w:r>
    </w:p>
    <w:p>
      <w:pPr>
        <w:keepNext/>
        <w:spacing w:before="160"/>
        <w:jc w:val="center"/>
      </w:pPr>
      <w:r>
        <w:drawing>
          <wp:inline xmlns:a="http://schemas.openxmlformats.org/drawingml/2006/main" xmlns:pic="http://schemas.openxmlformats.org/drawingml/2006/picture">
            <wp:extent cx="5760720" cy="3242128"/>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1. </w:t>
      </w:r>
      <w:r>
        <w:rPr>
          <w:rFonts w:ascii="Times New Roman" w:hAnsi="Times New Roman" w:eastAsia="Times New Roman"/>
          <w:b w:val="0"/>
          <w:i w:val="0"/>
          <w:color w:val="000000"/>
          <w:sz w:val="18"/>
        </w:rPr>
        <w:t>Predictive authority control architecture. (a) Closed loop: the experts generate commands blended by α; a frozen temporal encoder predicts the supervised coefficient and a bounded, zero-initialized residual head revises it. (b) Layered safety filter in execution order. (c) Two-phase training.</w:t>
      </w:r>
    </w:p>
    <w:p>
      <w:pPr>
        <w:keepNext/>
        <w:spacing w:before="160"/>
        <w:jc w:val="center"/>
      </w:pPr>
      <w:r>
        <w:drawing>
          <wp:inline xmlns:a="http://schemas.openxmlformats.org/drawingml/2006/main" xmlns:pic="http://schemas.openxmlformats.org/drawingml/2006/picture">
            <wp:extent cx="5760720" cy="3242128"/>
            <wp:docPr id="2" name="Picture 2"/>
            <wp:cNvGraphicFramePr>
              <a:graphicFrameLocks noChangeAspect="1"/>
            </wp:cNvGraphicFramePr>
            <a:graphic>
              <a:graphicData uri="http://schemas.openxmlformats.org/drawingml/2006/picture">
                <pic:pic>
                  <pic:nvPicPr>
                    <pic:cNvPr id="0" name="fig_network_training_ai.png"/>
                    <pic:cNvPicPr/>
                  </pic:nvPicPr>
                  <pic:blipFill>
                    <a:blip r:embed="rId12"/>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2. </w:t>
      </w:r>
      <w:r>
        <w:rPr>
          <w:rFonts w:ascii="Times New Roman" w:hAnsi="Times New Roman" w:eastAsia="Times New Roman"/>
          <w:b w:val="0"/>
          <w:i w:val="0"/>
          <w:color w:val="000000"/>
          <w:sz w:val="18"/>
        </w:rPr>
        <w:t>Network architectures and two-phase training. (a) The frozen temporal encoder (14,113 parameters) maps a 16×24 history through a 32-dimensional embedding and one Transformer encoder layer (four-head attention, 128-unit feed-forward) to the supervised authority; the trainable residual head (two linear layers, 2,177 parameters, zero-initialized final layer) revises it by at most 0.1 per step. (b) Phase 1 trains the backbone by imitation of the short-horizon oracle; phase 2 trains only the residual head with TD3, behavior regularization, and a warm-start replay.</w:t>
      </w:r>
    </w:p>
    <w:p>
      <w:pPr>
        <w:spacing w:line="312" w:lineRule="auto" w:before="280" w:after="120"/>
      </w:pPr>
      <w:r>
        <w:rPr>
          <w:rFonts w:ascii="Times New Roman" w:hAnsi="Times New Roman" w:eastAsia="Times New Roman"/>
          <w:b/>
          <w:i w:val="0"/>
          <w:color w:val="000000"/>
          <w:sz w:val="26"/>
        </w:rPr>
        <w:t>4  Learning the Authority Residual</w:t>
      </w:r>
    </w:p>
    <w:p>
      <w:pPr>
        <w:spacing w:line="312" w:lineRule="auto" w:before="200" w:after="80"/>
      </w:pPr>
      <w:r>
        <w:rPr>
          <w:rFonts w:ascii="Times New Roman" w:hAnsi="Times New Roman" w:eastAsia="Times New Roman"/>
          <w:b/>
          <w:i w:val="0"/>
          <w:color w:val="000000"/>
          <w:sz w:val="23"/>
        </w:rPr>
        <w:t>4.1  Supervised initialization</w:t>
      </w:r>
    </w:p>
    <w:p>
      <w:pPr>
        <w:spacing w:line="312" w:lineRule="auto" w:after="120"/>
        <w:jc w:val="both"/>
      </w:pPr>
      <w:r>
        <w:rPr>
          <w:rFonts w:ascii="Times New Roman" w:hAnsi="Times New Roman" w:eastAsia="Times New Roman"/>
          <w:b w:val="0"/>
          <w:i w:val="0"/>
          <w:color w:val="000000"/>
          <w:sz w:val="22"/>
        </w:rPr>
        <w:t>The supervised PAC policy is trained by imitation of a short-horizon oracle: for each training state, candidate coefficients from a five-point grid are held for ten steps with the current frozen, and the label minimizes</w:t>
      </w:r>
    </w:p>
    <w:p>
      <w:pPr>
        <w:spacing w:line="312" w:lineRule="auto" w:before="80" w:after="120"/>
        <w:jc w:val="center"/>
      </w:pPr>
      <w:r>
        <w:rPr>
          <w:rFonts w:ascii="Cambria Math" w:hAnsi="Cambria Math" w:eastAsia="Cambria Math"/>
          <w:b w:val="0"/>
          <w:i/>
          <w:color w:val="000000"/>
          <w:sz w:val="22"/>
        </w:rPr>
        <w:t>J(α) = ‖eₓᵧ‖² + 0.7 eᵣ² + 0.08 eψ² + 0.02 mean([|u| − 0.92]₊²) + 0.01 mean((u − uₜ₋₁)²),   (2)</w:t>
      </w:r>
    </w:p>
    <w:p>
      <w:pPr>
        <w:spacing w:line="312" w:lineRule="auto" w:after="120"/>
        <w:jc w:val="both"/>
      </w:pPr>
      <w:r>
        <w:rPr>
          <w:rFonts w:ascii="Times New Roman" w:hAnsi="Times New Roman" w:eastAsia="Times New Roman"/>
          <w:b w:val="0"/>
          <w:i w:val="0"/>
          <w:color w:val="000000"/>
          <w:sz w:val="22"/>
        </w:rPr>
        <w:t>a cost combining horizontal and vertical position error, heading error, near-saturation magnitude, and command change. Training uses 18,900 labeled samples, AdamW for 180 epochs, and a weighted squared loss. Five model seeds are trained independently; these frozen policies supervise all later stages and are never retrained.</w:t>
      </w:r>
    </w:p>
    <w:p>
      <w:pPr>
        <w:spacing w:line="312" w:lineRule="auto" w:before="200" w:after="80"/>
      </w:pPr>
      <w:r>
        <w:rPr>
          <w:rFonts w:ascii="Times New Roman" w:hAnsi="Times New Roman" w:eastAsia="Times New Roman"/>
          <w:b/>
          <w:i w:val="0"/>
          <w:color w:val="000000"/>
          <w:sz w:val="23"/>
        </w:rPr>
        <w:t>4.2  Constrained residual stage</w:t>
      </w:r>
    </w:p>
    <w:p>
      <w:pPr>
        <w:spacing w:line="312" w:lineRule="auto" w:after="120"/>
        <w:jc w:val="both"/>
      </w:pPr>
      <w:r>
        <w:rPr>
          <w:rFonts w:ascii="Times New Roman" w:hAnsi="Times New Roman" w:eastAsia="Times New Roman"/>
          <w:b w:val="0"/>
          <w:i w:val="0"/>
          <w:color w:val="000000"/>
          <w:sz w:val="22"/>
        </w:rPr>
        <w:t>The residual policy appends a two-layer head with 2,177 parameters to each frozen supervisor. The applied coefficient is</w:t>
      </w:r>
    </w:p>
    <w:p>
      <w:pPr>
        <w:spacing w:line="312" w:lineRule="auto" w:before="80" w:after="120"/>
        <w:jc w:val="center"/>
      </w:pPr>
      <w:r>
        <w:rPr>
          <w:rFonts w:ascii="Cambria Math" w:hAnsi="Cambria Math" w:eastAsia="Cambria Math"/>
          <w:b w:val="0"/>
          <w:i/>
          <w:color w:val="000000"/>
          <w:sz w:val="22"/>
        </w:rPr>
        <w:t>αₜ = clip[0,1]( α̂ₜ + Δαₜ ),   Δαₜ = 0.1 tanh(zₜ),   (3)</w:t>
      </w:r>
    </w:p>
    <w:p>
      <w:pPr>
        <w:spacing w:line="312" w:lineRule="auto" w:after="120"/>
        <w:jc w:val="both"/>
      </w:pPr>
      <w:r>
        <w:rPr>
          <w:rFonts w:ascii="Times New Roman" w:hAnsi="Times New Roman" w:eastAsia="Times New Roman"/>
          <w:b w:val="0"/>
          <w:i w:val="0"/>
          <w:color w:val="000000"/>
          <w:sz w:val="22"/>
        </w:rPr>
        <w:t>where zₜ is the head output and the final layer is zero-initialized, so Δα ≡ 0 before training. Training uses TD3 (twin critics, target smoothing, delayed policy updates) over closed-loop episodes with environment seeds disjoint from all evaluation seeds, warm-started with 2×10⁵ offline transitions collected under the supervised policy, with a behavior-regularization term penalizing deviation from the supervisor. The reward combines position and heading error, command magnitude and rate, saturation, deadline flags, and constraint violations; all weights are frozen in a manifest before training. The learner emits Δα only: it cannot command thrusters and cannot alter the MPC schedule or solver budget.</w:t>
      </w:r>
    </w:p>
    <w:p>
      <w:pPr>
        <w:spacing w:line="312" w:lineRule="auto" w:before="280" w:after="120"/>
      </w:pPr>
      <w:r>
        <w:rPr>
          <w:rFonts w:ascii="Times New Roman" w:hAnsi="Times New Roman" w:eastAsia="Times New Roman"/>
          <w:b/>
          <w:i w:val="0"/>
          <w:color w:val="000000"/>
          <w:sz w:val="26"/>
        </w:rPr>
        <w:t>5  Experimental Design</w:t>
      </w:r>
    </w:p>
    <w:p>
      <w:pPr>
        <w:spacing w:line="312" w:lineRule="auto" w:before="200" w:after="80"/>
      </w:pPr>
      <w:r>
        <w:rPr>
          <w:rFonts w:ascii="Times New Roman" w:hAnsi="Times New Roman" w:eastAsia="Times New Roman"/>
          <w:b/>
          <w:i w:val="0"/>
          <w:color w:val="000000"/>
          <w:sz w:val="23"/>
        </w:rPr>
        <w:t>5.1  Registered protocol</w:t>
      </w:r>
    </w:p>
    <w:p>
      <w:pPr>
        <w:spacing w:line="312" w:lineRule="auto" w:after="120"/>
        <w:jc w:val="both"/>
      </w:pPr>
      <w:r>
        <w:rPr>
          <w:rFonts w:ascii="Times New Roman" w:hAnsi="Times New Roman" w:eastAsia="Times New Roman"/>
          <w:b w:val="0"/>
          <w:i w:val="0"/>
          <w:color w:val="000000"/>
          <w:sz w:val="22"/>
        </w:rPr>
        <w:t>All comparisons, seed partitions, and acceptance criteria were fixed and archived before residual training began. The evaluation grid comprises 120 paired episodes: 85 in-distribution (60 structured-current episodes under 20 held-out environment seeds, plus 25 episodes from five training-range disturbance families) and 35 out-of-distribution with respect to disturbance-family sampling (five test-range families, plus a fast time-scale current family and an estimation-delay family with sensor lag and noise). Each episode is shared across all methods: the same vehicle, current, and reference realization under every method and seed.</w:t>
      </w:r>
    </w:p>
    <w:p>
      <w:pPr>
        <w:spacing w:line="312" w:lineRule="auto" w:before="200" w:after="80"/>
      </w:pPr>
      <w:r>
        <w:rPr>
          <w:rFonts w:ascii="Times New Roman" w:hAnsi="Times New Roman" w:eastAsia="Times New Roman"/>
          <w:b/>
          <w:i w:val="0"/>
          <w:color w:val="000000"/>
          <w:sz w:val="23"/>
        </w:rPr>
        <w:t>5.2  Methods and statistics</w:t>
      </w:r>
    </w:p>
    <w:p>
      <w:pPr>
        <w:spacing w:line="312" w:lineRule="auto" w:after="120"/>
        <w:jc w:val="both"/>
      </w:pPr>
      <w:r>
        <w:rPr>
          <w:rFonts w:ascii="Times New Roman" w:hAnsi="Times New Roman" w:eastAsia="Times New Roman"/>
          <w:b w:val="0"/>
          <w:i w:val="0"/>
          <w:color w:val="000000"/>
          <w:sz w:val="22"/>
        </w:rPr>
        <w:t>Eight methods are compared: the experts alone (SMC, MPC), a constant blend (Fixed α = 0.5), a non-learning adaptive baseline searching window-level bias schedules by coordinate descent (SSPO, a coordinate-search ablation rather than an external baseline), and the two PAC variants (supervised and residual) each instantiated with the same five frozen supervised seeds. Fixed methods contribute one combination each, giving 14 method-seed combinations and 1,680 rollouts (about 3.53 million control steps).</w:t>
      </w:r>
    </w:p>
    <w:p>
      <w:pPr>
        <w:spacing w:line="312" w:lineRule="auto" w:after="120"/>
        <w:jc w:val="both"/>
      </w:pPr>
      <w:r>
        <w:rPr>
          <w:rFonts w:ascii="Times New Roman" w:hAnsi="Times New Roman" w:eastAsia="Times New Roman"/>
          <w:b w:val="0"/>
          <w:i w:val="0"/>
          <w:color w:val="000000"/>
          <w:sz w:val="22"/>
        </w:rPr>
        <w:t>Primary inference is at the model-seed level: per-seed paired effects are summarized with a t-distribution interval with four degrees of freedom. As a supplementary check, episode-level bootstrap intervals (resampling the paired episodes with replacement, 10,000 resamples, generator seed 0) are reported for the headline contrasts. No comparisons beyond the registered set are subjected to significance claims, and no multiple-comparison correction is applied: the registered set is reported in full rather than selected from.</w:t>
      </w:r>
    </w:p>
    <w:p>
      <w:pPr>
        <w:spacing w:line="312" w:lineRule="auto" w:before="280" w:after="120"/>
      </w:pPr>
      <w:r>
        <w:rPr>
          <w:rFonts w:ascii="Times New Roman" w:hAnsi="Times New Roman" w:eastAsia="Times New Roman"/>
          <w:b/>
          <w:i w:val="0"/>
          <w:color w:val="000000"/>
          <w:sz w:val="26"/>
        </w:rPr>
        <w:t>6  Results</w:t>
      </w:r>
    </w:p>
    <w:p>
      <w:pPr>
        <w:spacing w:line="312" w:lineRule="auto" w:before="200" w:after="80"/>
      </w:pPr>
      <w:r>
        <w:rPr>
          <w:rFonts w:ascii="Times New Roman" w:hAnsi="Times New Roman" w:eastAsia="Times New Roman"/>
          <w:b/>
          <w:i w:val="0"/>
          <w:color w:val="000000"/>
          <w:sz w:val="23"/>
        </w:rPr>
        <w:t>6.1  Closed-loop tracking: how the vehicle actually moves</w:t>
      </w:r>
    </w:p>
    <w:p>
      <w:pPr>
        <w:spacing w:line="312" w:lineRule="auto" w:after="120"/>
        <w:jc w:val="both"/>
      </w:pPr>
      <w:r>
        <w:rPr>
          <w:rFonts w:ascii="Times New Roman" w:hAnsi="Times New Roman" w:eastAsia="Times New Roman"/>
          <w:b w:val="0"/>
          <w:i w:val="0"/>
          <w:color w:val="000000"/>
          <w:sz w:val="22"/>
        </w:rPr>
        <w:t>Figure 3 shows representative paired episodes—an in-distribution sinusoidal current and the out-of-distribution actuator-degradation episode—as three-dimensional paths, horizontal projections, and vertical error. In-distribution, all learning and blending methods follow the Lissajous reference closely; SMC lags with a visible offset. Under actuator degradation the character changes: the MPC expert alone distorts the horizontal loop and drifts in depth (0.886 m episode RMSE), the supervised policy inherits part of that failure (0.206 m), and the residual policy stays on the reference (0.088 m), slightly better than the never-adapting constant blend (0.124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3. </w:t>
      </w:r>
      <w:r>
        <w:rPr>
          <w:rFonts w:ascii="Times New Roman" w:hAnsi="Times New Roman" w:eastAsia="Times New Roman"/>
          <w:b w:val="0"/>
          <w:i w:val="0"/>
          <w:color w:val="000000"/>
          <w:sz w:val="18"/>
        </w:rPr>
        <w:t>Representative closed-loop trajectories. Columns: in-distribution sinusoidal current and out-of-distribution actuator degradation (the lowest-numbered held-out seed of each block, fixed before inspection); both episodes are shared across methods and regenerated deterministically from the frozen checkpoints. Rows: three-dimensional path, horizontal projection, z-axis tracking error (dashed line, zero). The fixed blend is omitted for legibility; its values appear in Table 1.</w:t>
      </w:r>
    </w:p>
    <w:p>
      <w:pPr>
        <w:spacing w:line="312" w:lineRule="auto" w:after="120"/>
        <w:jc w:val="both"/>
      </w:pPr>
      <w:r>
        <w:rPr>
          <w:rFonts w:ascii="Times New Roman" w:hAnsi="Times New Roman" w:eastAsia="Times New Roman"/>
          <w:b w:val="0"/>
          <w:i w:val="0"/>
          <w:color w:val="000000"/>
          <w:sz w:val="22"/>
        </w:rPr>
        <w:t>Figure 4 resolves the same episodes in time. The position-error row shows the MPC divergence under degradation growing through the episode rather than spiking, consistent with a steadily wrong internal model rather than a transient. Heading error and pitch remain small for residual PAC in both regimes, while the degraded MPC episode carries visible attitude excursions. Table 1 aggregates the full grid.</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4. </w:t>
      </w:r>
      <w:r>
        <w:rPr>
          <w:rFonts w:ascii="Times New Roman" w:hAnsi="Times New Roman" w:eastAsia="Times New Roman"/>
          <w:b w:val="0"/>
          <w:i w:val="0"/>
          <w:color w:val="000000"/>
          <w:sz w:val="18"/>
        </w:rPr>
        <w:t>Time-resolved motion errors for the two episodes of Fig. 2. Rows: three-dimensional position error, absolute heading error, pitch angle. The MPC divergence under actuator degradation grows through the episode; residual PAC remains close to the reference in both regimes. Single episodes; block-level aggregates appear in Table 1 and Fig. 7.</w:t>
      </w:r>
    </w:p>
    <w:p>
      <w:pPr>
        <w:spacing w:line="312" w:lineRule="auto" w:after="120"/>
        <w:jc w:val="both"/>
      </w:pPr>
      <w:r>
        <w:rPr>
          <w:rFonts w:ascii="Times New Roman" w:hAnsi="Times New Roman" w:eastAsia="Times New Roman"/>
          <w:b w:val="0"/>
          <w:i w:val="0"/>
          <w:color w:val="000000"/>
          <w:sz w:val="22"/>
        </w:rPr>
        <w:t>Residual training is stable across seeds. Figure 5 shows the per-seed mean episode reward during phase 2, collected under exploration noise on the rotating training-family schedule; the trend therefore reflects the changing episode mix rather than greedy-policy performance, and no seed diverges. All five seeds yield policies with consistent closed-loop behavior in the registered evaluation (Fig. 6, Table 1), which is the performance measure of record.</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5. </w:t>
      </w:r>
      <w:r>
        <w:rPr>
          <w:rFonts w:ascii="Times New Roman" w:hAnsi="Times New Roman" w:eastAsia="Times New Roman"/>
          <w:b w:val="0"/>
          <w:i w:val="0"/>
          <w:color w:val="000000"/>
          <w:sz w:val="18"/>
        </w:rPr>
        <w:t>Residual training across the five model seeds. (a) Episode reward, (b) critic loss, (c) actor loss. Thin lines: per-seed values; bold line and shaded band: five-seed mean $\pm$ 1 sd. All metrics are collected under exploration noise on the rotating training-family schedule, so trends reflect the changing episode mix rather than greedy-policy performance; no seed diverges. Greedy closed-loop performance is the registered evaluation of Fig. 6 and Table 1.</w:t>
      </w:r>
    </w:p>
    <w:p>
      <w:pPr>
        <w:keepNext/>
        <w:spacing w:before="160"/>
        <w:jc w:val="both"/>
      </w:pPr>
      <w:r>
        <w:rPr>
          <w:rFonts w:ascii="Times New Roman" w:hAnsi="Times New Roman" w:eastAsia="Times New Roman"/>
          <w:b/>
          <w:i w:val="0"/>
          <w:color w:val="000000"/>
          <w:sz w:val="18"/>
        </w:rPr>
        <w:t xml:space="preserve">Table 1. </w:t>
      </w:r>
      <w:r>
        <w:rPr>
          <w:rFonts w:ascii="Times New Roman" w:hAnsi="Times New Roman" w:eastAsia="Times New Roman"/>
          <w:b/>
          <w:i w:val="0"/>
          <w:color w:val="000000"/>
          <w:sz w:val="18"/>
        </w:rPr>
        <w:t>Paired evaluation over 120 episodes per method-seed combination (means over five model seeds for learned methods; ID, in-distribution; OOD, out-of-distribution with respect to disturbance-family sampling). Five-seed dispersion is reported as confidence intervals in Fig.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1944"/>
            <w:shd w:val="clear" w:fill="F2F2F2"/>
          </w:tcPr>
          <w:p>
            <w:pPr>
              <w:spacing w:line="276" w:lineRule="auto"/>
              <w:jc w:val="center"/>
            </w:pPr>
            <w:r>
              <w:rPr>
                <w:rFonts w:ascii="Times New Roman" w:hAnsi="Times New Roman" w:eastAsia="Times New Roman"/>
                <w:b/>
                <w:i w:val="0"/>
                <w:color w:val="000000"/>
                <w:sz w:val="17"/>
              </w:rPr>
              <w:t>Method</w:t>
            </w:r>
          </w:p>
        </w:tc>
        <w:tc>
          <w:tcPr>
            <w:tcW w:type="dxa" w:w="1368"/>
            <w:shd w:val="clear" w:fill="F2F2F2"/>
          </w:tcPr>
          <w:p>
            <w:pPr>
              <w:spacing w:line="276" w:lineRule="auto"/>
              <w:jc w:val="center"/>
            </w:pPr>
            <w:r>
              <w:rPr>
                <w:rFonts w:ascii="Times New Roman" w:hAnsi="Times New Roman" w:eastAsia="Times New Roman"/>
                <w:b/>
                <w:i w:val="0"/>
                <w:color w:val="000000"/>
                <w:sz w:val="17"/>
              </w:rPr>
              <w:t>ID RMSE (m)</w:t>
            </w:r>
          </w:p>
        </w:tc>
        <w:tc>
          <w:tcPr>
            <w:tcW w:type="dxa" w:w="1368"/>
            <w:shd w:val="clear" w:fill="F2F2F2"/>
          </w:tcPr>
          <w:p>
            <w:pPr>
              <w:spacing w:line="276" w:lineRule="auto"/>
              <w:jc w:val="center"/>
            </w:pPr>
            <w:r>
              <w:rPr>
                <w:rFonts w:ascii="Times New Roman" w:hAnsi="Times New Roman" w:eastAsia="Times New Roman"/>
                <w:b/>
                <w:i w:val="0"/>
                <w:color w:val="000000"/>
                <w:sz w:val="17"/>
              </w:rPr>
              <w:t>OOD RMSE (m)</w:t>
            </w:r>
          </w:p>
        </w:tc>
        <w:tc>
          <w:tcPr>
            <w:tcW w:type="dxa" w:w="1440"/>
            <w:shd w:val="clear" w:fill="F2F2F2"/>
          </w:tcPr>
          <w:p>
            <w:pPr>
              <w:spacing w:line="276" w:lineRule="auto"/>
              <w:jc w:val="center"/>
            </w:pPr>
            <w:r>
              <w:rPr>
                <w:rFonts w:ascii="Times New Roman" w:hAnsi="Times New Roman" w:eastAsia="Times New Roman"/>
                <w:b/>
                <w:i w:val="0"/>
                <w:color w:val="000000"/>
                <w:sz w:val="17"/>
              </w:rPr>
              <w:t>OOD max err (m)</w:t>
            </w:r>
          </w:p>
        </w:tc>
        <w:tc>
          <w:tcPr>
            <w:tcW w:type="dxa" w:w="1368"/>
            <w:shd w:val="clear" w:fill="F2F2F2"/>
          </w:tcPr>
          <w:p>
            <w:pPr>
              <w:spacing w:line="276" w:lineRule="auto"/>
              <w:jc w:val="center"/>
            </w:pPr>
            <w:r>
              <w:rPr>
                <w:rFonts w:ascii="Times New Roman" w:hAnsi="Times New Roman" w:eastAsia="Times New Roman"/>
                <w:b/>
                <w:i w:val="0"/>
                <w:color w:val="000000"/>
                <w:sz w:val="17"/>
              </w:rPr>
              <w:t>OOD heading (°)</w:t>
            </w:r>
          </w:p>
        </w:tc>
        <w:tc>
          <w:tcPr>
            <w:tcW w:type="dxa" w:w="1440"/>
            <w:shd w:val="clear" w:fill="F2F2F2"/>
          </w:tcPr>
          <w:p>
            <w:pPr>
              <w:spacing w:line="276" w:lineRule="auto"/>
              <w:jc w:val="center"/>
            </w:pPr>
            <w:r>
              <w:rPr>
                <w:rFonts w:ascii="Times New Roman" w:hAnsi="Times New Roman" w:eastAsia="Times New Roman"/>
                <w:b/>
                <w:i w:val="0"/>
                <w:color w:val="000000"/>
                <w:sz w:val="17"/>
              </w:rPr>
              <w:t>OOD deadline miss</w:t>
            </w:r>
          </w:p>
        </w:tc>
        <w:tc>
          <w:tcPr>
            <w:tcW w:type="dxa" w:w="1224"/>
            <w:shd w:val="clear" w:fill="F2F2F2"/>
          </w:tcPr>
          <w:p>
            <w:pPr>
              <w:spacing w:line="276" w:lineRule="auto"/>
              <w:jc w:val="center"/>
            </w:pPr>
            <w:r>
              <w:rPr>
                <w:rFonts w:ascii="Times New Roman" w:hAnsi="Times New Roman" w:eastAsia="Times New Roman"/>
                <w:b/>
                <w:i w:val="0"/>
                <w:color w:val="000000"/>
                <w:sz w:val="17"/>
              </w:rPr>
              <w:t>OOD mean α</w:t>
            </w:r>
          </w:p>
        </w:tc>
      </w:tr>
      <w:tr>
        <w:tc>
          <w:tcPr>
            <w:tcW w:type="dxa" w:w="1944"/>
          </w:tcPr>
          <w:p>
            <w:pPr>
              <w:spacing w:line="276" w:lineRule="auto"/>
              <w:jc w:val="left"/>
            </w:pPr>
            <w:r>
              <w:rPr>
                <w:rFonts w:ascii="Times New Roman" w:hAnsi="Times New Roman" w:eastAsia="Times New Roman"/>
                <w:b w:val="0"/>
                <w:i w:val="0"/>
                <w:color w:val="000000"/>
                <w:sz w:val="17"/>
              </w:rPr>
              <w:t>SMC</w:t>
            </w:r>
          </w:p>
        </w:tc>
        <w:tc>
          <w:tcPr>
            <w:tcW w:type="dxa" w:w="1368"/>
          </w:tcPr>
          <w:p>
            <w:pPr>
              <w:spacing w:line="276" w:lineRule="auto"/>
              <w:jc w:val="center"/>
            </w:pPr>
            <w:r>
              <w:rPr>
                <w:rFonts w:ascii="Times New Roman" w:hAnsi="Times New Roman" w:eastAsia="Times New Roman"/>
                <w:b w:val="0"/>
                <w:i w:val="0"/>
                <w:color w:val="000000"/>
                <w:sz w:val="17"/>
              </w:rPr>
              <w:t>0.162</w:t>
            </w:r>
          </w:p>
        </w:tc>
        <w:tc>
          <w:tcPr>
            <w:tcW w:type="dxa" w:w="1368"/>
          </w:tcPr>
          <w:p>
            <w:pPr>
              <w:spacing w:line="276" w:lineRule="auto"/>
              <w:jc w:val="center"/>
            </w:pPr>
            <w:r>
              <w:rPr>
                <w:rFonts w:ascii="Times New Roman" w:hAnsi="Times New Roman" w:eastAsia="Times New Roman"/>
                <w:b w:val="0"/>
                <w:i w:val="0"/>
                <w:color w:val="000000"/>
                <w:sz w:val="17"/>
              </w:rPr>
              <w:t>0.248</w:t>
            </w:r>
          </w:p>
        </w:tc>
        <w:tc>
          <w:tcPr>
            <w:tcW w:type="dxa" w:w="1440"/>
          </w:tcPr>
          <w:p>
            <w:pPr>
              <w:spacing w:line="276" w:lineRule="auto"/>
              <w:jc w:val="center"/>
            </w:pPr>
            <w:r>
              <w:rPr>
                <w:rFonts w:ascii="Times New Roman" w:hAnsi="Times New Roman" w:eastAsia="Times New Roman"/>
                <w:b w:val="0"/>
                <w:i w:val="0"/>
                <w:color w:val="000000"/>
                <w:sz w:val="17"/>
              </w:rPr>
              <w:t>0.601</w:t>
            </w:r>
          </w:p>
        </w:tc>
        <w:tc>
          <w:tcPr>
            <w:tcW w:type="dxa" w:w="1368"/>
          </w:tcPr>
          <w:p>
            <w:pPr>
              <w:spacing w:line="276" w:lineRule="auto"/>
              <w:jc w:val="center"/>
            </w:pPr>
            <w:r>
              <w:rPr>
                <w:rFonts w:ascii="Times New Roman" w:hAnsi="Times New Roman" w:eastAsia="Times New Roman"/>
                <w:b w:val="0"/>
                <w:i w:val="0"/>
                <w:color w:val="000000"/>
                <w:sz w:val="17"/>
              </w:rPr>
              <w:t>10.65</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0.00</w:t>
            </w:r>
          </w:p>
        </w:tc>
      </w:tr>
      <w:tr>
        <w:tc>
          <w:tcPr>
            <w:tcW w:type="dxa" w:w="1944"/>
          </w:tcPr>
          <w:p>
            <w:pPr>
              <w:spacing w:line="276" w:lineRule="auto"/>
              <w:jc w:val="left"/>
            </w:pPr>
            <w:r>
              <w:rPr>
                <w:rFonts w:ascii="Times New Roman" w:hAnsi="Times New Roman" w:eastAsia="Times New Roman"/>
                <w:b w:val="0"/>
                <w:i w:val="0"/>
                <w:color w:val="000000"/>
                <w:sz w:val="17"/>
              </w:rPr>
              <w:t>MPC</w:t>
            </w:r>
          </w:p>
        </w:tc>
        <w:tc>
          <w:tcPr>
            <w:tcW w:type="dxa" w:w="1368"/>
          </w:tcPr>
          <w:p>
            <w:pPr>
              <w:spacing w:line="276" w:lineRule="auto"/>
              <w:jc w:val="center"/>
            </w:pPr>
            <w:r>
              <w:rPr>
                <w:rFonts w:ascii="Times New Roman" w:hAnsi="Times New Roman" w:eastAsia="Times New Roman"/>
                <w:b w:val="0"/>
                <w:i w:val="0"/>
                <w:color w:val="000000"/>
                <w:sz w:val="17"/>
              </w:rPr>
              <w:t>0.071</w:t>
            </w:r>
          </w:p>
        </w:tc>
        <w:tc>
          <w:tcPr>
            <w:tcW w:type="dxa" w:w="1368"/>
          </w:tcPr>
          <w:p>
            <w:pPr>
              <w:spacing w:line="276" w:lineRule="auto"/>
              <w:jc w:val="center"/>
            </w:pPr>
            <w:r>
              <w:rPr>
                <w:rFonts w:ascii="Times New Roman" w:hAnsi="Times New Roman" w:eastAsia="Times New Roman"/>
                <w:b w:val="0"/>
                <w:i w:val="0"/>
                <w:color w:val="000000"/>
                <w:sz w:val="17"/>
              </w:rPr>
              <w:t>0.221</w:t>
            </w:r>
          </w:p>
        </w:tc>
        <w:tc>
          <w:tcPr>
            <w:tcW w:type="dxa" w:w="1440"/>
          </w:tcPr>
          <w:p>
            <w:pPr>
              <w:spacing w:line="276" w:lineRule="auto"/>
              <w:jc w:val="center"/>
            </w:pPr>
            <w:r>
              <w:rPr>
                <w:rFonts w:ascii="Times New Roman" w:hAnsi="Times New Roman" w:eastAsia="Times New Roman"/>
                <w:b w:val="0"/>
                <w:i w:val="0"/>
                <w:color w:val="000000"/>
                <w:sz w:val="17"/>
              </w:rPr>
              <w:t>0.575</w:t>
            </w:r>
          </w:p>
        </w:tc>
        <w:tc>
          <w:tcPr>
            <w:tcW w:type="dxa" w:w="1368"/>
          </w:tcPr>
          <w:p>
            <w:pPr>
              <w:spacing w:line="276" w:lineRule="auto"/>
              <w:jc w:val="center"/>
            </w:pPr>
            <w:r>
              <w:rPr>
                <w:rFonts w:ascii="Times New Roman" w:hAnsi="Times New Roman" w:eastAsia="Times New Roman"/>
                <w:b w:val="0"/>
                <w:i w:val="0"/>
                <w:color w:val="000000"/>
                <w:sz w:val="17"/>
              </w:rPr>
              <w:t>9.46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1.00</w:t>
            </w:r>
          </w:p>
        </w:tc>
      </w:tr>
      <w:tr>
        <w:tc>
          <w:tcPr>
            <w:tcW w:type="dxa" w:w="1944"/>
          </w:tcPr>
          <w:p>
            <w:pPr>
              <w:spacing w:line="276" w:lineRule="auto"/>
              <w:jc w:val="left"/>
            </w:pPr>
            <w:r>
              <w:rPr>
                <w:rFonts w:ascii="Times New Roman" w:hAnsi="Times New Roman" w:eastAsia="Times New Roman"/>
                <w:b w:val="0"/>
                <w:i w:val="0"/>
                <w:color w:val="000000"/>
                <w:sz w:val="17"/>
              </w:rPr>
              <w:t>Fixed α = 0.5</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0.120</w:t>
            </w:r>
          </w:p>
        </w:tc>
        <w:tc>
          <w:tcPr>
            <w:tcW w:type="dxa" w:w="1440"/>
          </w:tcPr>
          <w:p>
            <w:pPr>
              <w:spacing w:line="276" w:lineRule="auto"/>
              <w:jc w:val="center"/>
            </w:pPr>
            <w:r>
              <w:rPr>
                <w:rFonts w:ascii="Times New Roman" w:hAnsi="Times New Roman" w:eastAsia="Times New Roman"/>
                <w:b w:val="0"/>
                <w:i w:val="0"/>
                <w:color w:val="000000"/>
                <w:sz w:val="17"/>
              </w:rPr>
              <w:t>0.412</w:t>
            </w:r>
          </w:p>
        </w:tc>
        <w:tc>
          <w:tcPr>
            <w:tcW w:type="dxa" w:w="1368"/>
          </w:tcPr>
          <w:p>
            <w:pPr>
              <w:spacing w:line="276" w:lineRule="auto"/>
              <w:jc w:val="center"/>
            </w:pPr>
            <w:r>
              <w:rPr>
                <w:rFonts w:ascii="Times New Roman" w:hAnsi="Times New Roman" w:eastAsia="Times New Roman"/>
                <w:b w:val="0"/>
                <w:i w:val="0"/>
                <w:color w:val="000000"/>
                <w:sz w:val="17"/>
              </w:rPr>
              <w:t>8.66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0.59</w:t>
            </w:r>
          </w:p>
        </w:tc>
      </w:tr>
      <w:tr>
        <w:tc>
          <w:tcPr>
            <w:tcW w:type="dxa" w:w="1944"/>
          </w:tcPr>
          <w:p>
            <w:pPr>
              <w:spacing w:line="276" w:lineRule="auto"/>
              <w:jc w:val="left"/>
            </w:pPr>
            <w:r>
              <w:rPr>
                <w:rFonts w:ascii="Times New Roman" w:hAnsi="Times New Roman" w:eastAsia="Times New Roman"/>
                <w:b w:val="0"/>
                <w:i w:val="0"/>
                <w:color w:val="000000"/>
                <w:sz w:val="17"/>
              </w:rPr>
              <w:t>SSPO</w:t>
            </w:r>
          </w:p>
        </w:tc>
        <w:tc>
          <w:tcPr>
            <w:tcW w:type="dxa" w:w="1368"/>
          </w:tcPr>
          <w:p>
            <w:pPr>
              <w:spacing w:line="276" w:lineRule="auto"/>
              <w:jc w:val="center"/>
            </w:pPr>
            <w:r>
              <w:rPr>
                <w:rFonts w:ascii="Times New Roman" w:hAnsi="Times New Roman" w:eastAsia="Times New Roman"/>
                <w:b w:val="0"/>
                <w:i w:val="0"/>
                <w:color w:val="000000"/>
                <w:sz w:val="17"/>
              </w:rPr>
              <w:t>0.062</w:t>
            </w:r>
          </w:p>
        </w:tc>
        <w:tc>
          <w:tcPr>
            <w:tcW w:type="dxa" w:w="1368"/>
          </w:tcPr>
          <w:p>
            <w:pPr>
              <w:spacing w:line="276" w:lineRule="auto"/>
              <w:jc w:val="center"/>
            </w:pPr>
            <w:r>
              <w:rPr>
                <w:rFonts w:ascii="Times New Roman" w:hAnsi="Times New Roman" w:eastAsia="Times New Roman"/>
                <w:b w:val="0"/>
                <w:i w:val="0"/>
                <w:color w:val="000000"/>
                <w:sz w:val="17"/>
              </w:rPr>
              <w:t>0.136</w:t>
            </w:r>
          </w:p>
        </w:tc>
        <w:tc>
          <w:tcPr>
            <w:tcW w:type="dxa" w:w="1440"/>
          </w:tcPr>
          <w:p>
            <w:pPr>
              <w:spacing w:line="276" w:lineRule="auto"/>
              <w:jc w:val="center"/>
            </w:pPr>
            <w:r>
              <w:rPr>
                <w:rFonts w:ascii="Times New Roman" w:hAnsi="Times New Roman" w:eastAsia="Times New Roman"/>
                <w:b w:val="0"/>
                <w:i w:val="0"/>
                <w:color w:val="000000"/>
                <w:sz w:val="17"/>
              </w:rPr>
              <w:t>0.448</w:t>
            </w:r>
          </w:p>
        </w:tc>
        <w:tc>
          <w:tcPr>
            <w:tcW w:type="dxa" w:w="1368"/>
          </w:tcPr>
          <w:p>
            <w:pPr>
              <w:spacing w:line="276" w:lineRule="auto"/>
              <w:jc w:val="center"/>
            </w:pPr>
            <w:r>
              <w:rPr>
                <w:rFonts w:ascii="Times New Roman" w:hAnsi="Times New Roman" w:eastAsia="Times New Roman"/>
                <w:b w:val="0"/>
                <w:i w:val="0"/>
                <w:color w:val="000000"/>
                <w:sz w:val="17"/>
              </w:rPr>
              <w:t>9.11</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0.87</w:t>
            </w:r>
          </w:p>
        </w:tc>
      </w:tr>
      <w:tr>
        <w:tc>
          <w:tcPr>
            <w:tcW w:type="dxa" w:w="1944"/>
          </w:tcPr>
          <w:p>
            <w:pPr>
              <w:spacing w:line="276" w:lineRule="auto"/>
              <w:jc w:val="left"/>
            </w:pPr>
            <w:r>
              <w:rPr>
                <w:rFonts w:ascii="Times New Roman" w:hAnsi="Times New Roman" w:eastAsia="Times New Roman"/>
                <w:b w:val="0"/>
                <w:i w:val="0"/>
                <w:color w:val="000000"/>
                <w:sz w:val="17"/>
              </w:rPr>
              <w:t>Supervised PAC</w:t>
            </w:r>
          </w:p>
        </w:tc>
        <w:tc>
          <w:tcPr>
            <w:tcW w:type="dxa" w:w="1368"/>
          </w:tcPr>
          <w:p>
            <w:pPr>
              <w:spacing w:line="276" w:lineRule="auto"/>
              <w:jc w:val="center"/>
            </w:pPr>
            <w:r>
              <w:rPr>
                <w:rFonts w:ascii="Times New Roman" w:hAnsi="Times New Roman" w:eastAsia="Times New Roman"/>
                <w:b w:val="0"/>
                <w:i w:val="0"/>
                <w:color w:val="000000"/>
                <w:sz w:val="17"/>
              </w:rPr>
              <w:t>0.064</w:t>
            </w:r>
          </w:p>
        </w:tc>
        <w:tc>
          <w:tcPr>
            <w:tcW w:type="dxa" w:w="1368"/>
          </w:tcPr>
          <w:p>
            <w:pPr>
              <w:spacing w:line="276" w:lineRule="auto"/>
              <w:jc w:val="center"/>
            </w:pPr>
            <w:r>
              <w:rPr>
                <w:rFonts w:ascii="Times New Roman" w:hAnsi="Times New Roman" w:eastAsia="Times New Roman"/>
                <w:b w:val="0"/>
                <w:i w:val="0"/>
                <w:color w:val="000000"/>
                <w:sz w:val="17"/>
              </w:rPr>
              <w:t>0.160</w:t>
            </w:r>
          </w:p>
        </w:tc>
        <w:tc>
          <w:tcPr>
            <w:tcW w:type="dxa" w:w="1440"/>
          </w:tcPr>
          <w:p>
            <w:pPr>
              <w:spacing w:line="276" w:lineRule="auto"/>
              <w:jc w:val="center"/>
            </w:pPr>
            <w:r>
              <w:rPr>
                <w:rFonts w:ascii="Times New Roman" w:hAnsi="Times New Roman" w:eastAsia="Times New Roman"/>
                <w:b w:val="0"/>
                <w:i w:val="0"/>
                <w:color w:val="000000"/>
                <w:sz w:val="17"/>
              </w:rPr>
              <w:t>0.495</w:t>
            </w:r>
          </w:p>
        </w:tc>
        <w:tc>
          <w:tcPr>
            <w:tcW w:type="dxa" w:w="1368"/>
          </w:tcPr>
          <w:p>
            <w:pPr>
              <w:spacing w:line="276" w:lineRule="auto"/>
              <w:jc w:val="center"/>
            </w:pPr>
            <w:r>
              <w:rPr>
                <w:rFonts w:ascii="Times New Roman" w:hAnsi="Times New Roman" w:eastAsia="Times New Roman"/>
                <w:b w:val="0"/>
                <w:i w:val="0"/>
                <w:color w:val="000000"/>
                <w:sz w:val="17"/>
              </w:rPr>
              <w:t>9.20</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0.82</w:t>
            </w:r>
          </w:p>
        </w:tc>
      </w:tr>
      <w:tr>
        <w:tc>
          <w:tcPr>
            <w:tcW w:type="dxa" w:w="1944"/>
          </w:tcPr>
          <w:p>
            <w:pPr>
              <w:spacing w:line="276" w:lineRule="auto"/>
              <w:jc w:val="left"/>
            </w:pPr>
            <w:r>
              <w:rPr>
                <w:rFonts w:ascii="Times New Roman" w:hAnsi="Times New Roman" w:eastAsia="Times New Roman"/>
                <w:b w:val="0"/>
                <w:i w:val="0"/>
                <w:color w:val="000000"/>
                <w:sz w:val="17"/>
              </w:rPr>
              <w:t>Residual PAC</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0.116</w:t>
            </w:r>
          </w:p>
        </w:tc>
        <w:tc>
          <w:tcPr>
            <w:tcW w:type="dxa" w:w="1440"/>
          </w:tcPr>
          <w:p>
            <w:pPr>
              <w:spacing w:line="276" w:lineRule="auto"/>
              <w:jc w:val="center"/>
            </w:pPr>
            <w:r>
              <w:rPr>
                <w:rFonts w:ascii="Times New Roman" w:hAnsi="Times New Roman" w:eastAsia="Times New Roman"/>
                <w:b w:val="0"/>
                <w:i w:val="0"/>
                <w:color w:val="000000"/>
                <w:sz w:val="17"/>
              </w:rPr>
              <w:t>0.414</w:t>
            </w:r>
          </w:p>
        </w:tc>
        <w:tc>
          <w:tcPr>
            <w:tcW w:type="dxa" w:w="1368"/>
          </w:tcPr>
          <w:p>
            <w:pPr>
              <w:spacing w:line="276" w:lineRule="auto"/>
              <w:jc w:val="center"/>
            </w:pPr>
            <w:r>
              <w:rPr>
                <w:rFonts w:ascii="Times New Roman" w:hAnsi="Times New Roman" w:eastAsia="Times New Roman"/>
                <w:b w:val="0"/>
                <w:i w:val="0"/>
                <w:color w:val="000000"/>
                <w:sz w:val="17"/>
              </w:rPr>
              <w:t>8.46</w:t>
            </w:r>
          </w:p>
        </w:tc>
        <w:tc>
          <w:tcPr>
            <w:tcW w:type="dxa" w:w="1440"/>
          </w:tcPr>
          <w:p>
            <w:pPr>
              <w:spacing w:line="276" w:lineRule="auto"/>
              <w:jc w:val="center"/>
            </w:pPr>
            <w:r>
              <w:rPr>
                <w:rFonts w:ascii="Times New Roman" w:hAnsi="Times New Roman" w:eastAsia="Times New Roman"/>
                <w:b w:val="0"/>
                <w:i w:val="0"/>
                <w:color w:val="000000"/>
                <w:sz w:val="17"/>
              </w:rPr>
              <w:t>0.80</w:t>
            </w:r>
          </w:p>
        </w:tc>
        <w:tc>
          <w:tcPr>
            <w:tcW w:type="dxa" w:w="1224"/>
          </w:tcPr>
          <w:p>
            <w:pPr>
              <w:spacing w:line="276" w:lineRule="auto"/>
              <w:jc w:val="center"/>
            </w:pPr>
            <w:r>
              <w:rPr>
                <w:rFonts w:ascii="Times New Roman" w:hAnsi="Times New Roman" w:eastAsia="Times New Roman"/>
                <w:b w:val="0"/>
                <w:i w:val="0"/>
                <w:color w:val="000000"/>
                <w:sz w:val="17"/>
              </w:rPr>
              <w:t>0.54</w:t>
            </w:r>
          </w:p>
        </w:tc>
      </w:tr>
    </w:tbl>
    <w:p>
      <w:pPr>
        <w:spacing w:after="40"/>
      </w:pPr>
    </w:p>
    <w:p>
      <w:pPr>
        <w:spacing w:line="312" w:lineRule="auto" w:before="200" w:after="80"/>
      </w:pPr>
      <w:r>
        <w:rPr>
          <w:rFonts w:ascii="Times New Roman" w:hAnsi="Times New Roman" w:eastAsia="Times New Roman"/>
          <w:b/>
          <w:i w:val="0"/>
          <w:color w:val="000000"/>
          <w:sz w:val="23"/>
        </w:rPr>
        <w:t>6.2  Where the residual earns its value</w:t>
      </w:r>
    </w:p>
    <w:p>
      <w:pPr>
        <w:spacing w:line="312" w:lineRule="auto" w:after="120"/>
        <w:jc w:val="both"/>
      </w:pPr>
      <w:r>
        <w:rPr>
          <w:rFonts w:ascii="Times New Roman" w:hAnsi="Times New Roman" w:eastAsia="Times New Roman"/>
          <w:b w:val="0"/>
          <w:i w:val="0"/>
          <w:color w:val="000000"/>
          <w:sz w:val="22"/>
        </w:rPr>
        <w:t>Across the OOD block, the residual policy reduces tracking RMSE from 0.161 m (supervised) to 0.116 m. The registered model-seed paired effect is −0.0445 m with a 95% t(4) interval of [−0.0737, −0.0154] m (28% relative reduction); the episode-level bootstrap over the 35 OOD episodes is [−0.0759, −0.0167] m, consistent with the seed-level analysis. Maximum error falls from 0.495 m to 0.414 m (five-seed means) and OOD heading error improves by 0.73°.</w:t>
      </w:r>
    </w:p>
    <w:p>
      <w:pPr>
        <w:spacing w:line="312" w:lineRule="auto" w:after="120"/>
        <w:jc w:val="both"/>
      </w:pPr>
      <w:r>
        <w:rPr>
          <w:rFonts w:ascii="Times New Roman" w:hAnsi="Times New Roman" w:eastAsia="Times New Roman"/>
          <w:b w:val="0"/>
          <w:i w:val="0"/>
          <w:color w:val="000000"/>
          <w:sz w:val="22"/>
        </w:rPr>
        <w:t>The sharpest reading of Table 1 is unfavorable to us: a constant α = 0.5 reaches 0.120 m OOD, within 3% of the residual policy. That comparison was not registered and we make no significance claim; the honest summary is that the residual's overall advantage over never adapting is small, and its value is concentrated where adaptation is hardest (−28% versus the constant blend in the actuator-degradation family, Table 2). The in-distribution effect is +0.0028 m [+0.0009, +0.0047] (+0.4%) and in-distribution heading error rises by 0.32° [+0.29, +0.35] (+4.3%).</w:t>
      </w:r>
    </w:p>
    <w:p>
      <w:pPr>
        <w:spacing w:line="312" w:lineRule="auto" w:after="120"/>
        <w:jc w:val="both"/>
      </w:pPr>
      <w:r>
        <w:rPr>
          <w:rFonts w:ascii="Times New Roman" w:hAnsi="Times New Roman" w:eastAsia="Times New Roman"/>
          <w:b w:val="0"/>
          <w:i w:val="0"/>
          <w:color w:val="000000"/>
          <w:sz w:val="22"/>
        </w:rPr>
        <w:t>The family decomposition in Fig. 6b locates the gain, and the registered paired effects in Fig. 6a quantify it. The SSPO versus residual PAC contrast is not included in the archived paired-effects summary; it is recomputed from raw episode metrics with the same seed-level procedure: OOD −0.0198 m [−0.0211, −0.0185] in favor of the residual policy, ID +0.0043 m [+0.0033, +0.0053] in favor of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6. </w:t>
      </w:r>
      <w:r>
        <w:rPr>
          <w:rFonts w:ascii="Times New Roman" w:hAnsi="Times New Roman" w:eastAsia="Times New Roman"/>
          <w:b w:val="0"/>
          <w:i w:val="0"/>
          <w:color w:val="000000"/>
          <w:sz w:val="18"/>
        </w:rPr>
        <w:t>Registered paired effects and family decomposition. (a) RMSE paired effects with model-seed t(4) 95% intervals by block (OOD, ID); filled markers denote intervals excluding zero; the SSPO versus supervised contrast is as archived; the SSPO contrast is recomputed from raw episode metrics. (b) OOD RMSE by disturbance family and method. Gains concentrate in the actuator-degradation family; in the mild stochastic and estimation-delay families the supervised policy and SSPO remain marginally better. The panel does not support uniform superiority.</w:t>
      </w:r>
    </w:p>
    <w:p>
      <w:pPr>
        <w:keepNext/>
        <w:spacing w:before="160"/>
        <w:jc w:val="both"/>
      </w:pPr>
      <w:r>
        <w:rPr>
          <w:rFonts w:ascii="Times New Roman" w:hAnsi="Times New Roman" w:eastAsia="Times New Roman"/>
          <w:b/>
          <w:i w:val="0"/>
          <w:color w:val="000000"/>
          <w:sz w:val="18"/>
        </w:rPr>
        <w:t xml:space="preserve">Table 2. </w:t>
      </w:r>
      <w:r>
        <w:rPr>
          <w:rFonts w:ascii="Times New Roman" w:hAnsi="Times New Roman" w:eastAsia="Times New Roman"/>
          <w:b/>
          <w:i w:val="0"/>
          <w:color w:val="000000"/>
          <w:sz w:val="18"/>
        </w:rPr>
        <w:t>Actuator-degradation family (response lag with measurement noise): paired family means.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fill="F2F2F2"/>
          </w:tcPr>
          <w:p>
            <w:pPr>
              <w:spacing w:line="276" w:lineRule="auto"/>
              <w:jc w:val="center"/>
            </w:pPr>
            <w:r>
              <w:rPr>
                <w:rFonts w:ascii="Times New Roman" w:hAnsi="Times New Roman" w:eastAsia="Times New Roman"/>
                <w:b/>
                <w:i w:val="0"/>
                <w:color w:val="000000"/>
                <w:sz w:val="17"/>
              </w:rPr>
              <w:t>Method</w:t>
            </w:r>
          </w:p>
        </w:tc>
        <w:tc>
          <w:tcPr>
            <w:tcW w:type="dxa" w:w="1728"/>
            <w:shd w:val="clear" w:fill="F2F2F2"/>
          </w:tcPr>
          <w:p>
            <w:pPr>
              <w:spacing w:line="276" w:lineRule="auto"/>
              <w:jc w:val="center"/>
            </w:pPr>
            <w:r>
              <w:rPr>
                <w:rFonts w:ascii="Times New Roman" w:hAnsi="Times New Roman" w:eastAsia="Times New Roman"/>
                <w:b/>
                <w:i w:val="0"/>
                <w:color w:val="000000"/>
                <w:sz w:val="17"/>
              </w:rPr>
              <w:t>ID RMSE (m)</w:t>
            </w:r>
          </w:p>
        </w:tc>
        <w:tc>
          <w:tcPr>
            <w:tcW w:type="dxa" w:w="1728"/>
            <w:shd w:val="clear" w:fill="F2F2F2"/>
          </w:tcPr>
          <w:p>
            <w:pPr>
              <w:spacing w:line="276" w:lineRule="auto"/>
              <w:jc w:val="center"/>
            </w:pPr>
            <w:r>
              <w:rPr>
                <w:rFonts w:ascii="Times New Roman" w:hAnsi="Times New Roman" w:eastAsia="Times New Roman"/>
                <w:b/>
                <w:i w:val="0"/>
                <w:color w:val="000000"/>
                <w:sz w:val="17"/>
              </w:rPr>
              <w:t>OOD RMSE (m)</w:t>
            </w:r>
          </w:p>
        </w:tc>
        <w:tc>
          <w:tcPr>
            <w:tcW w:type="dxa" w:w="1584"/>
            <w:shd w:val="clear" w:fill="F2F2F2"/>
          </w:tcPr>
          <w:p>
            <w:pPr>
              <w:spacing w:line="276" w:lineRule="auto"/>
              <w:jc w:val="center"/>
            </w:pPr>
            <w:r>
              <w:rPr>
                <w:rFonts w:ascii="Times New Roman" w:hAnsi="Times New Roman" w:eastAsia="Times New Roman"/>
                <w:b/>
                <w:i w:val="0"/>
                <w:color w:val="000000"/>
                <w:sz w:val="17"/>
              </w:rPr>
              <w:t>vs supervised PAC</w:t>
            </w:r>
          </w:p>
        </w:tc>
      </w:tr>
      <w:tr>
        <w:tc>
          <w:tcPr>
            <w:tcW w:type="dxa" w:w="2304"/>
          </w:tcPr>
          <w:p>
            <w:pPr>
              <w:spacing w:line="276" w:lineRule="auto"/>
              <w:jc w:val="left"/>
            </w:pPr>
            <w:r>
              <w:rPr>
                <w:rFonts w:ascii="Times New Roman" w:hAnsi="Times New Roman" w:eastAsia="Times New Roman"/>
                <w:b w:val="0"/>
                <w:i w:val="0"/>
                <w:color w:val="000000"/>
                <w:sz w:val="17"/>
              </w:rPr>
              <w:t>SMC</w:t>
            </w:r>
          </w:p>
        </w:tc>
        <w:tc>
          <w:tcPr>
            <w:tcW w:type="dxa" w:w="1728"/>
          </w:tcPr>
          <w:p>
            <w:pPr>
              <w:spacing w:line="276" w:lineRule="auto"/>
              <w:jc w:val="center"/>
            </w:pPr>
            <w:r>
              <w:rPr>
                <w:rFonts w:ascii="Times New Roman" w:hAnsi="Times New Roman" w:eastAsia="Times New Roman"/>
                <w:b w:val="0"/>
                <w:i w:val="0"/>
                <w:color w:val="000000"/>
                <w:sz w:val="17"/>
              </w:rPr>
              <w:t>0.142</w:t>
            </w:r>
          </w:p>
        </w:tc>
        <w:tc>
          <w:tcPr>
            <w:tcW w:type="dxa" w:w="1728"/>
          </w:tcPr>
          <w:p>
            <w:pPr>
              <w:spacing w:line="276" w:lineRule="auto"/>
              <w:jc w:val="center"/>
            </w:pPr>
            <w:r>
              <w:rPr>
                <w:rFonts w:ascii="Times New Roman" w:hAnsi="Times New Roman" w:eastAsia="Times New Roman"/>
                <w:b w:val="0"/>
                <w:i w:val="0"/>
                <w:color w:val="000000"/>
                <w:sz w:val="17"/>
              </w:rPr>
              <w:t>0.156</w:t>
            </w:r>
          </w:p>
        </w:tc>
        <w:tc>
          <w:tcPr>
            <w:tcW w:type="dxa" w:w="1584"/>
          </w:tcPr>
          <w:p>
            <w:pPr>
              <w:spacing w:line="276" w:lineRule="auto"/>
              <w:jc w:val="center"/>
            </w:pPr>
            <w:r>
              <w:rPr>
                <w:rFonts w:ascii="Times New Roman" w:hAnsi="Times New Roman" w:eastAsia="Times New Roman"/>
                <w:b w:val="0"/>
                <w:i w:val="0"/>
                <w:color w:val="000000"/>
                <w:sz w:val="17"/>
              </w:rPr>
              <w:t>-47%</w:t>
            </w:r>
          </w:p>
        </w:tc>
      </w:tr>
      <w:tr>
        <w:tc>
          <w:tcPr>
            <w:tcW w:type="dxa" w:w="2304"/>
          </w:tcPr>
          <w:p>
            <w:pPr>
              <w:spacing w:line="276" w:lineRule="auto"/>
              <w:jc w:val="left"/>
            </w:pPr>
            <w:r>
              <w:rPr>
                <w:rFonts w:ascii="Times New Roman" w:hAnsi="Times New Roman" w:eastAsia="Times New Roman"/>
                <w:b w:val="0"/>
                <w:i w:val="0"/>
                <w:color w:val="000000"/>
                <w:sz w:val="17"/>
              </w:rPr>
              <w:t>MPC</w:t>
            </w:r>
          </w:p>
        </w:tc>
        <w:tc>
          <w:tcPr>
            <w:tcW w:type="dxa" w:w="1728"/>
          </w:tcPr>
          <w:p>
            <w:pPr>
              <w:spacing w:line="276" w:lineRule="auto"/>
              <w:jc w:val="center"/>
            </w:pPr>
            <w:r>
              <w:rPr>
                <w:rFonts w:ascii="Times New Roman" w:hAnsi="Times New Roman" w:eastAsia="Times New Roman"/>
                <w:b w:val="0"/>
                <w:i w:val="0"/>
                <w:color w:val="000000"/>
                <w:sz w:val="17"/>
              </w:rPr>
              <w:t>0.089</w:t>
            </w:r>
          </w:p>
        </w:tc>
        <w:tc>
          <w:tcPr>
            <w:tcW w:type="dxa" w:w="1728"/>
          </w:tcPr>
          <w:p>
            <w:pPr>
              <w:spacing w:line="276" w:lineRule="auto"/>
              <w:jc w:val="center"/>
            </w:pPr>
            <w:r>
              <w:rPr>
                <w:rFonts w:ascii="Times New Roman" w:hAnsi="Times New Roman" w:eastAsia="Times New Roman"/>
                <w:b w:val="0"/>
                <w:i w:val="0"/>
                <w:color w:val="000000"/>
                <w:sz w:val="17"/>
              </w:rPr>
              <w:t>0.822</w:t>
            </w:r>
          </w:p>
        </w:tc>
        <w:tc>
          <w:tcPr>
            <w:tcW w:type="dxa" w:w="1584"/>
          </w:tcPr>
          <w:p>
            <w:pPr>
              <w:spacing w:line="276" w:lineRule="auto"/>
              <w:jc w:val="center"/>
            </w:pPr>
            <w:r>
              <w:rPr>
                <w:rFonts w:ascii="Times New Roman" w:hAnsi="Times New Roman" w:eastAsia="Times New Roman"/>
                <w:b w:val="0"/>
                <w:i w:val="0"/>
                <w:color w:val="000000"/>
                <w:sz w:val="17"/>
              </w:rPr>
              <w:t>+179%</w:t>
            </w:r>
          </w:p>
        </w:tc>
      </w:tr>
      <w:tr>
        <w:tc>
          <w:tcPr>
            <w:tcW w:type="dxa" w:w="2304"/>
          </w:tcPr>
          <w:p>
            <w:pPr>
              <w:spacing w:line="276" w:lineRule="auto"/>
              <w:jc w:val="left"/>
            </w:pPr>
            <w:r>
              <w:rPr>
                <w:rFonts w:ascii="Times New Roman" w:hAnsi="Times New Roman" w:eastAsia="Times New Roman"/>
                <w:b w:val="0"/>
                <w:i w:val="0"/>
                <w:color w:val="000000"/>
                <w:sz w:val="17"/>
              </w:rPr>
              <w:t>Fixed α = 0.5</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0.125</w:t>
            </w:r>
          </w:p>
        </w:tc>
        <w:tc>
          <w:tcPr>
            <w:tcW w:type="dxa" w:w="1584"/>
          </w:tcPr>
          <w:p>
            <w:pPr>
              <w:spacing w:line="276" w:lineRule="auto"/>
              <w:jc w:val="center"/>
            </w:pPr>
            <w:r>
              <w:rPr>
                <w:rFonts w:ascii="Times New Roman" w:hAnsi="Times New Roman" w:eastAsia="Times New Roman"/>
                <w:b w:val="0"/>
                <w:i w:val="0"/>
                <w:color w:val="000000"/>
                <w:sz w:val="17"/>
              </w:rPr>
              <w:t>-58%</w:t>
            </w:r>
          </w:p>
        </w:tc>
      </w:tr>
      <w:tr>
        <w:tc>
          <w:tcPr>
            <w:tcW w:type="dxa" w:w="2304"/>
          </w:tcPr>
          <w:p>
            <w:pPr>
              <w:spacing w:line="276" w:lineRule="auto"/>
              <w:jc w:val="left"/>
            </w:pPr>
            <w:r>
              <w:rPr>
                <w:rFonts w:ascii="Times New Roman" w:hAnsi="Times New Roman" w:eastAsia="Times New Roman"/>
                <w:b w:val="0"/>
                <w:i w:val="0"/>
                <w:color w:val="000000"/>
                <w:sz w:val="17"/>
              </w:rPr>
              <w:t>SSPO</w:t>
            </w:r>
          </w:p>
        </w:tc>
        <w:tc>
          <w:tcPr>
            <w:tcW w:type="dxa" w:w="1728"/>
          </w:tcPr>
          <w:p>
            <w:pPr>
              <w:spacing w:line="276" w:lineRule="auto"/>
              <w:jc w:val="center"/>
            </w:pPr>
            <w:r>
              <w:rPr>
                <w:rFonts w:ascii="Times New Roman" w:hAnsi="Times New Roman" w:eastAsia="Times New Roman"/>
                <w:b w:val="0"/>
                <w:i w:val="0"/>
                <w:color w:val="000000"/>
                <w:sz w:val="17"/>
              </w:rPr>
              <w:t>0.074</w:t>
            </w:r>
          </w:p>
        </w:tc>
        <w:tc>
          <w:tcPr>
            <w:tcW w:type="dxa" w:w="1728"/>
          </w:tcPr>
          <w:p>
            <w:pPr>
              <w:spacing w:line="276" w:lineRule="auto"/>
              <w:jc w:val="center"/>
            </w:pPr>
            <w:r>
              <w:rPr>
                <w:rFonts w:ascii="Times New Roman" w:hAnsi="Times New Roman" w:eastAsia="Times New Roman"/>
                <w:b w:val="0"/>
                <w:i w:val="0"/>
                <w:color w:val="000000"/>
                <w:sz w:val="17"/>
              </w:rPr>
              <w:t>0.252</w:t>
            </w:r>
          </w:p>
        </w:tc>
        <w:tc>
          <w:tcPr>
            <w:tcW w:type="dxa" w:w="1584"/>
          </w:tcPr>
          <w:p>
            <w:pPr>
              <w:spacing w:line="276" w:lineRule="auto"/>
              <w:jc w:val="center"/>
            </w:pPr>
            <w:r>
              <w:rPr>
                <w:rFonts w:ascii="Times New Roman" w:hAnsi="Times New Roman" w:eastAsia="Times New Roman"/>
                <w:b w:val="0"/>
                <w:i w:val="0"/>
                <w:color w:val="000000"/>
                <w:sz w:val="17"/>
              </w:rPr>
              <w:t>-15%</w:t>
            </w:r>
          </w:p>
        </w:tc>
      </w:tr>
      <w:tr>
        <w:tc>
          <w:tcPr>
            <w:tcW w:type="dxa" w:w="2304"/>
          </w:tcPr>
          <w:p>
            <w:pPr>
              <w:spacing w:line="276" w:lineRule="auto"/>
              <w:jc w:val="left"/>
            </w:pPr>
            <w:r>
              <w:rPr>
                <w:rFonts w:ascii="Times New Roman" w:hAnsi="Times New Roman" w:eastAsia="Times New Roman"/>
                <w:b w:val="0"/>
                <w:i w:val="0"/>
                <w:color w:val="000000"/>
                <w:sz w:val="17"/>
              </w:rPr>
              <w:t>Supervised PAC</w:t>
            </w:r>
          </w:p>
        </w:tc>
        <w:tc>
          <w:tcPr>
            <w:tcW w:type="dxa" w:w="1728"/>
          </w:tcPr>
          <w:p>
            <w:pPr>
              <w:spacing w:line="276" w:lineRule="auto"/>
              <w:jc w:val="center"/>
            </w:pPr>
            <w:r>
              <w:rPr>
                <w:rFonts w:ascii="Times New Roman" w:hAnsi="Times New Roman" w:eastAsia="Times New Roman"/>
                <w:b w:val="0"/>
                <w:i w:val="0"/>
                <w:color w:val="000000"/>
                <w:sz w:val="17"/>
              </w:rPr>
              <w:t>0.069</w:t>
            </w:r>
          </w:p>
        </w:tc>
        <w:tc>
          <w:tcPr>
            <w:tcW w:type="dxa" w:w="1728"/>
          </w:tcPr>
          <w:p>
            <w:pPr>
              <w:spacing w:line="276" w:lineRule="auto"/>
              <w:jc w:val="center"/>
            </w:pPr>
            <w:r>
              <w:rPr>
                <w:rFonts w:ascii="Times New Roman" w:hAnsi="Times New Roman" w:eastAsia="Times New Roman"/>
                <w:b w:val="0"/>
                <w:i w:val="0"/>
                <w:color w:val="000000"/>
                <w:sz w:val="17"/>
              </w:rPr>
              <w:t>0.295</w:t>
            </w:r>
          </w:p>
        </w:tc>
        <w:tc>
          <w:tcPr>
            <w:tcW w:type="dxa" w:w="1584"/>
          </w:tcPr>
          <w:p>
            <w:pPr>
              <w:spacing w:line="276" w:lineRule="auto"/>
              <w:jc w:val="center"/>
            </w:pPr>
            <w:r>
              <w:rPr>
                <w:rFonts w:ascii="Times New Roman" w:hAnsi="Times New Roman" w:eastAsia="Times New Roman"/>
                <w:b w:val="0"/>
                <w:i w:val="0"/>
                <w:color w:val="000000"/>
                <w:sz w:val="17"/>
              </w:rPr>
              <w:t>—</w:t>
            </w:r>
          </w:p>
        </w:tc>
      </w:tr>
      <w:tr>
        <w:tc>
          <w:tcPr>
            <w:tcW w:type="dxa" w:w="2304"/>
          </w:tcPr>
          <w:p>
            <w:pPr>
              <w:spacing w:line="276" w:lineRule="auto"/>
              <w:jc w:val="left"/>
            </w:pPr>
            <w:r>
              <w:rPr>
                <w:rFonts w:ascii="Times New Roman" w:hAnsi="Times New Roman" w:eastAsia="Times New Roman"/>
                <w:b w:val="0"/>
                <w:i w:val="0"/>
                <w:color w:val="000000"/>
                <w:sz w:val="17"/>
              </w:rPr>
              <w:t>Residual PAC</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0.090</w:t>
            </w:r>
          </w:p>
        </w:tc>
        <w:tc>
          <w:tcPr>
            <w:tcW w:type="dxa" w:w="1584"/>
          </w:tcPr>
          <w:p>
            <w:pPr>
              <w:spacing w:line="276" w:lineRule="auto"/>
              <w:jc w:val="center"/>
            </w:pPr>
            <w:r>
              <w:rPr>
                <w:rFonts w:ascii="Times New Roman" w:hAnsi="Times New Roman" w:eastAsia="Times New Roman"/>
                <w:b w:val="0"/>
                <w:i w:val="0"/>
                <w:color w:val="000000"/>
                <w:sz w:val="17"/>
              </w:rPr>
              <w:t>-69%</w:t>
            </w:r>
          </w:p>
        </w:tc>
      </w:tr>
    </w:tbl>
    <w:p>
      <w:pPr>
        <w:spacing w:after="40"/>
      </w:pPr>
    </w:p>
    <w:p>
      <w:pPr>
        <w:spacing w:line="312" w:lineRule="auto" w:before="200" w:after="80"/>
      </w:pPr>
      <w:r>
        <w:rPr>
          <w:rFonts w:ascii="Times New Roman" w:hAnsi="Times New Roman" w:eastAsia="Times New Roman"/>
          <w:b/>
          <w:i w:val="0"/>
          <w:color w:val="000000"/>
          <w:sz w:val="23"/>
        </w:rPr>
        <w:t>6.3  How does the residual act?</w:t>
      </w:r>
    </w:p>
    <w:p>
      <w:pPr>
        <w:spacing w:line="312" w:lineRule="auto" w:after="120"/>
        <w:jc w:val="both"/>
      </w:pPr>
      <w:r>
        <w:rPr>
          <w:rFonts w:ascii="Times New Roman" w:hAnsi="Times New Roman" w:eastAsia="Times New Roman"/>
          <w:b w:val="0"/>
          <w:i w:val="0"/>
          <w:color w:val="000000"/>
          <w:sz w:val="22"/>
        </w:rPr>
        <w:t>The mechanism is visible in Fig. 7b. Within seconds of degraded-thruster onset, the supervised policy drives α above 0.9 and oscillates there for much of the episode (31.2% of steps above 0.9; standard deviation 0.331); the residual policy never exceeds 0.69 and holds [0.4, 0.6] on 97.0% of steps. The residual has not learned a new schedule—it has learned to veto the supervisor's excursions. We read this as conservatism under distribution shift, a single-family observation we do not extrapolate.</w:t>
      </w:r>
    </w:p>
    <w:p>
      <w:pPr>
        <w:spacing w:line="312" w:lineRule="auto" w:after="120"/>
        <w:jc w:val="both"/>
      </w:pPr>
      <w:r>
        <w:rPr>
          <w:rFonts w:ascii="Times New Roman" w:hAnsi="Times New Roman" w:eastAsia="Times New Roman"/>
          <w:b w:val="0"/>
          <w:i w:val="0"/>
          <w:color w:val="000000"/>
          <w:sz w:val="22"/>
        </w:rPr>
        <w:t>The stabilization generalizes beyond the single episode: across all 35 OOD episodes and five seeds (175 episodes per method), the per-episode mean authority is 0.82 ± 0.14 for the supervised policy (10th–90th percentile 0.62–0.93) and 0.54 ± 0.03 for the residual policy, with every residual episode inside [0.48, 0.62] (Fig.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7. </w:t>
      </w:r>
      <w:r>
        <w:rPr>
          <w:rFonts w:ascii="Times New Roman" w:hAnsi="Times New Roman" w:eastAsia="Times New Roman"/>
          <w:b w:val="0"/>
          <w:i w:val="0"/>
          <w:color w:val="000000"/>
          <w:sz w:val="18"/>
        </w:rPr>
        <w:t>Actuator-degradation episode (held-out seed 43000, fixed before inspection; family means superposed as text). (a) Position error. (b) Authority coefficient in the representative episode. (c) Box plots of per-episode mean authority over all 35 OOD episodes and five seeds (175 points per method; boxes: IQR, whiskers: range, line: median). Family-mean coefficients: 0.63 (supervised) versus 0.50 (residual).</w:t>
      </w:r>
    </w:p>
    <w:p>
      <w:pPr>
        <w:spacing w:line="312" w:lineRule="auto" w:before="200" w:after="80"/>
      </w:pPr>
      <w:r>
        <w:rPr>
          <w:rFonts w:ascii="Times New Roman" w:hAnsi="Times New Roman" w:eastAsia="Times New Roman"/>
          <w:b/>
          <w:i w:val="0"/>
          <w:color w:val="000000"/>
          <w:sz w:val="23"/>
        </w:rPr>
        <w:t>6.4  Control quality: the gain is not purchased with actuator abuse</w:t>
      </w:r>
    </w:p>
    <w:p>
      <w:pPr>
        <w:spacing w:line="312" w:lineRule="auto" w:after="120"/>
        <w:jc w:val="both"/>
      </w:pPr>
      <w:r>
        <w:rPr>
          <w:rFonts w:ascii="Times New Roman" w:hAnsi="Times New Roman" w:eastAsia="Times New Roman"/>
          <w:b w:val="0"/>
          <w:i w:val="0"/>
          <w:color w:val="000000"/>
          <w:sz w:val="22"/>
        </w:rPr>
        <w:t>On the OOD block the residual policy attains the lowest saturation-step fraction of all six methods (0.126, versus 0.134 for the fixed blend and 0.168 for the supervised policy), the lowest applied control cost (31.9 versus 33.7), and a rate-limit activation of 0.039 below both experts. The paired effect on control cost is −1.78 [−2.31, −1.26] OOD and −0.52 [−0.56, −0.48] ID: the residual policy is in fact cheaper to run than its supervisor while tracking better OOD. This substantiates the registered criterion that gains must not be purchased with heading, saturation, or constraint degradation (Fig.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8. </w:t>
      </w:r>
      <w:r>
        <w:rPr>
          <w:rFonts w:ascii="Times New Roman" w:hAnsi="Times New Roman" w:eastAsia="Times New Roman"/>
          <w:b w:val="0"/>
          <w:i w:val="0"/>
          <w:color w:val="000000"/>
          <w:sz w:val="18"/>
        </w:rPr>
        <w:t>Control quality by method and block (bars: five-seed means $\pm$ sd). (a) Applied control cost. (b) Saturation-step fraction. (c) Rate-limit activation. The residual policy attains the lowest OOD saturation and control cost of all methods.</w:t>
      </w:r>
    </w:p>
    <w:p>
      <w:pPr>
        <w:spacing w:line="312" w:lineRule="auto" w:before="200" w:after="80"/>
      </w:pPr>
      <w:r>
        <w:rPr>
          <w:rFonts w:ascii="Times New Roman" w:hAnsi="Times New Roman" w:eastAsia="Times New Roman"/>
          <w:b/>
          <w:i w:val="0"/>
          <w:color w:val="000000"/>
          <w:sz w:val="23"/>
        </w:rPr>
        <w:t>6.5  The price of the gain</w:t>
      </w:r>
    </w:p>
    <w:p>
      <w:pPr>
        <w:spacing w:line="312" w:lineRule="auto" w:after="120"/>
        <w:jc w:val="both"/>
      </w:pPr>
      <w:r>
        <w:rPr>
          <w:rFonts w:ascii="Times New Roman" w:hAnsi="Times New Roman" w:eastAsia="Times New Roman"/>
          <w:b w:val="0"/>
          <w:i w:val="0"/>
          <w:color w:val="000000"/>
          <w:sz w:val="22"/>
        </w:rPr>
        <w:t>Two costs accompany the OOD gain. In-distribution position and heading error increase as quantified above. And the solver deadline-miss fraction—steps on which the harness MPC instance exceeds the 10 ms period, measured identically for every method—rises from a common 0.69 baseline to 0.80 under the residual policy (+0.107 [+0.094, +0.120] OOD; +0.028 [+0.010, +0.047] ID). The constant blend leaves the metric unchanged, so the coefficient value itself is not the cause; a candidate explanation is trajectory-dependent solver conditioning, flagged as a hypothesis rather than a conclusion. Deployed safeguards are unaffected: fallback to the previous plan triggers on 0.3–0.5% of steps for all methods, success at the one-metre threshold is unchanged (0.988 ID / 0.943 OOD), and OOD maximum error improves.</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9. </w:t>
      </w:r>
      <w:r>
        <w:rPr>
          <w:rFonts w:ascii="Times New Roman" w:hAnsi="Times New Roman" w:eastAsia="Times New Roman"/>
          <w:b w:val="0"/>
          <w:i w:val="0"/>
          <w:color w:val="000000"/>
          <w:sz w:val="18"/>
        </w:rPr>
        <w:t>Cost accounting. OOD RMSE versus solver deadline-miss fraction for every method-seed combination; the metric counts steps on which the shared-harness MPC instance exceeds the 10 ms period, collected identically for all methods. Shaded band: common baseline level (0.69; SMC / MPC / Fixed α / SSPO).</w:t>
      </w:r>
    </w:p>
    <w:p>
      <w:pPr>
        <w:keepNext/>
        <w:spacing w:before="160"/>
        <w:jc w:val="both"/>
      </w:pPr>
      <w:r>
        <w:rPr>
          <w:rFonts w:ascii="Times New Roman" w:hAnsi="Times New Roman" w:eastAsia="Times New Roman"/>
          <w:b/>
          <w:i w:val="0"/>
          <w:color w:val="000000"/>
          <w:sz w:val="18"/>
        </w:rPr>
        <w:t xml:space="preserve">Table 3. </w:t>
      </w:r>
      <w:r>
        <w:rPr>
          <w:rFonts w:ascii="Times New Roman" w:hAnsi="Times New Roman" w:eastAsia="Times New Roman"/>
          <w:b/>
          <w:i w:val="0"/>
          <w:color w:val="000000"/>
          <w:sz w:val="18"/>
        </w:rPr>
        <w:t>Registered paired effects of the residual policy versus the supervised baseline across all reported metrics (model-seed t(4) 95% intervals). The SSPO contrast, recomputed from raw episode metrics, is RMSE OOD −0.0198 [−0.0211, −0.0185] in favor of the residual policy and ID +0.0043 [+0.0033, +0.0053] in favor of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Times New Roman"/>
                <w:b/>
                <w:i w:val="0"/>
                <w:color w:val="000000"/>
                <w:sz w:val="17"/>
              </w:rPr>
              <w:t>Metric</w:t>
            </w:r>
          </w:p>
        </w:tc>
        <w:tc>
          <w:tcPr>
            <w:tcW w:type="dxa" w:w="3168"/>
            <w:shd w:val="clear" w:fill="F2F2F2"/>
          </w:tcPr>
          <w:p>
            <w:pPr>
              <w:spacing w:line="276" w:lineRule="auto"/>
              <w:jc w:val="center"/>
            </w:pPr>
            <w:r>
              <w:rPr>
                <w:rFonts w:ascii="Times New Roman" w:hAnsi="Times New Roman" w:eastAsia="Times New Roman"/>
                <w:b/>
                <w:i w:val="0"/>
                <w:color w:val="000000"/>
                <w:sz w:val="17"/>
              </w:rPr>
              <w:t>ID effect [95% CI]</w:t>
            </w:r>
          </w:p>
        </w:tc>
        <w:tc>
          <w:tcPr>
            <w:tcW w:type="dxa" w:w="3168"/>
            <w:shd w:val="clear" w:fill="F2F2F2"/>
          </w:tcPr>
          <w:p>
            <w:pPr>
              <w:spacing w:line="276" w:lineRule="auto"/>
              <w:jc w:val="center"/>
            </w:pPr>
            <w:r>
              <w:rPr>
                <w:rFonts w:ascii="Times New Roman" w:hAnsi="Times New Roman" w:eastAsia="Times New Roman"/>
                <w:b/>
                <w:i w:val="0"/>
                <w:color w:val="000000"/>
                <w:sz w:val="17"/>
              </w:rPr>
              <w:t>OOD effect [95% CI]</w:t>
            </w:r>
          </w:p>
        </w:tc>
      </w:tr>
      <w:tr>
        <w:tc>
          <w:tcPr>
            <w:tcW w:type="dxa" w:w="3168"/>
          </w:tcPr>
          <w:p>
            <w:pPr>
              <w:spacing w:line="276" w:lineRule="auto"/>
              <w:jc w:val="left"/>
            </w:pPr>
            <w:r>
              <w:rPr>
                <w:rFonts w:ascii="Times New Roman" w:hAnsi="Times New Roman" w:eastAsia="Times New Roman"/>
                <w:b w:val="0"/>
                <w:i w:val="0"/>
                <w:color w:val="000000"/>
                <w:sz w:val="17"/>
              </w:rPr>
              <w:t>RMSE (m)</w:t>
            </w:r>
          </w:p>
        </w:tc>
        <w:tc>
          <w:tcPr>
            <w:tcW w:type="dxa" w:w="3168"/>
          </w:tcPr>
          <w:p>
            <w:pPr>
              <w:spacing w:line="276" w:lineRule="auto"/>
              <w:jc w:val="center"/>
            </w:pPr>
            <w:r>
              <w:rPr>
                <w:rFonts w:ascii="Times New Roman" w:hAnsi="Times New Roman" w:eastAsia="Times New Roman"/>
                <w:b w:val="0"/>
                <w:i w:val="0"/>
                <w:color w:val="000000"/>
                <w:sz w:val="17"/>
              </w:rPr>
              <w:t>+0.0028 [+0.0009, +0.0047]</w:t>
            </w:r>
          </w:p>
        </w:tc>
        <w:tc>
          <w:tcPr>
            <w:tcW w:type="dxa" w:w="3168"/>
          </w:tcPr>
          <w:p>
            <w:pPr>
              <w:spacing w:line="276" w:lineRule="auto"/>
              <w:jc w:val="center"/>
            </w:pPr>
            <w:r>
              <w:rPr>
                <w:rFonts w:ascii="Times New Roman" w:hAnsi="Times New Roman" w:eastAsia="Times New Roman"/>
                <w:b w:val="0"/>
                <w:i w:val="0"/>
                <w:color w:val="000000"/>
                <w:sz w:val="17"/>
              </w:rPr>
              <w:t>−0.0445 [−0.0737, −0.0154]</w:t>
            </w:r>
          </w:p>
        </w:tc>
      </w:tr>
      <w:tr>
        <w:tc>
          <w:tcPr>
            <w:tcW w:type="dxa" w:w="3168"/>
          </w:tcPr>
          <w:p>
            <w:pPr>
              <w:spacing w:line="276" w:lineRule="auto"/>
              <w:jc w:val="left"/>
            </w:pPr>
            <w:r>
              <w:rPr>
                <w:rFonts w:ascii="Times New Roman" w:hAnsi="Times New Roman" w:eastAsia="Times New Roman"/>
                <w:b w:val="0"/>
                <w:i w:val="0"/>
                <w:color w:val="000000"/>
                <w:sz w:val="17"/>
              </w:rPr>
              <w:t>Heading error (deg)</w:t>
            </w:r>
          </w:p>
        </w:tc>
        <w:tc>
          <w:tcPr>
            <w:tcW w:type="dxa" w:w="3168"/>
          </w:tcPr>
          <w:p>
            <w:pPr>
              <w:spacing w:line="276" w:lineRule="auto"/>
              <w:jc w:val="center"/>
            </w:pPr>
            <w:r>
              <w:rPr>
                <w:rFonts w:ascii="Times New Roman" w:hAnsi="Times New Roman" w:eastAsia="Times New Roman"/>
                <w:b w:val="0"/>
                <w:i w:val="0"/>
                <w:color w:val="000000"/>
                <w:sz w:val="17"/>
              </w:rPr>
              <w:t>+0.32 [+0.29, +0.35]</w:t>
            </w:r>
          </w:p>
        </w:tc>
        <w:tc>
          <w:tcPr>
            <w:tcW w:type="dxa" w:w="3168"/>
          </w:tcPr>
          <w:p>
            <w:pPr>
              <w:spacing w:line="276" w:lineRule="auto"/>
              <w:jc w:val="center"/>
            </w:pPr>
            <w:r>
              <w:rPr>
                <w:rFonts w:ascii="Times New Roman" w:hAnsi="Times New Roman" w:eastAsia="Times New Roman"/>
                <w:b w:val="0"/>
                <w:i w:val="0"/>
                <w:color w:val="000000"/>
                <w:sz w:val="17"/>
              </w:rPr>
              <w:t>−0.73 [−1.41, −0.06]</w:t>
            </w:r>
          </w:p>
        </w:tc>
      </w:tr>
      <w:tr>
        <w:tc>
          <w:tcPr>
            <w:tcW w:type="dxa" w:w="3168"/>
          </w:tcPr>
          <w:p>
            <w:pPr>
              <w:spacing w:line="276" w:lineRule="auto"/>
              <w:jc w:val="left"/>
            </w:pPr>
            <w:r>
              <w:rPr>
                <w:rFonts w:ascii="Times New Roman" w:hAnsi="Times New Roman" w:eastAsia="Times New Roman"/>
                <w:b w:val="0"/>
                <w:i w:val="0"/>
                <w:color w:val="000000"/>
                <w:sz w:val="17"/>
              </w:rPr>
              <w:t>Applied control cost</w:t>
            </w:r>
          </w:p>
        </w:tc>
        <w:tc>
          <w:tcPr>
            <w:tcW w:type="dxa" w:w="3168"/>
          </w:tcPr>
          <w:p>
            <w:pPr>
              <w:spacing w:line="276" w:lineRule="auto"/>
              <w:jc w:val="center"/>
            </w:pPr>
            <w:r>
              <w:rPr>
                <w:rFonts w:ascii="Times New Roman" w:hAnsi="Times New Roman" w:eastAsia="Times New Roman"/>
                <w:b w:val="0"/>
                <w:i w:val="0"/>
                <w:color w:val="000000"/>
                <w:sz w:val="17"/>
              </w:rPr>
              <w:t>−0.52 [−0.56, −0.48]</w:t>
            </w:r>
          </w:p>
        </w:tc>
        <w:tc>
          <w:tcPr>
            <w:tcW w:type="dxa" w:w="3168"/>
          </w:tcPr>
          <w:p>
            <w:pPr>
              <w:spacing w:line="276" w:lineRule="auto"/>
              <w:jc w:val="center"/>
            </w:pPr>
            <w:r>
              <w:rPr>
                <w:rFonts w:ascii="Times New Roman" w:hAnsi="Times New Roman" w:eastAsia="Times New Roman"/>
                <w:b w:val="0"/>
                <w:i w:val="0"/>
                <w:color w:val="000000"/>
                <w:sz w:val="17"/>
              </w:rPr>
              <w:t>−1.78 [−2.31, −1.26]</w:t>
            </w:r>
          </w:p>
        </w:tc>
      </w:tr>
      <w:tr>
        <w:tc>
          <w:tcPr>
            <w:tcW w:type="dxa" w:w="3168"/>
          </w:tcPr>
          <w:p>
            <w:pPr>
              <w:spacing w:line="276" w:lineRule="auto"/>
              <w:jc w:val="left"/>
            </w:pPr>
            <w:r>
              <w:rPr>
                <w:rFonts w:ascii="Times New Roman" w:hAnsi="Times New Roman" w:eastAsia="Times New Roman"/>
                <w:b w:val="0"/>
                <w:i w:val="0"/>
                <w:color w:val="000000"/>
                <w:sz w:val="17"/>
              </w:rPr>
              <w:t>Deadline-miss fraction</w:t>
            </w:r>
          </w:p>
        </w:tc>
        <w:tc>
          <w:tcPr>
            <w:tcW w:type="dxa" w:w="3168"/>
          </w:tcPr>
          <w:p>
            <w:pPr>
              <w:spacing w:line="276" w:lineRule="auto"/>
              <w:jc w:val="center"/>
            </w:pPr>
            <w:r>
              <w:rPr>
                <w:rFonts w:ascii="Times New Roman" w:hAnsi="Times New Roman" w:eastAsia="Times New Roman"/>
                <w:b w:val="0"/>
                <w:i w:val="0"/>
                <w:color w:val="000000"/>
                <w:sz w:val="17"/>
              </w:rPr>
              <w:t>+0.028 [+0.010, +0.047]</w:t>
            </w:r>
          </w:p>
        </w:tc>
        <w:tc>
          <w:tcPr>
            <w:tcW w:type="dxa" w:w="3168"/>
          </w:tcPr>
          <w:p>
            <w:pPr>
              <w:spacing w:line="276" w:lineRule="auto"/>
              <w:jc w:val="center"/>
            </w:pPr>
            <w:r>
              <w:rPr>
                <w:rFonts w:ascii="Times New Roman" w:hAnsi="Times New Roman" w:eastAsia="Times New Roman"/>
                <w:b w:val="0"/>
                <w:i w:val="0"/>
                <w:color w:val="000000"/>
                <w:sz w:val="17"/>
              </w:rPr>
              <w:t>+0.107 [+0.094, +0.120]</w:t>
            </w:r>
          </w:p>
        </w:tc>
      </w:tr>
    </w:tbl>
    <w:p>
      <w:pPr>
        <w:spacing w:after="40"/>
      </w:pPr>
    </w:p>
    <w:p>
      <w:pPr>
        <w:spacing w:line="312" w:lineRule="auto" w:after="120"/>
        <w:jc w:val="both"/>
      </w:pPr>
      <w:r>
        <w:rPr>
          <w:rFonts w:ascii="Times New Roman" w:hAnsi="Times New Roman" w:eastAsia="Times New Roman"/>
          <w:b w:val="0"/>
          <w:i w:val="0"/>
          <w:color w:val="000000"/>
          <w:sz w:val="22"/>
        </w:rPr>
        <w:t>Against the six registered criteria concerning the residual stage, three pass (gains not purchased with heading, saturation, or constraint violations; ablation separability; stable direction across five seeds), two fail (overall non-inferiority, through the in-distribution +0.4% effect; deadline-miss non-worsening), and one—deployment inference time within the control period—was not evaluated and is the first gate of the hardware stage. The criteria are translated verbatim from the registered Chinese original.</w:t>
      </w:r>
    </w:p>
    <w:p>
      <w:pPr>
        <w:spacing w:line="312" w:lineRule="auto" w:before="280" w:after="120"/>
      </w:pPr>
      <w:r>
        <w:rPr>
          <w:rFonts w:ascii="Times New Roman" w:hAnsi="Times New Roman" w:eastAsia="Times New Roman"/>
          <w:b/>
          <w:i w:val="0"/>
          <w:color w:val="000000"/>
          <w:sz w:val="26"/>
        </w:rPr>
        <w:t>7  Limitations and Discussion</w:t>
      </w:r>
    </w:p>
    <w:p>
      <w:pPr>
        <w:spacing w:line="312" w:lineRule="auto" w:after="120"/>
        <w:jc w:val="both"/>
      </w:pPr>
      <w:r>
        <w:rPr>
          <w:rFonts w:ascii="Times New Roman" w:hAnsi="Times New Roman" w:eastAsia="Times New Roman"/>
          <w:b w:val="0"/>
          <w:i w:val="0"/>
          <w:color w:val="000000"/>
          <w:sz w:val="22"/>
        </w:rPr>
        <w:t>The central result is that a two-thousand-parameter residual, acting only on a bounded authority coefficient, converts a supervised arbitration policy that fails under distribution shift into one that matches a strong constant blend overall and exceeds it mainly where adaptation is hardest. The safety argument is architectural: zero initialization guarantees numerical equivalence to the deployed baseline at deployment, bounded output limits every perturbation, and fixed fallbacks bound the worst case by the baseline itself. This positions the contribution against residual reinforcement learning [5], which perturbs actuator commands, and learned safety filters [11], which place a learned component in the safety path.</w:t>
      </w:r>
    </w:p>
    <w:p>
      <w:pPr>
        <w:spacing w:line="312" w:lineRule="auto" w:after="120"/>
        <w:jc w:val="both"/>
      </w:pPr>
      <w:r>
        <w:rPr>
          <w:rFonts w:ascii="Times New Roman" w:hAnsi="Times New Roman" w:eastAsia="Times New Roman"/>
          <w:b w:val="0"/>
          <w:i w:val="0"/>
          <w:color w:val="000000"/>
          <w:sz w:val="22"/>
        </w:rPr>
        <w:t>Six boundaries qualify these claims. First, all evidence is simulation-level. Second, the feature set receives exact current information, which hardware must estimate. Third, out-of-distribution means disturbance-family sampling, not arbitrary field conditions. Fourth, in-distribution non-inferiority failed (+0.4% position, +4.3% heading). Fifth, the deadline-miss increase (+0.107) has no established cause. Sixth, deployment latency of the composite policy is unmeasured.</w:t>
      </w:r>
    </w:p>
    <w:p>
      <w:pPr>
        <w:spacing w:line="312" w:lineRule="auto" w:after="120"/>
        <w:jc w:val="both"/>
      </w:pPr>
      <w:r>
        <w:rPr>
          <w:rFonts w:ascii="Times New Roman" w:hAnsi="Times New Roman" w:eastAsia="Times New Roman"/>
          <w:b w:val="0"/>
          <w:i w:val="0"/>
          <w:color w:val="000000"/>
          <w:sz w:val="22"/>
        </w:rPr>
        <w:t>These boundaries define the registered next experiments. First, a direct-RL arm—an end-to-end TD3 policy emitting thruster commands on the same grid—completes the comparison hierarchy that residual-RL studies expect. Second, a constant-authority sweep over α ∈ {0, 0.25, 0.5, 0.75, 1} exposes the trust landscape that the policy navigates. Both require new registered runs. Third, a second residual round with the final encoder block unfrozen targets the in-distribution effect. Fourth, isolation of the deadline mechanism. Fifth, the hardware protocol of Section 8, whose first gate is deployment latency.</w:t>
      </w:r>
    </w:p>
    <w:p>
      <w:pPr>
        <w:spacing w:line="312" w:lineRule="auto" w:before="280" w:after="120"/>
      </w:pPr>
      <w:r>
        <w:rPr>
          <w:rFonts w:ascii="Times New Roman" w:hAnsi="Times New Roman" w:eastAsia="Times New Roman"/>
          <w:b/>
          <w:i w:val="0"/>
          <w:color w:val="000000"/>
          <w:sz w:val="26"/>
        </w:rPr>
        <w:t>8  Planned Hardware Validation</w:t>
      </w:r>
    </w:p>
    <w:p>
      <w:pPr>
        <w:spacing w:line="312" w:lineRule="auto" w:after="120"/>
        <w:jc w:val="both"/>
      </w:pPr>
      <w:r>
        <w:rPr>
          <w:rFonts w:ascii="Times New Roman" w:hAnsi="Times New Roman" w:eastAsia="Times New Roman"/>
          <w:b w:val="0"/>
          <w:i w:val="0"/>
          <w:color w:val="000000"/>
          <w:sz w:val="22"/>
        </w:rPr>
        <w:t>The paper is not submission-ready without physical experiments. The planned study deploys the same SMC, MPC expert, supervised PAC, and residual PAC checkpoints on the 10-kg six-thruster vehicle. The protocol includes at least ten independent trials per method and disturbance condition, randomized controller order, a fixed battery-voltage acceptance window, and identical trajectory and actuator limits. Disturbances progress from quiescent water to steady cross-flow, a repeatable step-like disturbance from a tethered pull or calibrated flow source, and—specific to this paper's claims—an injected actuator-degradation condition realized by a validated first-order command lag plus noise on a subset of thrusters.</w:t>
      </w:r>
    </w:p>
    <w:p>
      <w:pPr>
        <w:spacing w:line="312" w:lineRule="auto" w:after="120"/>
        <w:jc w:val="both"/>
      </w:pPr>
      <w:r>
        <w:rPr>
          <w:rFonts w:ascii="Times New Roman" w:hAnsi="Times New Roman" w:eastAsia="Times New Roman"/>
          <w:b w:val="0"/>
          <w:i w:val="0"/>
          <w:color w:val="000000"/>
          <w:sz w:val="22"/>
        </w:rPr>
        <w:t>The onboard estimator must provide pose, body velocity, and a causal current estimate from IMU, depth, DVL, and localization; the exact simulator current must not be exposed. Beyond position and attitude RMSE, the hardware section reports maximum error, success rate, measured electrical energy, per-step inference latency, end-to-end control-loop latency (the unevaluated criterion), saturation duration, and emergency interventions. Placeholder items (platform dimensions, sensor suite, test-site calibration, trial counts) must be filled with measured values only; they must not be replaced with simulated or expected data.</w:t>
      </w:r>
    </w:p>
    <w:p>
      <w:pPr>
        <w:spacing w:line="312" w:lineRule="auto" w:before="280" w:after="120"/>
      </w:pPr>
      <w:r>
        <w:rPr>
          <w:rFonts w:ascii="Times New Roman" w:hAnsi="Times New Roman" w:eastAsia="Times New Roman"/>
          <w:b/>
          <w:i w:val="0"/>
          <w:color w:val="000000"/>
          <w:sz w:val="26"/>
        </w:rPr>
        <w:t>9  Conclusion</w:t>
      </w:r>
    </w:p>
    <w:p>
      <w:pPr>
        <w:spacing w:line="312" w:lineRule="auto" w:after="120"/>
        <w:jc w:val="both"/>
      </w:pPr>
      <w:r>
        <w:rPr>
          <w:rFonts w:ascii="Times New Roman" w:hAnsi="Times New Roman" w:eastAsia="Times New Roman"/>
          <w:b w:val="0"/>
          <w:i w:val="0"/>
          <w:color w:val="000000"/>
          <w:sz w:val="22"/>
        </w:rPr>
        <w:t>PAC reframes learned underwater control as a trust question between structured controllers, and the residual stage repairs that trust under distribution shift: the OOD tracking error falls by 28% with intervals excluding zero at both seed and episode level, the degradation failure of the optimizer is confined to 0.090 m, and every cost is measured against criteria fixed before training. The learned component remains bounded, auditable as a single coefficient trajectory, and worst-case equivalent to the deployed baseline. Hardware validation, causal current estimation, latency measurement, and stability analysis of the time-varying blend remain required before any fielded-robustness claim.</w:t>
      </w:r>
    </w:p>
    <w:p>
      <w:pPr>
        <w:spacing w:line="312" w:lineRule="auto" w:before="280" w:after="120"/>
      </w:pPr>
      <w:r>
        <w:rPr>
          <w:rFonts w:ascii="Times New Roman" w:hAnsi="Times New Roman" w:eastAsia="Times New Roman"/>
          <w:b/>
          <w:i w:val="0"/>
          <w:color w:val="000000"/>
          <w:sz w:val="26"/>
        </w:rPr>
        <w:t>Data Availability</w:t>
      </w:r>
    </w:p>
    <w:p>
      <w:pPr>
        <w:spacing w:line="312" w:lineRule="auto" w:after="120"/>
        <w:jc w:val="both"/>
      </w:pPr>
      <w:r>
        <w:rPr>
          <w:rFonts w:ascii="Times New Roman" w:hAnsi="Times New Roman" w:eastAsia="Times New Roman"/>
          <w:b w:val="0"/>
          <w:i w:val="0"/>
          <w:color w:val="000000"/>
          <w:sz w:val="22"/>
        </w:rPr>
        <w:t>All reported quantities derive from hash-frozen archives (configuration, dataset, and checkpoint digests with per-file checksums) covering the supervised and residual training stages and the paired evaluation. Source data for every figure and table are regenerated from these archives by the repository build scripts; the trajectory figures replay the archived episodes deterministically from the frozen checkpoints.</w:t>
      </w:r>
    </w:p>
    <w:p>
      <w:pPr>
        <w:spacing w:line="312" w:lineRule="auto" w:before="280" w:after="120"/>
      </w:pPr>
      <w:r>
        <w:rPr>
          <w:rFonts w:ascii="Times New Roman" w:hAnsi="Times New Roman" w:eastAsia="Times New Roman"/>
          <w:b/>
          <w:i w:val="0"/>
          <w:color w:val="000000"/>
          <w:sz w:val="26"/>
        </w:rPr>
        <w:t>References</w:t>
      </w:r>
    </w:p>
    <w:p>
      <w:pPr>
        <w:spacing w:line="312" w:lineRule="auto" w:after="60"/>
        <w:ind w:left="425" w:hanging="425"/>
      </w:pPr>
      <w:r>
        <w:rPr>
          <w:rFonts w:ascii="Times New Roman" w:hAnsi="Times New Roman" w:eastAsia="Times New Roman"/>
          <w:b w:val="0"/>
          <w:i w:val="0"/>
          <w:color w:val="000000"/>
          <w:sz w:val="19"/>
        </w:rPr>
        <w:t>[1]  T. I. Fossen, Handbook of Marine Craft Hydrodynamics and Motion Control, 2nd ed. Wiley, 2021.</w:t>
      </w:r>
    </w:p>
    <w:p>
      <w:pPr>
        <w:spacing w:line="312" w:lineRule="auto" w:after="60"/>
        <w:ind w:left="425" w:hanging="425"/>
      </w:pPr>
      <w:r>
        <w:rPr>
          <w:rFonts w:ascii="Times New Roman" w:hAnsi="Times New Roman" w:eastAsia="Times New Roman"/>
          <w:b w:val="0"/>
          <w:i w:val="0"/>
          <w:color w:val="000000"/>
          <w:sz w:val="19"/>
        </w:rPr>
        <w:t>[2]  G. Antonelli, Underwater Robots: Motion and Force Control of Vehicle-Manipulator Systems, 3rd ed. Springer, 2014.</w:t>
      </w:r>
    </w:p>
    <w:p>
      <w:pPr>
        <w:spacing w:line="312" w:lineRule="auto" w:after="60"/>
        <w:ind w:left="425" w:hanging="425"/>
      </w:pPr>
      <w:r>
        <w:rPr>
          <w:rFonts w:ascii="Times New Roman" w:hAnsi="Times New Roman" w:eastAsia="Times New Roman"/>
          <w:b w:val="0"/>
          <w:i w:val="0"/>
          <w:color w:val="000000"/>
          <w:sz w:val="19"/>
        </w:rPr>
        <w:t>[3]  E. F. Camacho and C. Bordons Alba, Model Predictive Control, 2nd ed. Springer, 2013.</w:t>
      </w:r>
    </w:p>
    <w:p>
      <w:pPr>
        <w:spacing w:line="312" w:lineRule="auto" w:after="60"/>
        <w:ind w:left="425" w:hanging="425"/>
      </w:pPr>
      <w:r>
        <w:rPr>
          <w:rFonts w:ascii="Times New Roman" w:hAnsi="Times New Roman" w:eastAsia="Times New Roman"/>
          <w:b w:val="0"/>
          <w:i w:val="0"/>
          <w:color w:val="000000"/>
          <w:sz w:val="19"/>
        </w:rPr>
        <w:t>[4]  L. Hewing, K. P. Wabersich, M. Menner, and M. N. Zeilinger, “Learning-based model predictive control: Toward safe learning in control,” Annual Review of Control, Robotics, and Autonomous Systems, vol. 3, pp. 269–296, 2020.</w:t>
      </w:r>
    </w:p>
    <w:p>
      <w:pPr>
        <w:spacing w:line="312" w:lineRule="auto" w:after="60"/>
        <w:ind w:left="425" w:hanging="425"/>
      </w:pPr>
      <w:r>
        <w:rPr>
          <w:rFonts w:ascii="Times New Roman" w:hAnsi="Times New Roman" w:eastAsia="Times New Roman"/>
          <w:b w:val="0"/>
          <w:i w:val="0"/>
          <w:color w:val="000000"/>
          <w:sz w:val="19"/>
        </w:rPr>
        <w:t>[5]  T. Johannink et al., “Residual reinforcement learning for robot control,” in Proc. IEEE ICRA, 2019, pp. 6023–6029.</w:t>
      </w:r>
    </w:p>
    <w:p>
      <w:pPr>
        <w:spacing w:line="312" w:lineRule="auto" w:after="60"/>
        <w:ind w:left="425" w:hanging="425"/>
      </w:pPr>
      <w:r>
        <w:rPr>
          <w:rFonts w:ascii="Times New Roman" w:hAnsi="Times New Roman" w:eastAsia="Times New Roman"/>
          <w:b w:val="0"/>
          <w:i w:val="0"/>
          <w:color w:val="000000"/>
          <w:sz w:val="19"/>
        </w:rPr>
        <w:t>[6]  A. Romero, Y. Song, and D. Scaramuzza, “Actor-critic model predictive control,” in Proc. IEEE ICRA, 2024, pp. 14777–14784.</w:t>
      </w:r>
    </w:p>
    <w:p>
      <w:pPr>
        <w:spacing w:line="312" w:lineRule="auto" w:after="60"/>
        <w:ind w:left="425" w:hanging="425"/>
      </w:pPr>
      <w:r>
        <w:rPr>
          <w:rFonts w:ascii="Times New Roman" w:hAnsi="Times New Roman" w:eastAsia="Times New Roman"/>
          <w:b w:val="0"/>
          <w:i w:val="0"/>
          <w:color w:val="000000"/>
          <w:sz w:val="19"/>
        </w:rPr>
        <w:t>[7]  K. Nguyen, S. Schoedel, A. Alavilli, B. Plancher, and Z. Manchester, “TinyMPC: Model-predictive control on resource-constrained microcontrollers,” in Proc. IEEE ICRA, 2024.</w:t>
      </w:r>
    </w:p>
    <w:p>
      <w:pPr>
        <w:spacing w:line="312" w:lineRule="auto" w:after="60"/>
        <w:ind w:left="425" w:hanging="425"/>
      </w:pPr>
      <w:r>
        <w:rPr>
          <w:rFonts w:ascii="Times New Roman" w:hAnsi="Times New Roman" w:eastAsia="Times New Roman"/>
          <w:b w:val="0"/>
          <w:i w:val="0"/>
          <w:color w:val="000000"/>
          <w:sz w:val="19"/>
        </w:rPr>
        <w:t>[8]  L. Cai, K. Chang, and Y. Girdhar, “Learning to swim: Reinforcement learning for 6-DOF control of thruster-driven autonomous underwater vehicles,” in Proc. IEEE ICRA, 2025, pp. 11286–11293.</w:t>
      </w:r>
    </w:p>
    <w:p>
      <w:pPr>
        <w:spacing w:line="312" w:lineRule="auto" w:after="60"/>
        <w:ind w:left="425" w:hanging="425"/>
      </w:pPr>
      <w:r>
        <w:rPr>
          <w:rFonts w:ascii="Times New Roman" w:hAnsi="Times New Roman" w:eastAsia="Times New Roman"/>
          <w:b w:val="0"/>
          <w:i w:val="0"/>
          <w:color w:val="000000"/>
          <w:sz w:val="19"/>
        </w:rPr>
        <w:t>[9]  X. Lin et al., “UIVNAV: Underwater information-driven vision-based navigation via imitation learning,” in Proc. IEEE ICRA, 2024, pp. 5250–5256.</w:t>
      </w:r>
    </w:p>
    <w:p>
      <w:pPr>
        <w:spacing w:line="312" w:lineRule="auto" w:after="60"/>
        <w:ind w:left="425" w:hanging="425"/>
      </w:pPr>
      <w:r>
        <w:rPr>
          <w:rFonts w:ascii="Times New Roman" w:hAnsi="Times New Roman" w:eastAsia="Times New Roman"/>
          <w:b w:val="0"/>
          <w:i w:val="0"/>
          <w:color w:val="000000"/>
          <w:sz w:val="19"/>
        </w:rPr>
        <w:t>[10]  Y. Fan, H. Dong, X. Zhao, and P. Denissenko, “Path-following control of unmanned underwater vehicle based on an improved TD3 deep reinforcement learning,” IEEE Trans. Control Systems Technology, vol. 32, no. 5, pp. 1904–1919, 2024.</w:t>
      </w:r>
    </w:p>
    <w:p>
      <w:pPr>
        <w:spacing w:line="312" w:lineRule="auto" w:after="60"/>
        <w:ind w:left="425" w:hanging="425"/>
      </w:pPr>
      <w:r>
        <w:rPr>
          <w:rFonts w:ascii="Times New Roman" w:hAnsi="Times New Roman" w:eastAsia="Times New Roman"/>
          <w:b w:val="0"/>
          <w:i w:val="0"/>
          <w:color w:val="000000"/>
          <w:sz w:val="19"/>
        </w:rPr>
        <w:t>[11]  O. So et al., “How to train your neural control barrier function: Learning safety filters for complex input-constrained systems,” in Proc. IEEE ICRA, 2024, pp. 11532–11539.</w:t>
      </w:r>
    </w:p>
    <w:p>
      <w:pPr>
        <w:spacing w:line="312" w:lineRule="auto" w:after="60"/>
        <w:ind w:left="425" w:hanging="425"/>
      </w:pPr>
      <w:r>
        <w:rPr>
          <w:rFonts w:ascii="Times New Roman" w:hAnsi="Times New Roman" w:eastAsia="Times New Roman"/>
          <w:b w:val="0"/>
          <w:i w:val="0"/>
          <w:color w:val="000000"/>
          <w:sz w:val="19"/>
        </w:rPr>
        <w:t>[12]  A. Vaswani et al., “Attention is all you need,” in Advances in Neural Information Processing Systems, vol. 30, 2017, pp. 5998–6008.</w:t>
      </w:r>
    </w:p>
    <w:p>
      <w:pPr>
        <w:spacing w:line="312" w:lineRule="auto" w:after="60"/>
        <w:ind w:left="425" w:hanging="425"/>
      </w:pPr>
      <w:r>
        <w:rPr>
          <w:rFonts w:ascii="Times New Roman" w:hAnsi="Times New Roman" w:eastAsia="Times New Roman"/>
          <w:b w:val="0"/>
          <w:i w:val="0"/>
          <w:color w:val="000000"/>
          <w:sz w:val="19"/>
        </w:rPr>
        <w:t>[13]  L. Chen et al., “Decision Transformer: Reinforcement learning via sequence modeling,” in Advances in Neural Information Processing Systems, vol. 34, 2021, pp. 15084–15097.</w:t>
      </w:r>
    </w:p>
    <w:p>
      <w:pPr>
        <w:spacing w:line="312" w:lineRule="auto" w:after="60"/>
        <w:ind w:left="425" w:hanging="425"/>
      </w:pPr>
      <w:r>
        <w:rPr>
          <w:rFonts w:ascii="Times New Roman" w:hAnsi="Times New Roman" w:eastAsia="Times New Roman"/>
          <w:b w:val="0"/>
          <w:i w:val="0"/>
          <w:color w:val="000000"/>
          <w:sz w:val="19"/>
        </w:rPr>
        <w:t>[14]  M. Janner, Q. Li, and S. Levine, “Offline reinforcement learning as one big sequence modeling problem,” in Advances in Neural Information Processing Systems, vol. 34, 2021, pp. 1273–1286.</w:t>
      </w:r>
    </w:p>
    <w:p>
      <w:pPr>
        <w:spacing w:line="312" w:lineRule="auto" w:after="60"/>
        <w:ind w:left="425" w:hanging="425"/>
      </w:pPr>
      <w:r>
        <w:rPr>
          <w:rFonts w:ascii="Times New Roman" w:hAnsi="Times New Roman" w:eastAsia="Times New Roman"/>
          <w:b w:val="0"/>
          <w:i w:val="0"/>
          <w:color w:val="000000"/>
          <w:sz w:val="19"/>
        </w:rPr>
        <w:t>[15]  C. Chi et al., “Diffusion policy: Visuomotor policy learning via action diffusion,” in Robotics: Science and Systems, 2023.</w:t>
      </w:r>
    </w:p>
    <w:p>
      <w:pPr>
        <w:spacing w:line="312" w:lineRule="auto" w:after="60"/>
        <w:ind w:left="425" w:hanging="425"/>
      </w:pPr>
      <w:r>
        <w:rPr>
          <w:rFonts w:ascii="Times New Roman" w:hAnsi="Times New Roman" w:eastAsia="Times New Roman"/>
          <w:b w:val="0"/>
          <w:i w:val="0"/>
          <w:color w:val="000000"/>
          <w:sz w:val="19"/>
        </w:rPr>
        <w:t>[16]  D. Liberzon, Switching in Systems and Control. Birkhäuser, 2003.</w:t>
      </w:r>
    </w:p>
    <w:p>
      <w:pPr>
        <w:spacing w:line="312" w:lineRule="auto" w:after="60"/>
        <w:ind w:left="425" w:hanging="425"/>
      </w:pPr>
      <w:r>
        <w:rPr>
          <w:rFonts w:ascii="Times New Roman" w:hAnsi="Times New Roman" w:eastAsia="Times New Roman"/>
          <w:b w:val="0"/>
          <w:i w:val="0"/>
          <w:color w:val="000000"/>
          <w:sz w:val="19"/>
        </w:rPr>
        <w:t>[17]  Z. Zhao, X. Liu, T. Wang, Z. Zhou, and M. Zhang, “Hybrid control scheme of nonlinear model prediction and adaptive terminal sliding mode for underwater vehicles based on threshold switching,” ISA Transactions, vol. 176, pp. 580–590,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06060"/>
        <w:sz w:val="18"/>
      </w:rPr>
      <w:t>Predictive Authority Control for Autonomous Underwater Vehicles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