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Classical underwater controllers fail in complementary ways: sliding-mode control (SMC) is robust but coarse, and constrained model predictive control (MPC) is precise but collapses under actuator degradation, where our simulation shows a tracking error of 0.822 m, nine times the nominal level. Predictive authority control (PAC) does not replace these controllers; a compact temporal encoder predicts a bounded authority coefficient that convexly blends their commands, so no thruster command is ever produced by the network. We extend the supervised PAC policy with a constrained residual stage: the supervisor is frozen, and a zero-initialized 2,177-parameter head outputs a correction bounded by 0.1, so the deployed system is numerically identical to the baseline at initialization. In a paired, registered evaluation of 1,680 simulation rollouts over in-distribution and out-of-distribution disturbance families, The residual policy reduces out-of-distribution tracking RMSE by 28% (0.161 m to 0.116 m; 95% CI [−0.074, −0.015] m), confines the degradation failure to 0.090 m, and pays a measured price: in-distribution error +0.4%, heading error +4.3%, and a solver deadline-miss increase. A constant blend α = 0.5 comes within 3% overall, so the residual's value is concentrated where adaptation is hardest, not in the average. Of the six registered criteria concerning the residual stage, three pass, two fail, and one is unevaluated; all are reported.</w:t>
      </w:r>
    </w:p>
    <w:p>
      <w:pPr>
        <w:spacing w:line="312" w:lineRule="auto" w:after="240"/>
        <w:jc w:val="both"/>
      </w:pPr>
      <w:r>
        <w:rPr>
          <w:rFonts w:ascii="Times New Roman" w:hAnsi="Times New Roman" w:eastAsia="Times New Roman"/>
          <w:b/>
          <w:i w:val="0"/>
          <w:color w:val="000000"/>
          <w:sz w:val="22"/>
        </w:rPr>
        <w:t>All evidence is simulation-level; the hardware protocol of Section 8 remains to be executed.</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Accurate trajectory tracking is central to autonomous underwater vehicle (AUV) inspection, intervention, and sampling. The task remains difficult because hydrodynamic coefficients are uncertain, environmental currents vary across regions, and thrusters age with response lag and noise [1,2]. SMC rejects bounded disturbances through a transparent feedback structure but pays in conservative gains and chattering. MPC incorporates prediction and constraints [3], yet its performance depends on model fidelity: under actuator degradation the internal model misrepresents the plant, and the optimizer acts confidently on false premises.</w:t>
      </w:r>
    </w:p>
    <w:p>
      <w:pPr>
        <w:spacing w:line="312" w:lineRule="auto" w:after="120"/>
        <w:jc w:val="both"/>
      </w:pPr>
      <w:r>
        <w:rPr>
          <w:rFonts w:ascii="Times New Roman" w:hAnsi="Times New Roman" w:eastAsia="Times New Roman"/>
          <w:b w:val="0"/>
          <w:i w:val="0"/>
          <w:color w:val="000000"/>
          <w:sz w:val="22"/>
        </w:rPr>
        <w:t>This paper asks one question: given two complete and complementary controllers, when should the vehicle trust each one, and by how much? The answer varies continuously with the disturbance regime and cannot be enumerated by hand-designed switching rules [16].</w:t>
      </w:r>
    </w:p>
    <w:p>
      <w:pPr>
        <w:spacing w:line="312" w:lineRule="auto" w:after="120"/>
        <w:jc w:val="both"/>
      </w:pPr>
      <w:r>
        <w:rPr>
          <w:rFonts w:ascii="Times New Roman" w:hAnsi="Times New Roman" w:eastAsia="Times New Roman"/>
          <w:b w:val="0"/>
          <w:i w:val="0"/>
          <w:color w:val="000000"/>
          <w:sz w:val="22"/>
        </w:rPr>
        <w:t>We study this question through authority allocation. Rather than learning a six-dimensional thruster command, the PAC policy predicts one scalar αₜ ∈ [0, 1] and applies</w:t>
      </w:r>
    </w:p>
    <w:p>
      <w:pPr>
        <w:spacing w:line="312" w:lineRule="auto" w:before="80" w:after="120"/>
        <w:jc w:val="center"/>
      </w:pPr>
      <w:r>
        <w:rPr>
          <w:rFonts w:ascii="Times New Roman" w:hAnsi="Times New Roman" w:eastAsia="Times New Roman"/>
          <w:b w:val="0"/>
          <w:i/>
          <w:color w:val="000000"/>
          <w:sz w:val="22"/>
        </w:rPr>
        <w:t>uₜ = (1 − αₜ) uₜᴴᴹᶜ + αₜ uₜᴹᴳᶜ ,   αₜ ∈ [0, 1],   (1)</w:t>
      </w:r>
    </w:p>
    <w:p>
      <w:pPr>
        <w:spacing w:line="312" w:lineRule="auto" w:after="120"/>
        <w:jc w:val="both"/>
      </w:pPr>
      <w:r>
        <w:rPr>
          <w:rFonts w:ascii="Times New Roman" w:hAnsi="Times New Roman" w:eastAsia="Times New Roman"/>
          <w:b w:val="0"/>
          <w:i w:val="0"/>
          <w:color w:val="000000"/>
          <w:sz w:val="22"/>
        </w:rPr>
        <w:t>where uᴴᴹᶜ and uᴹᴳᶜ are the SMC and MPC commands. The two controllers remain explicit, the learned output is bounded and interpretable, and a rate limiter prevents abrupt authority transfer. A Transformer encodes a short history because controller preference depends not only on instantaneous error but on whether that error is growing, recovering, or coincident with actuator saturation.</w:t>
      </w:r>
    </w:p>
    <w:p>
      <w:pPr>
        <w:spacing w:line="312" w:lineRule="auto" w:after="120"/>
        <w:jc w:val="both"/>
      </w:pPr>
      <w:r>
        <w:rPr>
          <w:rFonts w:ascii="Times New Roman" w:hAnsi="Times New Roman" w:eastAsia="Times New Roman"/>
          <w:b w:val="0"/>
          <w:i w:val="0"/>
          <w:color w:val="000000"/>
          <w:sz w:val="22"/>
        </w:rPr>
        <w:t>Our earlier experiments established the supervised variant of this idea and exposed its weakness: under disturbance families never seen in training, the learned coefficient degrades below a non-adaptive constant blend and oscillates over its full range. This paper answers that weakness with a constrained residual and makes three contributions, each responding to the question above:</w:t>
      </w:r>
    </w:p>
    <w:p>
      <w:pPr>
        <w:spacing w:line="312" w:lineRule="auto" w:after="120"/>
        <w:jc w:val="both"/>
      </w:pPr>
      <w:r>
        <w:rPr>
          <w:rFonts w:ascii="Times New Roman" w:hAnsi="Times New Roman" w:eastAsia="Times New Roman"/>
          <w:b/>
          <w:i w:val="0"/>
          <w:color w:val="000000"/>
          <w:sz w:val="22"/>
        </w:rPr>
        <w:t xml:space="preserve">Bounded residual learning over a frozen supervisor. </w:t>
      </w:r>
      <w:r>
        <w:rPr>
          <w:rFonts w:ascii="Times New Roman" w:hAnsi="Times New Roman" w:eastAsia="Times New Roman"/>
          <w:b w:val="0"/>
          <w:i w:val="0"/>
          <w:color w:val="000000"/>
          <w:sz w:val="22"/>
        </w:rPr>
        <w:t>A reinforcement-learning head perturbs the supervised answer to the trust question by at most 0.1 per step and is zero-initialized, so the composite policy is numerically identical to the deployed baseline before training and can only revise trust within a bounded envelope afterwards.</w:t>
      </w:r>
    </w:p>
    <w:p>
      <w:pPr>
        <w:spacing w:line="312" w:lineRule="auto" w:after="120"/>
        <w:jc w:val="both"/>
      </w:pPr>
      <w:r>
        <w:rPr>
          <w:rFonts w:ascii="Times New Roman" w:hAnsi="Times New Roman" w:eastAsia="Times New Roman"/>
          <w:b/>
          <w:i w:val="0"/>
          <w:color w:val="000000"/>
          <w:sz w:val="22"/>
        </w:rPr>
        <w:t xml:space="preserve">Motion-level evidence under distribution shift. </w:t>
      </w:r>
      <w:r>
        <w:rPr>
          <w:rFonts w:ascii="Times New Roman" w:hAnsi="Times New Roman" w:eastAsia="Times New Roman"/>
          <w:b w:val="0"/>
          <w:i w:val="0"/>
          <w:color w:val="000000"/>
          <w:sz w:val="22"/>
        </w:rPr>
        <w:t>Trajectories, attitude, and error time series—not only aggregate metrics—show where the residual earns its value: the supervised policy transfers trust to a failing optimizer, and the residual learns to veto that transfer.</w:t>
      </w:r>
    </w:p>
    <w:p>
      <w:pPr>
        <w:spacing w:line="312" w:lineRule="auto" w:after="120"/>
        <w:jc w:val="both"/>
      </w:pPr>
      <w:r>
        <w:rPr>
          <w:rFonts w:ascii="Times New Roman" w:hAnsi="Times New Roman" w:eastAsia="Times New Roman"/>
          <w:b/>
          <w:i w:val="0"/>
          <w:color w:val="000000"/>
          <w:sz w:val="22"/>
        </w:rPr>
        <w:t xml:space="preserve">A registered evaluation that reports its failures. </w:t>
      </w:r>
      <w:r>
        <w:rPr>
          <w:rFonts w:ascii="Times New Roman" w:hAnsi="Times New Roman" w:eastAsia="Times New Roman"/>
          <w:b w:val="0"/>
          <w:i w:val="0"/>
          <w:color w:val="000000"/>
          <w:sz w:val="22"/>
        </w:rPr>
        <w:t>Eight methods are compared over 120 paired episodes per method-seed combination with model-seed confidence intervals and no post-hoc selection; two failed criteria and one unevaluated criterion are reported alongside the passes.</w:t>
      </w:r>
    </w:p>
    <w:p>
      <w:pPr>
        <w:spacing w:line="312" w:lineRule="auto" w:after="120"/>
        <w:jc w:val="both"/>
      </w:pPr>
      <w:r>
        <w:rPr>
          <w:rFonts w:ascii="Times New Roman" w:hAnsi="Times New Roman" w:eastAsia="Times New Roman"/>
          <w:b w:val="0"/>
          <w:i w:val="0"/>
          <w:color w:val="000000"/>
          <w:sz w:val="22"/>
        </w:rPr>
        <w:t>The remainder of the paper describes the framework (Section 3), the learning stages (Section 4), the experimental protocol (Section 5), results at the motion and mechanism levels (Section 6), limitations (Section 7), and the planned hardware validation (Section 8).</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286773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760720" cy="286773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2736265"/>
            <wp:docPr id="2" name="Picture 2"/>
            <wp:cNvGraphicFramePr>
              <a:graphicFrameLocks noChangeAspect="1"/>
            </wp:cNvGraphicFramePr>
            <a:graphic>
              <a:graphicData uri="http://schemas.openxmlformats.org/drawingml/2006/picture">
                <pic:pic>
                  <pic:nvPicPr>
                    <pic:cNvPr id="0" name="fig_network_training.png"/>
                    <pic:cNvPicPr/>
                  </pic:nvPicPr>
                  <pic:blipFill>
                    <a:blip r:embed="rId12"/>
                    <a:stretch>
                      <a:fillRect/>
                    </a:stretch>
                  </pic:blipFill>
                  <pic:spPr>
                    <a:xfrm>
                      <a:off x="0" y="0"/>
                      <a:ext cx="5760720" cy="2736265"/>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w:r>
        <w:rPr>
          <w:rFonts w:ascii="Times New Roman" w:hAnsi="Times New Roman" w:eastAsia="Times New Roman"/>
          <w:b w:val="0"/>
          <w:i/>
          <w:color w:val="000000"/>
          <w:sz w:val="22"/>
        </w:rPr>
        <w:t>J(α) = ‖eₓᵧ‖² + 0.7 eᵣ² + 0.08 eψ² + 0.02 mean([|u| − 0.92]₊²) + 0.01 mean((u − uₜ₋₁)²),   (2)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w:r>
        <w:rPr>
          <w:rFonts w:ascii="Times New Roman" w:hAnsi="Times New Roman" w:eastAsia="Times New Roman"/>
          <w:b w:val="0"/>
          <w:i/>
          <w:color w:val="000000"/>
          <w:sz w:val="22"/>
        </w:rPr>
        <w:t>αₜ = clip[0,1]( α̂ₜ + Δαₜ ),   Δαₜ = 0.1 tanh(zₜ),   (3)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vertical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5. </w:t>
      </w:r>
      <w:r>
        <w:rPr>
          <w:rFonts w:ascii="Times New Roman" w:hAnsi="Times New Roman" w:eastAsia="Times New Roman"/>
          <w:b w:val="0"/>
          <w:i w:val="0"/>
          <w:color w:val="000000"/>
          <w:sz w:val="18"/>
        </w:rPr>
        <w:t>Residual training across the five model seeds. (a) Episode reward, (b) critic loss, (c) actor loss. Thin lines: per-seed values; bold line and shaded band: five-seed mean $\pm$ 1 sd. All metrics are collected under exploration noise on the rotating training-family schedule, so trends reflect the changing episode mix rather than greedy-policy performance; no seed diverges.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8. </w:t>
      </w:r>
      <w:r>
        <w:rPr>
          <w:rFonts w:ascii="Times New Roman" w:hAnsi="Times New Roman" w:eastAsia="Times New Roman"/>
          <w:b w:val="0"/>
          <w:i w:val="0"/>
          <w:color w:val="000000"/>
          <w:sz w:val="18"/>
        </w:rPr>
        <w:t>Control quality by method and block (bars: five-seed means $\pm$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