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12" w:lineRule="auto" w:after="200"/>
        <w:jc w:val="center"/>
      </w:pPr>
      <w:r>
        <w:rPr>
          <w:rFonts w:ascii="Times New Roman" w:hAnsi="Times New Roman" w:eastAsia="Times New Roman"/>
          <w:b/>
          <w:i w:val="0"/>
          <w:color w:val="000000"/>
          <w:sz w:val="30"/>
        </w:rPr>
        <w:t>Predictive Authority Control: Learning How Much to Trust Each Controller, and Repairing That Trust Under Distribution Shift*</w:t>
      </w:r>
    </w:p>
    <w:p>
      <w:pPr>
        <w:spacing w:line="312" w:lineRule="auto" w:after="40"/>
        <w:jc w:val="center"/>
      </w:pPr>
      <w:r>
        <w:rPr>
          <w:rFonts w:ascii="Times New Roman" w:hAnsi="Times New Roman" w:eastAsia="Times New Roman"/>
          <w:b w:val="0"/>
          <w:i/>
          <w:color w:val="000000"/>
          <w:sz w:val="22"/>
        </w:rPr>
        <w:t>[Author names]</w:t>
      </w:r>
    </w:p>
    <w:p>
      <w:pPr>
        <w:spacing w:line="312" w:lineRule="auto" w:after="40"/>
        <w:jc w:val="center"/>
      </w:pPr>
      <w:r>
        <w:rPr>
          <w:rFonts w:ascii="Times New Roman" w:hAnsi="Times New Roman" w:eastAsia="Times New Roman"/>
          <w:b w:val="0"/>
          <w:i/>
          <w:color w:val="000000"/>
          <w:sz w:val="20"/>
        </w:rPr>
        <w:t>[Affiliations]</w:t>
      </w:r>
    </w:p>
    <w:p>
      <w:pPr>
        <w:spacing w:line="312" w:lineRule="auto" w:after="240"/>
        <w:jc w:val="center"/>
      </w:pPr>
      <w:r>
        <w:rPr>
          <w:rFonts w:ascii="Times New Roman" w:hAnsi="Times New Roman" w:eastAsia="Times New Roman"/>
          <w:b w:val="0"/>
          <w:i/>
          <w:color w:val="606060"/>
          <w:sz w:val="18"/>
        </w:rPr>
        <w:t>* The abbreviation PAC is unrelated to probably approximately correct learning.</w:t>
      </w:r>
    </w:p>
    <w:p>
      <w:pPr>
        <w:spacing w:line="312" w:lineRule="auto" w:before="280" w:after="120"/>
      </w:pPr>
      <w:r>
        <w:rPr>
          <w:rFonts w:ascii="Times New Roman" w:hAnsi="Times New Roman" w:eastAsia="Times New Roman"/>
          <w:b/>
          <w:i w:val="0"/>
          <w:color w:val="000000"/>
          <w:sz w:val="26"/>
        </w:rPr>
        <w:t>Abstract</w:t>
      </w:r>
    </w:p>
    <w:p>
      <w:pPr>
        <w:spacing w:line="312" w:lineRule="auto" w:after="120"/>
        <w:jc w:val="both"/>
      </w:pPr>
      <w:r>
        <w:rPr>
          <w:rFonts w:ascii="Times New Roman" w:hAnsi="Times New Roman" w:eastAsia="Times New Roman"/>
          <w:b w:val="0"/>
          <w:i w:val="0"/>
          <w:color w:val="000000"/>
          <w:sz w:val="22"/>
        </w:rPr>
        <w:t>Autonomous underwater vehicles support ocean observation, ecological monitoring, infrastructure inspection, and intervention, but these missions require accurate motion under uncertain and time-varying currents. Sliding-mode control (SMC) provides an explicit disturbance-rejection structure but can trade tracking precision for conservative or non-smooth action. Model predictive control (MPC) anticipates motion and actuator limits, but its advantage depends on the operating regime and the quality of the prediction model. Direct reinforcement-learning policies can adapt through interaction, yet they must learn the full actuation map and inherit substantial verification and deployment burdens. None of these approaches directly answers a simpler question: when two complete controllers are available, how much authority should each receive at the current instant? We introduce Predictive Authority Control (PAC), which learns this temporal allocation rather than replacing the controllers. A 14,113-parameter Transformer encodes a 0.16-s history of tracking state, controller commands, current context, and trajectory phase, then predicts one bounded scalar coefficient that continuously blends SMC and MPC. A zero-initialized residual head of 2,177 parameters further revises this coefficient by at most 0.1 per step, so the composite policy is numerically identical to the supervised baseline at deployment start. Training first imitates a short-horizon rollout oracle and then applies constrained residual reinforcement learning on the frozen backbone. In a six-degree-of-freedom simulation of a 10-kg, six-thruster underwater vehicle, five independently initialized residual policies were assessed across in-distribution and out-of-distribution disturbance families over 1,680 paired rollouts. Out-of-distribution mean 3-D position RMSE was 0.1160 m, compared with 0.1605 m for the supervised baseline, 0.2482 m for SMC, and 0.2213 m for MPC, corresponding to reductions of 27.8%, 53.3%, and 47.6%. Mean maximum error was reduced by 31.1% and 28.0% relative to SMC and MPC, respectively. Under actuator degradation, the MPC expert alone diverges to 0.822 m while the residual policy confines the error to 0.090 m. The gains are not free: in-distribution position error rises by 4.4%, heading error by 4.3%, and the solver deadline-miss fraction from 0.69 to 0.80. These results show that a compact temporal policy can allocate trust between structured controllers, improve out-of-distribution tracking, and preserve a verifiable worst-case fallback to the supervised baseline.</w:t>
      </w:r>
    </w:p>
    <w:p>
      <w:pPr>
        <w:spacing w:line="312" w:lineRule="auto" w:after="240"/>
        <w:jc w:val="both"/>
      </w:pPr>
      <w:r>
        <w:rPr>
          <w:rFonts w:ascii="Times New Roman" w:hAnsi="Times New Roman" w:eastAsia="Times New Roman"/>
          <w:b/>
          <w:i w:val="0"/>
          <w:color w:val="000000"/>
          <w:sz w:val="22"/>
        </w:rPr>
        <w:t>This draft reports simulation evidence only; the planned hardware validation must be completed before submission.</w:t>
      </w:r>
    </w:p>
    <w:p>
      <w:pPr>
        <w:spacing w:line="312" w:lineRule="auto" w:before="280" w:after="120"/>
      </w:pPr>
      <w:r>
        <w:rPr>
          <w:rFonts w:ascii="Times New Roman" w:hAnsi="Times New Roman" w:eastAsia="Times New Roman"/>
          <w:b/>
          <w:i w:val="0"/>
          <w:color w:val="000000"/>
          <w:sz w:val="26"/>
        </w:rPr>
        <w:t>1  Introduction</w:t>
      </w:r>
    </w:p>
    <w:p>
      <w:pPr>
        <w:spacing w:line="312" w:lineRule="auto" w:after="120"/>
        <w:jc w:val="both"/>
      </w:pPr>
      <w:r>
        <w:rPr>
          <w:rFonts w:ascii="Times New Roman" w:hAnsi="Times New Roman" w:eastAsia="Times New Roman"/>
          <w:b w:val="0"/>
          <w:i w:val="0"/>
          <w:color w:val="000000"/>
          <w:sz w:val="22"/>
        </w:rPr>
        <w:t>Ocean observations are needed to resolve dynamic processes that influence marine ecosystems, weather, ocean energetics, and the global climate system [1]. Long-term observations have already revealed climate-driven changes across large fractions of the surface ocean [2]. Autonomous platforms expand these measurements beyond the duration, weather tolerance, and spatial coverage of ship-based campaigns. Swarms of underwater drifters have resolved three-dimensional submesoscale dynamics [3], while maneuverable vehicles have enabled close-range ecological observation over fragile and irregular seabeds [4]. In both settings, the value of the recorded data depends on where the vehicle is when a measurement is acquired. Tracking error can therefore misregister observations, reduce image quality, narrow collision margins, and consume limited propulsion energy rather than merely produce an unattractive trajectory.</w:t>
      </w:r>
    </w:p>
    <w:p>
      <w:pPr>
        <w:spacing w:line="312" w:lineRule="auto" w:after="120"/>
        <w:jc w:val="both"/>
      </w:pPr>
      <w:r>
        <w:rPr>
          <w:rFonts w:ascii="Times New Roman" w:hAnsi="Times New Roman" w:eastAsia="Times New Roman"/>
          <w:b w:val="0"/>
          <w:i w:val="0"/>
          <w:color w:val="000000"/>
          <w:sz w:val="22"/>
        </w:rPr>
        <w:t>Reliable tracking remains difficult because an underwater vehicle couples nonlinear rigid-body motion, added mass, drag, restoring forces, and bounded thrusters. The external flow is neither spatially uniform nor fully known. Recent studies show that successful autonomous navigation in changing currents depends strongly on the available flow information [5,6]. A controller must consequently balance at least four requirements: accurate position tracking, stable attitude, limited actuator saturation, and sufficiently smooth action for the hardware. Improving only one requirement can transfer error or burden to another. This coupling is the central engineering problem addressed here.</w:t>
      </w:r>
    </w:p>
    <w:p>
      <w:pPr>
        <w:spacing w:line="312" w:lineRule="auto" w:after="120"/>
        <w:jc w:val="both"/>
      </w:pPr>
      <w:r>
        <w:rPr>
          <w:rFonts w:ascii="Times New Roman" w:hAnsi="Times New Roman" w:eastAsia="Times New Roman"/>
          <w:b w:val="0"/>
          <w:i w:val="0"/>
          <w:color w:val="000000"/>
          <w:sz w:val="22"/>
        </w:rPr>
        <w:t>Model-based feedback retains an important role because it exposes how vehicle states produce corrective forces. Marine control models provide a physically interpretable basis for compensation and stability analysis [7,8]. SMC is particularly attractive under bounded uncertainty because its reaching law can reject disturbances without solving an online optimization problem [9]. That robustness is not free: discontinuous or high-gain action can induce chattering, excite actuators, and require boundary-layer tuning [10]. Comparative AUV studies also show that controller suitability depends on the vehicle subsystem and operating condition rather than on a single universally dominant design [11]. These observations motivate retaining SMC as a robust expert without assigning it exclusive authority at every instant.</w:t>
      </w:r>
    </w:p>
    <w:p>
      <w:pPr>
        <w:spacing w:line="312" w:lineRule="auto" w:after="120"/>
        <w:jc w:val="both"/>
      </w:pPr>
      <w:r>
        <w:rPr>
          <w:rFonts w:ascii="Times New Roman" w:hAnsi="Times New Roman" w:eastAsia="Times New Roman"/>
          <w:b w:val="0"/>
          <w:i w:val="0"/>
          <w:color w:val="000000"/>
          <w:sz w:val="22"/>
        </w:rPr>
        <w:t>MPC addresses a different part of the problem. It uses a predictive model and an explicit objective to trade tracking against control action while enforcing constraints [12]. Experimental AUV work has combined nonlinear MPC with disturbance-handling layers to improve tracking under dead time and uncertainty [13]. Learning-based MPC extends this structure by adapting models, costs, or constraints from data [14], and compact solvers show that predictive control can fit resource-constrained processors [15]. Nevertheless, predictive performance remains linked to model fidelity, objective design, and the time available for optimization. Recent AUV work therefore uses reinforcement learning to tune MPC objectives rather than treating fixed weights as universally appropriate [16].</w:t>
      </w:r>
    </w:p>
    <w:p>
      <w:pPr>
        <w:spacing w:line="312" w:lineRule="auto" w:after="120"/>
        <w:jc w:val="both"/>
      </w:pPr>
      <w:r>
        <w:rPr>
          <w:rFonts w:ascii="Times New Roman" w:hAnsi="Times New Roman" w:eastAsia="Times New Roman"/>
          <w:b w:val="0"/>
          <w:i w:val="0"/>
          <w:color w:val="000000"/>
          <w:sz w:val="22"/>
        </w:rPr>
        <w:t>End-to-end learning offers greater flexibility but introduces a different verification problem. Full six-degree-of-freedom AUV policies have demonstrated strong simulation and transfer results [17], and deep reinforcement learning has improved path following under nonlinear dynamics [18]. Imitation learning has also supported information-driven underwater navigation [19]. However, real-world reinforcement learning must handle limited data, safety constraints, partial observability, delayed effects, and distribution shift [20]. Safety frameworks can bound some of these risks [21], but a learned six-dimensional action remains harder to inspect than a conventional control law. This paper therefore asks learning to choose authority, not to rediscover the entire actuation mechanism.</w:t>
      </w:r>
    </w:p>
    <w:p>
      <w:pPr>
        <w:spacing w:line="312" w:lineRule="auto" w:after="120"/>
        <w:jc w:val="both"/>
      </w:pPr>
      <w:r>
        <w:rPr>
          <w:rFonts w:ascii="Times New Roman" w:hAnsi="Times New Roman" w:eastAsia="Times New Roman"/>
          <w:b w:val="0"/>
          <w:i w:val="0"/>
          <w:color w:val="000000"/>
          <w:sz w:val="22"/>
        </w:rPr>
        <w:t>Structured robot learning has previously combined nominal controllers with learned corrections. Residual reinforcement learning adds a learned action to conventional feedback [22], and related shared-autonomy methods learn minimal corrections to another actor [23]. Actor-critic MPC embeds predictive optimization inside a learned policy [24], whereas composable policy classes encode task structure directly [25]. These methods demonstrate that learning benefits from a strong control prior. They do not, however, formulate the contribution of two complete controllers as one bounded, continuously interpretable trust variable conditioned on recent closed-loop behavior.</w:t>
      </w:r>
    </w:p>
    <w:p>
      <w:pPr>
        <w:spacing w:line="312" w:lineRule="auto" w:after="120"/>
        <w:jc w:val="both"/>
      </w:pPr>
      <w:r>
        <w:rPr>
          <w:rFonts w:ascii="Times New Roman" w:hAnsi="Times New Roman" w:eastAsia="Times New Roman"/>
          <w:b w:val="0"/>
          <w:i w:val="0"/>
          <w:color w:val="000000"/>
          <w:sz w:val="22"/>
        </w:rPr>
        <w:t>PAC fills this gap. At every 10-ms control step, a small Transformer receives the recent state-controller history and produces an authority coefficient between zero and one. The coefficient blends the complete SMC and MPC commands, while smoothing and rate limiting prevent abrupt transfer. A zero-initialized residual head of 2,177 parameters further revises the coefficient by at most 0.1 per step, so the composite policy starts exactly at the supervised baseline and can only revise trust within a bounded envelope. The sequence model is deliberately much smaller than typical Transformer policies: it contains 14,113 parameters, approximately 55.1 KiB of FP32 weights, and about 0.23 million multiply-accumulate operations per inference. Its learned output is scalar, whereas all physical actuation remains generated by explicit controllers.</w:t>
      </w:r>
    </w:p>
    <w:p>
      <w:pPr>
        <w:spacing w:line="312" w:lineRule="auto" w:after="120"/>
        <w:jc w:val="both"/>
      </w:pPr>
      <w:r>
        <w:rPr>
          <w:rFonts w:ascii="Times New Roman" w:hAnsi="Times New Roman" w:eastAsia="Times New Roman"/>
          <w:b w:val="0"/>
          <w:i w:val="0"/>
          <w:color w:val="000000"/>
          <w:sz w:val="22"/>
        </w:rPr>
        <w:t>This study makes four contributions:</w:t>
      </w:r>
    </w:p>
    <w:p>
      <w:pPr>
        <w:spacing w:line="312" w:lineRule="auto" w:after="120"/>
        <w:jc w:val="both"/>
      </w:pPr>
      <w:r>
        <w:rPr>
          <w:rFonts w:ascii="Times New Roman" w:hAnsi="Times New Roman" w:eastAsia="Times New Roman"/>
          <w:b/>
          <w:i w:val="0"/>
          <w:color w:val="000000"/>
          <w:sz w:val="22"/>
        </w:rPr>
        <w:t xml:space="preserve">(1) </w:t>
      </w:r>
      <w:r>
        <w:rPr>
          <w:rFonts w:ascii="Times New Roman" w:hAnsi="Times New Roman" w:eastAsia="Times New Roman"/>
          <w:b w:val="0"/>
          <w:i w:val="0"/>
          <w:color w:val="000000"/>
          <w:sz w:val="22"/>
        </w:rPr>
        <w:t>continuous temporal authority allocation between two complete controllers;</w:t>
      </w:r>
    </w:p>
    <w:p>
      <w:pPr>
        <w:spacing w:line="312" w:lineRule="auto" w:after="120"/>
        <w:jc w:val="both"/>
      </w:pPr>
      <w:r>
        <w:rPr>
          <w:rFonts w:ascii="Times New Roman" w:hAnsi="Times New Roman" w:eastAsia="Times New Roman"/>
          <w:b w:val="0"/>
          <w:i w:val="0"/>
          <w:color w:val="000000"/>
          <w:sz w:val="22"/>
        </w:rPr>
        <w:t xml:space="preserve">(2) rollout-oracle supervision followed by constrained residual reinforcement learning on the frozen backbone, with the residual bounded by </w:t>
      </w:r>
      <m:oMath xmlns:mml="http://www.w3.org/1998/Math/MathML">
        <m:r>
          <m:t>|Δ</m:t>
        </m:r>
        <m:sSub>
          <m:e>
            <m:r>
              <m:t>α</m:t>
            </m:r>
          </m:e>
          <m:sub>
            <m:r>
              <m:t>t</m:t>
            </m:r>
          </m:sub>
        </m:sSub>
        <m:r>
          <m:t>|≤0.1</m:t>
        </m:r>
      </m:oMath>
      <w:r>
        <w:rPr>
          <w:rFonts w:ascii="Times New Roman" w:hAnsi="Times New Roman" w:eastAsia="Times New Roman"/>
          <w:b w:val="0"/>
          <w:i w:val="0"/>
          <w:color w:val="000000"/>
          <w:sz w:val="22"/>
        </w:rPr>
        <w:t xml:space="preserve"> and zero-initialized;</w:t>
      </w:r>
    </w:p>
    <w:p>
      <w:pPr>
        <w:spacing w:line="312" w:lineRule="auto" w:after="120"/>
        <w:jc w:val="both"/>
      </w:pPr>
      <w:r>
        <w:rPr>
          <w:rFonts w:ascii="Times New Roman" w:hAnsi="Times New Roman" w:eastAsia="Times New Roman"/>
          <w:b/>
          <w:i w:val="0"/>
          <w:color w:val="000000"/>
          <w:sz w:val="22"/>
        </w:rPr>
        <w:t xml:space="preserve">(3) </w:t>
      </w:r>
      <w:r>
        <w:rPr>
          <w:rFonts w:ascii="Times New Roman" w:hAnsi="Times New Roman" w:eastAsia="Times New Roman"/>
          <w:b w:val="0"/>
          <w:i w:val="0"/>
          <w:color w:val="000000"/>
          <w:sz w:val="22"/>
        </w:rPr>
        <w:t>an extremely compact Transformer for edge-oriented temporal inference whose worst-case behavior equals the deployed supervised baseline;</w:t>
      </w:r>
    </w:p>
    <w:p>
      <w:pPr>
        <w:spacing w:line="312" w:lineRule="auto" w:after="120"/>
        <w:jc w:val="both"/>
      </w:pPr>
      <w:r>
        <w:rPr>
          <w:rFonts w:ascii="Times New Roman" w:hAnsi="Times New Roman" w:eastAsia="Times New Roman"/>
          <w:b/>
          <w:i w:val="0"/>
          <w:color w:val="000000"/>
          <w:sz w:val="22"/>
        </w:rPr>
        <w:t xml:space="preserve">(4) </w:t>
      </w:r>
      <w:r>
        <w:rPr>
          <w:rFonts w:ascii="Times New Roman" w:hAnsi="Times New Roman" w:eastAsia="Times New Roman"/>
          <w:b w:val="0"/>
          <w:i w:val="0"/>
          <w:color w:val="000000"/>
          <w:sz w:val="22"/>
        </w:rPr>
        <w:t>a five-initialization paired evaluation over 1,680 rollouts covering in-distribution and out-of-distribution disturbance families, reporting tracking, attitude, smoothness, saturation, control effort, and solver deadline-miss fraction.</w:t>
      </w:r>
    </w:p>
    <w:p>
      <w:pPr>
        <w:spacing w:line="312" w:lineRule="auto" w:before="280" w:after="120"/>
      </w:pPr>
      <w:r>
        <w:rPr>
          <w:rFonts w:ascii="Times New Roman" w:hAnsi="Times New Roman" w:eastAsia="Times New Roman"/>
          <w:b/>
          <w:i w:val="0"/>
          <w:color w:val="000000"/>
          <w:sz w:val="26"/>
        </w:rPr>
        <w:t>2  Related Work</w:t>
      </w:r>
    </w:p>
    <w:p>
      <w:pPr>
        <w:spacing w:line="312" w:lineRule="auto" w:before="200" w:after="80"/>
      </w:pPr>
      <w:r>
        <w:rPr>
          <w:rFonts w:ascii="Times New Roman" w:hAnsi="Times New Roman" w:eastAsia="Times New Roman"/>
          <w:b/>
          <w:i w:val="0"/>
          <w:color w:val="000000"/>
          <w:sz w:val="23"/>
        </w:rPr>
        <w:t>2.1  Underwater vehicle control</w:t>
      </w:r>
    </w:p>
    <w:p>
      <w:pPr>
        <w:spacing w:line="312" w:lineRule="auto" w:after="120"/>
        <w:jc w:val="both"/>
      </w:pPr>
      <w:r>
        <w:rPr>
          <w:rFonts w:ascii="Times New Roman" w:hAnsi="Times New Roman" w:eastAsia="Times New Roman"/>
          <w:b w:val="0"/>
          <w:i w:val="0"/>
          <w:color w:val="000000"/>
          <w:sz w:val="22"/>
        </w:rPr>
        <w:t>Marine vehicle control is developed from rigid-body dynamics with added mass, damping, and restoring forces [1,2]. Hybrid schemes combine nonlinear MPC with sliding-mode terms under threshold switching, retaining each expert in its favorable regime [17]; such switching surfaces are fixed at design time, whereas PAC answers the trust question online and continuously. Learning-based AUV control has advanced rapidly: improved TD3 path following [10] and six-degree-of-freedom control trained in parallel simulators with zero-shot transfer [8] learn commands directly. PAC instead learns a one-dimensional arbitration variable over complete structured controllers.</w:t>
      </w:r>
    </w:p>
    <w:p>
      <w:pPr>
        <w:spacing w:line="312" w:lineRule="auto" w:before="200" w:after="80"/>
      </w:pPr>
      <w:r>
        <w:rPr>
          <w:rFonts w:ascii="Times New Roman" w:hAnsi="Times New Roman" w:eastAsia="Times New Roman"/>
          <w:b/>
          <w:i w:val="0"/>
          <w:color w:val="000000"/>
          <w:sz w:val="23"/>
        </w:rPr>
        <w:t>2.2  Learning with structured controllers</w:t>
      </w:r>
    </w:p>
    <w:p>
      <w:pPr>
        <w:spacing w:line="312" w:lineRule="auto" w:after="120"/>
        <w:jc w:val="both"/>
      </w:pPr>
      <w:r>
        <w:rPr>
          <w:rFonts w:ascii="Times New Roman" w:hAnsi="Times New Roman" w:eastAsia="Times New Roman"/>
          <w:b w:val="0"/>
          <w:i w:val="0"/>
          <w:color w:val="000000"/>
          <w:sz w:val="22"/>
        </w:rPr>
        <w:t>Residual reinforcement learning superposes a learned correction on a hand-designed base policy [5]. Actor-critic MPC embeds a differentiable optimizer in the actor [6], and learning-based MPC surveys data-driven refinement with safety considerations [4]. PAC differs in the interface: the residual applies to a bounded scalar authority rather than actuator commands, the supervisor is frozen rather than jointly trained, and zero initialization yields exact initial equivalence to the deployed system. Learned safety filters train barrier-like corrections [11]; the PAC safety filter instead composes fixed bounds with structured fallbacks and contains no learned component in the safety path. Embedded solvers such as TinyMPC [7] constrain what an onboard arbitration layer may assume computationally.</w:t>
      </w:r>
    </w:p>
    <w:p>
      <w:pPr>
        <w:spacing w:line="312" w:lineRule="auto" w:before="200" w:after="80"/>
      </w:pPr>
      <w:r>
        <w:rPr>
          <w:rFonts w:ascii="Times New Roman" w:hAnsi="Times New Roman" w:eastAsia="Times New Roman"/>
          <w:b/>
          <w:i w:val="0"/>
          <w:color w:val="000000"/>
          <w:sz w:val="23"/>
        </w:rPr>
        <w:t>2.3  Temporal encoders for sequential decisions</w:t>
      </w:r>
    </w:p>
    <w:p>
      <w:pPr>
        <w:spacing w:line="312" w:lineRule="auto" w:after="120"/>
        <w:jc w:val="both"/>
      </w:pPr>
      <w:r>
        <w:rPr>
          <w:rFonts w:ascii="Times New Roman" w:hAnsi="Times New Roman" w:eastAsia="Times New Roman"/>
          <w:b w:val="0"/>
          <w:i w:val="0"/>
          <w:color w:val="000000"/>
          <w:sz w:val="22"/>
        </w:rPr>
        <w:t>Self-attention [12] and sequence-modeling formulations of control [13,14] scale with data and width. The PAC encoder deliberately occupies the opposite regime: one encoder layer over a 16-step history mapping to a single coefficient, which suffices for the arbitration interface and keeps edge deployment plausible. Diffusion policies [15] and imitation navigation [9] address different output spaces and are complementary.</w:t>
      </w:r>
    </w:p>
    <w:p>
      <w:pPr>
        <w:spacing w:line="312" w:lineRule="auto" w:before="280" w:after="120"/>
      </w:pPr>
      <w:r>
        <w:rPr>
          <w:rFonts w:ascii="Times New Roman" w:hAnsi="Times New Roman" w:eastAsia="Times New Roman"/>
          <w:b/>
          <w:i w:val="0"/>
          <w:color w:val="000000"/>
          <w:sz w:val="26"/>
        </w:rPr>
        <w:t>3  Predictive Authority Control</w:t>
      </w:r>
    </w:p>
    <w:p>
      <w:pPr>
        <w:spacing w:line="312" w:lineRule="auto" w:before="200" w:after="80"/>
      </w:pPr>
      <w:r>
        <w:rPr>
          <w:rFonts w:ascii="Times New Roman" w:hAnsi="Times New Roman" w:eastAsia="Times New Roman"/>
          <w:b/>
          <w:i w:val="0"/>
          <w:color w:val="000000"/>
          <w:sz w:val="23"/>
        </w:rPr>
        <w:t>3.1  Vehicle model and tracking objective</w:t>
      </w:r>
    </w:p>
    <w:p>
      <w:pPr>
        <w:spacing w:line="312" w:lineRule="auto" w:after="120"/>
        <w:jc w:val="both"/>
      </w:pPr>
      <w:r>
        <w:rPr>
          <w:rFonts w:ascii="Times New Roman" w:hAnsi="Times New Roman" w:eastAsia="Times New Roman"/>
          <w:b w:val="0"/>
          <w:i w:val="0"/>
          <w:color w:val="000000"/>
          <w:sz w:val="22"/>
        </w:rPr>
        <w:t>The vehicle pose and body velocity are η = [x, y, z, φ, θ, ψ]ᵀ and ν = [u, v, w, p, q, r]ᵀ. The simulator integrates the diagonalized six-degree-of-freedom model with added mass, linear and quadratic damping, and restoring stiffness by fourth-order Runge–Kutta at 100 Hz for 2,100 steps (21 s) per episode. Six thrusters in an X layout are limited to 35 N with magnitude and slew-rate constraints. The reference is a three-dimensional Lissajous path with desired yaw aligned to the horizontal tangent; initial pose and velocity are perturbed with standard deviations 0.03 m and 0.01 m/s.</w:t>
      </w:r>
    </w:p>
    <w:p>
      <w:pPr>
        <w:spacing w:line="312" w:lineRule="auto" w:before="200" w:after="80"/>
      </w:pPr>
      <w:r>
        <w:rPr>
          <w:rFonts w:ascii="Times New Roman" w:hAnsi="Times New Roman" w:eastAsia="Times New Roman"/>
          <w:b/>
          <w:i w:val="0"/>
          <w:color w:val="000000"/>
          <w:sz w:val="23"/>
        </w:rPr>
        <w:t>3.2  Structured controller experts</w:t>
      </w:r>
    </w:p>
    <w:p>
      <w:pPr>
        <w:spacing w:line="312" w:lineRule="auto" w:after="120"/>
        <w:jc w:val="both"/>
      </w:pPr>
      <w:r>
        <w:rPr>
          <w:rFonts w:ascii="Times New Roman" w:hAnsi="Times New Roman" w:eastAsia="Times New Roman"/>
          <w:b w:val="0"/>
          <w:i w:val="0"/>
          <w:color w:val="000000"/>
          <w:sz w:val="22"/>
        </w:rPr>
        <w:t>The primary expert is an equivalent-control SMC whose translational sliding surface combines velocity error and pose error, with feedforward acceleration, damping compensation, and a bounded reaching term. The second expert is a receding-horizon linear-time-varying constrained MPC with a 20-step horizon (0.2 s), normalized thruster limits, warm-start smoothing, and an online solve-time limit of 7.5 ms with fallback to the previous plan. This expert replaces the one-step quadratic tracking law used in an earlier implementation of this framework; all results here use the constrained MPC.</w:t>
      </w:r>
    </w:p>
    <w:p>
      <w:pPr>
        <w:spacing w:line="312" w:lineRule="auto" w:before="200" w:after="80"/>
      </w:pPr>
      <w:r>
        <w:rPr>
          <w:rFonts w:ascii="Times New Roman" w:hAnsi="Times New Roman" w:eastAsia="Times New Roman"/>
          <w:b/>
          <w:i w:val="0"/>
          <w:color w:val="000000"/>
          <w:sz w:val="23"/>
        </w:rPr>
        <w:t>3.3  History features and temporal encoder</w:t>
      </w:r>
    </w:p>
    <w:p>
      <w:pPr>
        <w:spacing w:line="312" w:lineRule="auto" w:after="120"/>
        <w:jc w:val="both"/>
      </w:pPr>
      <w:r>
        <w:rPr>
          <w:rFonts w:ascii="Times New Roman" w:hAnsi="Times New Roman" w:eastAsia="Times New Roman"/>
          <w:b w:val="0"/>
          <w:i w:val="0"/>
          <w:color w:val="000000"/>
          <w:sz w:val="22"/>
        </w:rPr>
        <w:t>At each step a 24-dimensional feature vector summarizes pose errors, body velocities, per-controller command statistics and disagreement, near-saturation fraction, horizontal current components, and trajectory phase. The most recent 16 vectors form the encoder input; one Transformer encoder layer (four heads, 128-unit feed-forward, 14,113 trainable parameters) maps the final token to α̂ₜ through a sigmoid head. At inference the prediction is scaled by 1.2, clipped, smoothed with coefficient 0.5, and rate-limited to 0.0125 per step.</w:t>
      </w:r>
    </w:p>
    <w:p>
      <w:pPr>
        <w:spacing w:line="312" w:lineRule="auto" w:before="200" w:after="80"/>
      </w:pPr>
      <w:r>
        <w:rPr>
          <w:rFonts w:ascii="Times New Roman" w:hAnsi="Times New Roman" w:eastAsia="Times New Roman"/>
          <w:b/>
          <w:i w:val="0"/>
          <w:color w:val="000000"/>
          <w:sz w:val="23"/>
        </w:rPr>
        <w:t>3.4  Layered safety filter</w:t>
      </w:r>
    </w:p>
    <w:p>
      <w:pPr>
        <w:spacing w:line="312" w:lineRule="auto" w:after="120"/>
        <w:jc w:val="both"/>
      </w:pPr>
      <w:r>
        <w:rPr>
          <w:rFonts w:ascii="Times New Roman" w:hAnsi="Times New Roman" w:eastAsia="Times New Roman"/>
          <w:b w:val="0"/>
          <w:i w:val="0"/>
          <w:color w:val="000000"/>
          <w:sz w:val="22"/>
        </w:rPr>
        <w:t>Every learned contribution passes a fixed filter stack, in execution order: (i) the residual is bounded; (ii) the blended coefficient is clipped, smoothed, and rate-limited; (iii) expert failure forces primary control; and (iv) non-finite values fall back to the frozen supervised prediction. Because the residual head is zero-initialized, the composite policy reproduces the deployed baseline numerically at initialization, enforced by a unit test comparing full-episode rollouts to tight numerical tolerances. The worst case of the learning components is therefore the baseline policy itself. Figure 2 details the two networks and the two-phase training procedure: the backbone is frozen throughout phase 2, and the residual head is zero-initialized, so the composite policy starts exactly at the supervised baseline.</w:t>
      </w:r>
    </w:p>
    <w:p>
      <w:pPr>
        <w:keepNext/>
        <w:spacing w:before="160"/>
        <w:jc w:val="center"/>
      </w:pPr>
      <w:r>
        <w:drawing>
          <wp:inline xmlns:a="http://schemas.openxmlformats.org/drawingml/2006/main" xmlns:pic="http://schemas.openxmlformats.org/drawingml/2006/picture">
            <wp:extent cx="5760720" cy="3242128"/>
            <wp:docPr id="1" name="Picture 1"/>
            <wp:cNvGraphicFramePr>
              <a:graphicFrameLocks noChangeAspect="1"/>
            </wp:cNvGraphicFramePr>
            <a:graphic>
              <a:graphicData uri="http://schemas.openxmlformats.org/drawingml/2006/picture">
                <pic:pic>
                  <pic:nvPicPr>
                    <pic:cNvPr id="0" name="fig1_system_architecture_ai.png"/>
                    <pic:cNvPicPr/>
                  </pic:nvPicPr>
                  <pic:blipFill>
                    <a:blip r:embed="rId11"/>
                    <a:stretch>
                      <a:fillRect/>
                    </a:stretch>
                  </pic:blipFill>
                  <pic:spPr>
                    <a:xfrm>
                      <a:off x="0" y="0"/>
                      <a:ext cx="5760720" cy="3242128"/>
                    </a:xfrm>
                    <a:prstGeom prst="rect"/>
                  </pic:spPr>
                </pic:pic>
              </a:graphicData>
            </a:graphic>
          </wp:inline>
        </w:drawing>
      </w:r>
    </w:p>
    <w:p>
      <w:pPr>
        <w:spacing w:after="200"/>
        <w:jc w:val="both"/>
      </w:pPr>
      <w:r>
        <w:rPr>
          <w:rFonts w:ascii="Times New Roman" w:hAnsi="Times New Roman" w:eastAsia="Times New Roman"/>
          <w:b/>
          <w:i w:val="0"/>
          <w:color w:val="000000"/>
          <w:sz w:val="18"/>
        </w:rPr>
        <w:t xml:space="preserve">Figure 1. </w:t>
      </w:r>
      <w:r>
        <w:rPr>
          <w:rFonts w:ascii="Times New Roman" w:hAnsi="Times New Roman" w:eastAsia="Times New Roman"/>
          <w:b w:val="0"/>
          <w:i w:val="0"/>
          <w:color w:val="000000"/>
          <w:sz w:val="18"/>
        </w:rPr>
        <w:t>Predictive authority control architecture. (a) Closed loop: the experts generate commands blended by α; a frozen temporal encoder predicts the supervised coefficient and a bounded, zero-initialized residual head revises it. (b) Layered safety filter in execution order. (c) Two-phase training.</w:t>
      </w:r>
    </w:p>
    <w:p>
      <w:pPr>
        <w:keepNext/>
        <w:spacing w:before="160"/>
        <w:jc w:val="center"/>
      </w:pPr>
      <w:r>
        <w:drawing>
          <wp:inline xmlns:a="http://schemas.openxmlformats.org/drawingml/2006/main" xmlns:pic="http://schemas.openxmlformats.org/drawingml/2006/picture">
            <wp:extent cx="5760720" cy="3242128"/>
            <wp:docPr id="2" name="Picture 2"/>
            <wp:cNvGraphicFramePr>
              <a:graphicFrameLocks noChangeAspect="1"/>
            </wp:cNvGraphicFramePr>
            <a:graphic>
              <a:graphicData uri="http://schemas.openxmlformats.org/drawingml/2006/picture">
                <pic:pic>
                  <pic:nvPicPr>
                    <pic:cNvPr id="0" name="fig_network_training_ai.png"/>
                    <pic:cNvPicPr/>
                  </pic:nvPicPr>
                  <pic:blipFill>
                    <a:blip r:embed="rId12"/>
                    <a:stretch>
                      <a:fillRect/>
                    </a:stretch>
                  </pic:blipFill>
                  <pic:spPr>
                    <a:xfrm>
                      <a:off x="0" y="0"/>
                      <a:ext cx="5760720" cy="3242128"/>
                    </a:xfrm>
                    <a:prstGeom prst="rect"/>
                  </pic:spPr>
                </pic:pic>
              </a:graphicData>
            </a:graphic>
          </wp:inline>
        </w:drawing>
      </w:r>
    </w:p>
    <w:p>
      <w:pPr>
        <w:spacing w:after="200"/>
        <w:jc w:val="both"/>
      </w:pPr>
      <w:r>
        <w:rPr>
          <w:rFonts w:ascii="Times New Roman" w:hAnsi="Times New Roman" w:eastAsia="Times New Roman"/>
          <w:b/>
          <w:i w:val="0"/>
          <w:color w:val="000000"/>
          <w:sz w:val="18"/>
        </w:rPr>
        <w:t xml:space="preserve">Figure 2. </w:t>
      </w:r>
      <w:r>
        <w:rPr>
          <w:rFonts w:ascii="Times New Roman" w:hAnsi="Times New Roman" w:eastAsia="Times New Roman"/>
          <w:b w:val="0"/>
          <w:i w:val="0"/>
          <w:color w:val="000000"/>
          <w:sz w:val="18"/>
        </w:rPr>
        <w:t>Network architectures and two-phase training. (a) The frozen temporal encoder (14,113 parameters) maps a 16×24 history through a 32-dimensional embedding and one Transformer encoder layer (four-head attention, 128-unit feed-forward) to the supervised authority; the trainable residual head (two linear layers, 2,177 parameters, zero-initialized final layer) revises it by at most 0.1 per step. (b) Phase 1 trains the backbone by imitation of the short-horizon oracle; phase 2 trains only the residual head with TD3, behavior regularization, and a warm-start replay.</w:t>
      </w:r>
    </w:p>
    <w:p>
      <w:pPr>
        <w:spacing w:line="312" w:lineRule="auto" w:before="280" w:after="120"/>
      </w:pPr>
      <w:r>
        <w:rPr>
          <w:rFonts w:ascii="Times New Roman" w:hAnsi="Times New Roman" w:eastAsia="Times New Roman"/>
          <w:b/>
          <w:i w:val="0"/>
          <w:color w:val="000000"/>
          <w:sz w:val="26"/>
        </w:rPr>
        <w:t>4  Learning the Authority Residual</w:t>
      </w:r>
    </w:p>
    <w:p>
      <w:pPr>
        <w:spacing w:line="312" w:lineRule="auto" w:before="200" w:after="80"/>
      </w:pPr>
      <w:r>
        <w:rPr>
          <w:rFonts w:ascii="Times New Roman" w:hAnsi="Times New Roman" w:eastAsia="Times New Roman"/>
          <w:b/>
          <w:i w:val="0"/>
          <w:color w:val="000000"/>
          <w:sz w:val="23"/>
        </w:rPr>
        <w:t>4.1  Supervised initialization</w:t>
      </w:r>
    </w:p>
    <w:p>
      <w:pPr>
        <w:spacing w:line="312" w:lineRule="auto" w:after="120"/>
        <w:jc w:val="both"/>
      </w:pPr>
      <w:r>
        <w:rPr>
          <w:rFonts w:ascii="Times New Roman" w:hAnsi="Times New Roman" w:eastAsia="Times New Roman"/>
          <w:b w:val="0"/>
          <w:i w:val="0"/>
          <w:color w:val="000000"/>
          <w:sz w:val="22"/>
        </w:rPr>
        <w:t>The supervised PAC policy is trained by imitation of a short-horizon oracle: for each training state, candidate coefficients from a five-point grid are held for ten steps with the current frozen, and the label minimizes</w:t>
      </w:r>
    </w:p>
    <w:p>
      <w:pPr>
        <w:spacing w:line="312" w:lineRule="auto" w:before="80" w:after="120"/>
        <w:jc w:val="center"/>
      </w:pPr>
      <m:oMath xmlns:mml="http://www.w3.org/1998/Math/MathML">
        <m:r>
          <m:t>J(α)=‖</m:t>
        </m:r>
        <m:sSub>
          <m:e>
            <m:r>
              <m:rPr>
                <m:sty m:val="bi"/>
              </m:rPr>
              <m:t>e</m:t>
            </m:r>
          </m:e>
          <m:sub>
            <m:r>
              <m:t>xy</m:t>
            </m:r>
          </m:sub>
        </m:sSub>
        <m:sSup>
          <m:e>
            <m:r>
              <m:t>‖</m:t>
            </m:r>
          </m:e>
          <m:sup>
            <m:r>
              <m:t>2</m:t>
            </m:r>
          </m:sup>
        </m:sSup>
        <m:r>
          <m:t>+0.7</m:t>
        </m:r>
        <m:sSubSup>
          <m:e>
            <m:r>
              <m:t>e</m:t>
            </m:r>
          </m:e>
          <m:sub>
            <m:r>
              <m:t>z</m:t>
            </m:r>
          </m:sub>
          <m:sup>
            <m:r>
              <m:t>2</m:t>
            </m:r>
          </m:sup>
        </m:sSubSup>
        <m:r>
          <m:t>+0.08</m:t>
        </m:r>
        <m:sSubSup>
          <m:e>
            <m:r>
              <m:t>e</m:t>
            </m:r>
          </m:e>
          <m:sub>
            <m:r>
              <m:t>ψ</m:t>
            </m:r>
          </m:sub>
          <m:sup>
            <m:r>
              <m:t>2</m:t>
            </m:r>
          </m:sup>
        </m:sSubSup>
        <m:r>
          <m:t>+0.02</m:t>
        </m:r>
        <m:r>
          <m:rPr>
            <m:sty m:val="p"/>
          </m:rPr>
          <m:t>mean</m:t>
        </m:r>
        <m:r>
          <m:t>([</m:t>
        </m:r>
        <m:r>
          <m:t>|</m:t>
        </m:r>
        <m:r>
          <m:rPr>
            <m:sty m:val="bi"/>
          </m:rPr>
          <m:t>u</m:t>
        </m:r>
        <m:r>
          <m:t>|−0.92</m:t>
        </m:r>
        <m:sSubSup>
          <m:e>
            <m:r>
              <m:t>]</m:t>
            </m:r>
          </m:e>
          <m:sub>
            <m:r>
              <m:t>+</m:t>
            </m:r>
          </m:sub>
          <m:sup>
            <m:r>
              <m:t>2</m:t>
            </m:r>
          </m:sup>
        </m:sSubSup>
        <m:r>
          <m:t>)</m:t>
        </m:r>
        <m:r>
          <m:t>+0.01</m:t>
        </m:r>
        <m:r>
          <m:rPr>
            <m:sty m:val="p"/>
          </m:rPr>
          <m:t>mean</m:t>
        </m:r>
        <m:r>
          <m:t>((</m:t>
        </m:r>
        <m:r>
          <m:rPr>
            <m:sty m:val="bi"/>
          </m:rPr>
          <m:t>u</m:t>
        </m:r>
        <m:r>
          <m:t>−</m:t>
        </m:r>
        <m:sSub>
          <m:e>
            <m:r>
              <m:rPr>
                <m:sty m:val="bi"/>
              </m:rPr>
              <m:t>u</m:t>
            </m:r>
          </m:e>
          <m:sub>
            <m:r>
              <m:t>t−1</m:t>
            </m:r>
          </m:sub>
        </m:sSub>
        <m:sSup>
          <m:e>
            <m:r>
              <m:t>)</m:t>
            </m:r>
          </m:e>
          <m:sup>
            <m:r>
              <m:t>2</m:t>
            </m:r>
          </m:sup>
        </m:sSup>
        <m:r>
          <m:t>)</m:t>
        </m:r>
      </m:oMath>
      <w:r>
        <w:rPr>
          <w:rFonts w:ascii="Times New Roman" w:hAnsi="Times New Roman"/>
          <w:sz w:val="22"/>
        </w:rPr>
        <w:t xml:space="preserve">        (2)</w:t>
      </w:r>
    </w:p>
    <w:p>
      <w:pPr>
        <w:spacing w:line="312" w:lineRule="auto" w:after="120"/>
        <w:jc w:val="both"/>
      </w:pPr>
      <w:r>
        <w:rPr>
          <w:rFonts w:ascii="Times New Roman" w:hAnsi="Times New Roman" w:eastAsia="Times New Roman"/>
          <w:b w:val="0"/>
          <w:i w:val="0"/>
          <w:color w:val="000000"/>
          <w:sz w:val="22"/>
        </w:rPr>
        <w:t>a cost combining horizontal and vertical position error, heading error, near-saturation magnitude, and command change. Training uses 18,900 labeled samples, AdamW for 180 epochs, and a weighted squared loss. Five model seeds are trained independently; these frozen policies supervise all later stages and are never retrained.</w:t>
      </w:r>
    </w:p>
    <w:p>
      <w:pPr>
        <w:spacing w:line="312" w:lineRule="auto" w:before="200" w:after="80"/>
      </w:pPr>
      <w:r>
        <w:rPr>
          <w:rFonts w:ascii="Times New Roman" w:hAnsi="Times New Roman" w:eastAsia="Times New Roman"/>
          <w:b/>
          <w:i w:val="0"/>
          <w:color w:val="000000"/>
          <w:sz w:val="23"/>
        </w:rPr>
        <w:t>4.2  Constrained residual stage</w:t>
      </w:r>
    </w:p>
    <w:p>
      <w:pPr>
        <w:spacing w:line="312" w:lineRule="auto" w:after="120"/>
        <w:jc w:val="both"/>
      </w:pPr>
      <w:r>
        <w:rPr>
          <w:rFonts w:ascii="Times New Roman" w:hAnsi="Times New Roman" w:eastAsia="Times New Roman"/>
          <w:b w:val="0"/>
          <w:i w:val="0"/>
          <w:color w:val="000000"/>
          <w:sz w:val="22"/>
        </w:rPr>
        <w:t>The residual policy appends a two-layer head with 2,177 parameters to each frozen supervisor. The applied coefficient is</w:t>
      </w:r>
    </w:p>
    <w:p>
      <w:pPr>
        <w:spacing w:line="312" w:lineRule="auto" w:before="80" w:after="120"/>
        <w:jc w:val="center"/>
      </w:pPr>
      <m:oMath xmlns:mml="http://www.w3.org/1998/Math/MathML">
        <m:sSub>
          <m:e>
            <m:r>
              <m:t>α</m:t>
            </m:r>
          </m:e>
          <m:sub>
            <m:r>
              <m:t>t</m:t>
            </m:r>
          </m:sub>
        </m:sSub>
        <m:r>
          <m:t>=</m:t>
        </m:r>
        <m:sSub>
          <m:e>
            <m:r>
              <m:rPr>
                <m:sty m:val="p"/>
              </m:rPr>
              <m:t>clip</m:t>
            </m:r>
          </m:e>
          <m:sub>
            <m:r>
              <m:t>[0,1]</m:t>
            </m:r>
          </m:sub>
        </m:sSub>
        <m:r>
          <m:t>(</m:t>
        </m:r>
        <m:sSub>
          <m:e>
            <m:acc>
              <m:accPr>
                <m:chr m:val="̂"/>
              </m:accPr>
              <m:e>
                <m:r>
                  <m:t>α</m:t>
                </m:r>
              </m:e>
            </m:acc>
          </m:e>
          <m:sub>
            <m:r>
              <m:t>t</m:t>
            </m:r>
          </m:sub>
        </m:sSub>
        <m:r>
          <m:t>+Δ</m:t>
        </m:r>
        <m:sSub>
          <m:e>
            <m:r>
              <m:t>α</m:t>
            </m:r>
          </m:e>
          <m:sub>
            <m:r>
              <m:t>t</m:t>
            </m:r>
          </m:sub>
        </m:sSub>
        <m:r>
          <m:t>),</m:t>
        </m:r>
        <m:r>
          <m:t>Δ</m:t>
        </m:r>
        <m:sSub>
          <m:e>
            <m:r>
              <m:t>α</m:t>
            </m:r>
          </m:e>
          <m:sub>
            <m:r>
              <m:t>t</m:t>
            </m:r>
          </m:sub>
        </m:sSub>
        <m:r>
          <m:t>=0.1</m:t>
        </m:r>
        <m:r>
          <m:rPr>
            <m:sty m:val="p"/>
          </m:rPr>
          <m:t>tanh</m:t>
        </m:r>
        <m:r>
          <m:t>(</m:t>
        </m:r>
        <m:sSub>
          <m:e>
            <m:r>
              <m:t>z</m:t>
            </m:r>
          </m:e>
          <m:sub>
            <m:r>
              <m:t>t</m:t>
            </m:r>
          </m:sub>
        </m:sSub>
        <m:r>
          <m:t>)</m:t>
        </m:r>
      </m:oMath>
      <w:r>
        <w:rPr>
          <w:rFonts w:ascii="Times New Roman" w:hAnsi="Times New Roman"/>
          <w:sz w:val="22"/>
        </w:rPr>
        <w:t xml:space="preserve">        (3)</w:t>
      </w:r>
    </w:p>
    <w:p>
      <w:pPr>
        <w:spacing w:line="312" w:lineRule="auto" w:after="120"/>
        <w:jc w:val="both"/>
      </w:pPr>
      <w:r>
        <w:rPr>
          <w:rFonts w:ascii="Times New Roman" w:hAnsi="Times New Roman" w:eastAsia="Times New Roman"/>
          <w:b w:val="0"/>
          <w:i w:val="0"/>
          <w:color w:val="000000"/>
          <w:sz w:val="22"/>
        </w:rPr>
        <w:t>where zₜ is the head output and the final layer is zero-initialized, so Δα ≡ 0 before training. Training uses TD3 (twin critics, target smoothing, delayed policy updates) over closed-loop episodes with environment seeds disjoint from all evaluation seeds, warm-started with 2×10⁵ offline transitions collected under the supervised policy, with a behavior-regularization term penalizing deviation from the supervisor. The reward combines position and heading error, command magnitude and rate, saturation, deadline flags, and constraint violations; all weights are frozen in a manifest before training. The learner emits Δα only: it cannot command thrusters and cannot alter the MPC schedule or solver budget.</w:t>
      </w:r>
    </w:p>
    <w:p>
      <w:pPr>
        <w:spacing w:line="312" w:lineRule="auto" w:before="280" w:after="120"/>
      </w:pPr>
      <w:r>
        <w:rPr>
          <w:rFonts w:ascii="Times New Roman" w:hAnsi="Times New Roman" w:eastAsia="Times New Roman"/>
          <w:b/>
          <w:i w:val="0"/>
          <w:color w:val="000000"/>
          <w:sz w:val="26"/>
        </w:rPr>
        <w:t>5  Experimental Design</w:t>
      </w:r>
    </w:p>
    <w:p>
      <w:pPr>
        <w:spacing w:line="312" w:lineRule="auto" w:before="200" w:after="80"/>
      </w:pPr>
      <w:r>
        <w:rPr>
          <w:rFonts w:ascii="Times New Roman" w:hAnsi="Times New Roman" w:eastAsia="Times New Roman"/>
          <w:b/>
          <w:i w:val="0"/>
          <w:color w:val="000000"/>
          <w:sz w:val="23"/>
        </w:rPr>
        <w:t>5.1  Registered protocol</w:t>
      </w:r>
    </w:p>
    <w:p>
      <w:pPr>
        <w:spacing w:line="312" w:lineRule="auto" w:after="120"/>
        <w:jc w:val="both"/>
      </w:pPr>
      <w:r>
        <w:rPr>
          <w:rFonts w:ascii="Times New Roman" w:hAnsi="Times New Roman" w:eastAsia="Times New Roman"/>
          <w:b w:val="0"/>
          <w:i w:val="0"/>
          <w:color w:val="000000"/>
          <w:sz w:val="22"/>
        </w:rPr>
        <w:t>All comparisons, seed partitions, and acceptance criteria were fixed and archived before residual training began. The evaluation grid comprises 120 paired episodes: 85 in-distribution (60 structured-current episodes under 20 held-out environment seeds, plus 25 episodes from five training-range disturbance families) and 35 out-of-distribution with respect to disturbance-family sampling (five test-range families, plus a fast time-scale current family and an estimation-delay family with sensor lag and noise). Each episode is shared across all methods: the same vehicle, current, and reference realization under every method and seed.</w:t>
      </w:r>
    </w:p>
    <w:p>
      <w:pPr>
        <w:spacing w:line="312" w:lineRule="auto" w:before="200" w:after="80"/>
      </w:pPr>
      <w:r>
        <w:rPr>
          <w:rFonts w:ascii="Times New Roman" w:hAnsi="Times New Roman" w:eastAsia="Times New Roman"/>
          <w:b/>
          <w:i w:val="0"/>
          <w:color w:val="000000"/>
          <w:sz w:val="23"/>
        </w:rPr>
        <w:t>5.2  Methods and statistics</w:t>
      </w:r>
    </w:p>
    <w:p>
      <w:pPr>
        <w:spacing w:line="312" w:lineRule="auto" w:after="120"/>
        <w:jc w:val="both"/>
      </w:pPr>
      <w:r>
        <w:rPr>
          <w:rFonts w:ascii="Times New Roman" w:hAnsi="Times New Roman" w:eastAsia="Times New Roman"/>
          <w:b w:val="0"/>
          <w:i w:val="0"/>
          <w:color w:val="000000"/>
          <w:sz w:val="22"/>
        </w:rPr>
        <w:t>Eight methods are compared: the experts alone (SMC, MPC), a constant blend (Fixed α = 0.5), a non-learning adaptive baseline searching window-level bias schedules by coordinate descent (SSPO, a coordinate-search ablation rather than an external baseline), and the two PAC variants (supervised and residual) each instantiated with the same five frozen supervised seeds. Fixed methods contribute one combination each, giving 14 method-seed combinations and 1,680 rollouts (about 3.53 million control steps).</w:t>
      </w:r>
    </w:p>
    <w:p>
      <w:pPr>
        <w:spacing w:line="312" w:lineRule="auto" w:after="120"/>
        <w:jc w:val="both"/>
      </w:pPr>
      <w:r>
        <w:rPr>
          <w:rFonts w:ascii="Times New Roman" w:hAnsi="Times New Roman" w:eastAsia="Times New Roman"/>
          <w:b w:val="0"/>
          <w:i w:val="0"/>
          <w:color w:val="000000"/>
          <w:sz w:val="22"/>
        </w:rPr>
        <w:t>Primary inference is at the model-seed level: per-seed paired effects are summarized with a t-distribution interval with four degrees of freedom. As a supplementary check, episode-level bootstrap intervals (resampling the paired episodes with replacement, 10,000 resamples, generator seed 0) are reported for the headline contrasts. No comparisons beyond the registered set are subjected to significance claims, and no multiple-comparison correction is applied: the registered set is reported in full rather than selected from.</w:t>
      </w:r>
    </w:p>
    <w:p>
      <w:pPr>
        <w:spacing w:line="312" w:lineRule="auto" w:before="280" w:after="120"/>
      </w:pPr>
      <w:r>
        <w:rPr>
          <w:rFonts w:ascii="Times New Roman" w:hAnsi="Times New Roman" w:eastAsia="Times New Roman"/>
          <w:b/>
          <w:i w:val="0"/>
          <w:color w:val="000000"/>
          <w:sz w:val="26"/>
        </w:rPr>
        <w:t>6  Results</w:t>
      </w:r>
    </w:p>
    <w:p>
      <w:pPr>
        <w:spacing w:line="312" w:lineRule="auto" w:before="200" w:after="80"/>
      </w:pPr>
      <w:r>
        <w:rPr>
          <w:rFonts w:ascii="Times New Roman" w:hAnsi="Times New Roman" w:eastAsia="Times New Roman"/>
          <w:b/>
          <w:i w:val="0"/>
          <w:color w:val="000000"/>
          <w:sz w:val="23"/>
        </w:rPr>
        <w:t>6.1  Closed-loop tracking: how the vehicle actually moves</w:t>
      </w:r>
    </w:p>
    <w:p>
      <w:pPr>
        <w:spacing w:line="312" w:lineRule="auto" w:after="120"/>
        <w:jc w:val="both"/>
      </w:pPr>
      <w:r>
        <w:rPr>
          <w:rFonts w:ascii="Times New Roman" w:hAnsi="Times New Roman" w:eastAsia="Times New Roman"/>
          <w:b w:val="0"/>
          <w:i w:val="0"/>
          <w:color w:val="000000"/>
          <w:sz w:val="22"/>
        </w:rPr>
        <w:t>Figure 3 shows representative paired episodes—an in-distribution sinusoidal current and the out-of-distribution actuator-degradation episode—as three-dimensional paths, horizontal projections, and vertical error. In-distribution, all learning and blending methods follow the Lissajous reference closely; SMC lags with a visible offset. Under actuator degradation the character changes: the MPC expert alone distorts the horizontal loop and drifts in depth (0.886 m episode RMSE), the supervised policy inherits part of that failure (0.206 m), and the residual policy stays on the reference (0.088 m), slightly better than the never-adapting constant blend (0.124 m).</w:t>
      </w:r>
    </w:p>
    <w:p>
      <w:pPr>
        <w:keepNext/>
        <w:spacing w:before="160"/>
        <w:jc w:val="center"/>
      </w:pPr>
      <w:r>
        <w:drawing>
          <wp:inline xmlns:a="http://schemas.openxmlformats.org/drawingml/2006/main" xmlns:pic="http://schemas.openxmlformats.org/drawingml/2006/picture">
            <wp:extent cx="5760720" cy="5799373"/>
            <wp:docPr id="3" name="Picture 3"/>
            <wp:cNvGraphicFramePr>
              <a:graphicFrameLocks noChangeAspect="1"/>
            </wp:cNvGraphicFramePr>
            <a:graphic>
              <a:graphicData uri="http://schemas.openxmlformats.org/drawingml/2006/picture">
                <pic:pic>
                  <pic:nvPicPr>
                    <pic:cNvPr id="0" name="fig2_closed_loop_trajectories.png"/>
                    <pic:cNvPicPr/>
                  </pic:nvPicPr>
                  <pic:blipFill>
                    <a:blip r:embed="rId13"/>
                    <a:stretch>
                      <a:fillRect/>
                    </a:stretch>
                  </pic:blipFill>
                  <pic:spPr>
                    <a:xfrm>
                      <a:off x="0" y="0"/>
                      <a:ext cx="5760720" cy="5799373"/>
                    </a:xfrm>
                    <a:prstGeom prst="rect"/>
                  </pic:spPr>
                </pic:pic>
              </a:graphicData>
            </a:graphic>
          </wp:inline>
        </w:drawing>
      </w:r>
    </w:p>
    <w:p>
      <w:pPr>
        <w:spacing w:after="200"/>
        <w:jc w:val="both"/>
      </w:pPr>
      <w:r>
        <w:rPr>
          <w:rFonts w:ascii="Times New Roman" w:hAnsi="Times New Roman" w:eastAsia="Times New Roman"/>
          <w:b/>
          <w:i w:val="0"/>
          <w:color w:val="000000"/>
          <w:sz w:val="18"/>
        </w:rPr>
        <w:t xml:space="preserve">Figure 3. </w:t>
      </w:r>
      <w:r>
        <w:rPr>
          <w:rFonts w:ascii="Times New Roman" w:hAnsi="Times New Roman" w:eastAsia="Times New Roman"/>
          <w:b w:val="0"/>
          <w:i w:val="0"/>
          <w:color w:val="000000"/>
          <w:sz w:val="18"/>
        </w:rPr>
        <w:t>Representative closed-loop trajectories. Columns: in-distribution sinusoidal current and out-of-distribution actuator degradation (the lowest-numbered held-out seed of each block, fixed before inspection); both episodes are shared across methods and regenerated deterministically from the frozen checkpoints. Rows: three-dimensional path, horizontal projection, z-axis tracking error (dashed line, zero). The fixed blend is omitted for legibility; its values appear in Table 1.</w:t>
      </w:r>
    </w:p>
    <w:p>
      <w:pPr>
        <w:spacing w:line="312" w:lineRule="auto" w:after="120"/>
        <w:jc w:val="both"/>
      </w:pPr>
      <w:r>
        <w:rPr>
          <w:rFonts w:ascii="Times New Roman" w:hAnsi="Times New Roman" w:eastAsia="Times New Roman"/>
          <w:b w:val="0"/>
          <w:i w:val="0"/>
          <w:color w:val="000000"/>
          <w:sz w:val="22"/>
        </w:rPr>
        <w:t>Figure 4 resolves the same episodes in time. The position-error row shows the MPC divergence under degradation growing through the episode rather than spiking, consistent with a steadily wrong internal model rather than a transient. Heading error and pitch remain small for residual PAC in both regimes, while the degraded MPC episode carries visible attitude excursions. Table 1 aggregates the full grid.</w:t>
      </w:r>
    </w:p>
    <w:p>
      <w:pPr>
        <w:keepNext/>
        <w:spacing w:before="160"/>
        <w:jc w:val="center"/>
      </w:pPr>
      <w:r>
        <w:drawing>
          <wp:inline xmlns:a="http://schemas.openxmlformats.org/drawingml/2006/main" xmlns:pic="http://schemas.openxmlformats.org/drawingml/2006/picture">
            <wp:extent cx="5760720" cy="4575448"/>
            <wp:docPr id="4" name="Picture 4"/>
            <wp:cNvGraphicFramePr>
              <a:graphicFrameLocks noChangeAspect="1"/>
            </wp:cNvGraphicFramePr>
            <a:graphic>
              <a:graphicData uri="http://schemas.openxmlformats.org/drawingml/2006/picture">
                <pic:pic>
                  <pic:nvPicPr>
                    <pic:cNvPr id="0" name="fig3_error_attitude.png"/>
                    <pic:cNvPicPr/>
                  </pic:nvPicPr>
                  <pic:blipFill>
                    <a:blip r:embed="rId14"/>
                    <a:stretch>
                      <a:fillRect/>
                    </a:stretch>
                  </pic:blipFill>
                  <pic:spPr>
                    <a:xfrm>
                      <a:off x="0" y="0"/>
                      <a:ext cx="5760720" cy="4575448"/>
                    </a:xfrm>
                    <a:prstGeom prst="rect"/>
                  </pic:spPr>
                </pic:pic>
              </a:graphicData>
            </a:graphic>
          </wp:inline>
        </w:drawing>
      </w:r>
    </w:p>
    <w:p>
      <w:pPr>
        <w:spacing w:after="200"/>
        <w:jc w:val="both"/>
      </w:pPr>
      <w:r>
        <w:rPr>
          <w:rFonts w:ascii="Times New Roman" w:hAnsi="Times New Roman" w:eastAsia="Times New Roman"/>
          <w:b/>
          <w:i w:val="0"/>
          <w:color w:val="000000"/>
          <w:sz w:val="18"/>
        </w:rPr>
        <w:t xml:space="preserve">Figure 4. </w:t>
      </w:r>
      <w:r>
        <w:rPr>
          <w:rFonts w:ascii="Times New Roman" w:hAnsi="Times New Roman" w:eastAsia="Times New Roman"/>
          <w:b w:val="0"/>
          <w:i w:val="0"/>
          <w:color w:val="000000"/>
          <w:sz w:val="18"/>
        </w:rPr>
        <w:t>Time-resolved motion errors for the two episodes of Fig. 2. Rows: three-dimensional position error, absolute heading error, pitch angle. The MPC divergence under actuator degradation grows through the episode; residual PAC remains close to the reference in both regimes. Single episodes; block-level aggregates appear in Table 1 and Fig. 7.</w:t>
      </w:r>
    </w:p>
    <w:p>
      <w:pPr>
        <w:spacing w:line="312" w:lineRule="auto" w:after="120"/>
        <w:jc w:val="both"/>
      </w:pPr>
      <w:r>
        <w:rPr>
          <w:rFonts w:ascii="Times New Roman" w:hAnsi="Times New Roman" w:eastAsia="Times New Roman"/>
          <w:b w:val="0"/>
          <w:i w:val="0"/>
          <w:color w:val="000000"/>
          <w:sz w:val="22"/>
        </w:rPr>
        <w:t>Residual training is stable across seeds. Figure 5 shows the per-seed mean episode reward during phase 2, collected under exploration noise on the rotating training-family schedule; the trend therefore reflects the changing episode mix rather than greedy-policy performance, and no seed diverges. All five seeds yield policies with consistent closed-loop behavior in the registered evaluation (Fig. 6, Table 1), which is the performance measure of record.</w:t>
      </w:r>
    </w:p>
    <w:p>
      <w:pPr>
        <w:keepNext/>
        <w:spacing w:before="160"/>
        <w:jc w:val="center"/>
      </w:pPr>
      <w:r>
        <w:drawing>
          <wp:inline xmlns:a="http://schemas.openxmlformats.org/drawingml/2006/main" xmlns:pic="http://schemas.openxmlformats.org/drawingml/2006/picture">
            <wp:extent cx="5760720" cy="1925615"/>
            <wp:docPr id="5" name="Picture 5"/>
            <wp:cNvGraphicFramePr>
              <a:graphicFrameLocks noChangeAspect="1"/>
            </wp:cNvGraphicFramePr>
            <a:graphic>
              <a:graphicData uri="http://schemas.openxmlformats.org/drawingml/2006/picture">
                <pic:pic>
                  <pic:nvPicPr>
                    <pic:cNvPr id="0" name="fig_training_curves.png"/>
                    <pic:cNvPicPr/>
                  </pic:nvPicPr>
                  <pic:blipFill>
                    <a:blip r:embed="rId15"/>
                    <a:stretch>
                      <a:fillRect/>
                    </a:stretch>
                  </pic:blipFill>
                  <pic:spPr>
                    <a:xfrm>
                      <a:off x="0" y="0"/>
                      <a:ext cx="5760720" cy="1925615"/>
                    </a:xfrm>
                    <a:prstGeom prst="rect"/>
                  </pic:spPr>
                </pic:pic>
              </a:graphicData>
            </a:graphic>
          </wp:inline>
        </w:drawing>
      </w:r>
    </w:p>
    <w:p>
      <w:pPr>
        <w:spacing w:after="200"/>
        <w:jc w:val="both"/>
      </w:pPr>
      <w:r>
        <w:rPr>
          <w:rFonts w:ascii="Times New Roman" w:hAnsi="Times New Roman" w:eastAsia="Times New Roman"/>
          <w:b w:val="0"/>
          <w:i w:val="0"/>
          <w:color w:val="000000"/>
          <w:sz w:val="22"/>
        </w:rPr>
        <w:t xml:space="preserve">Figure 5. Residual training across the five model seeds. (a) Episode reward, (b) critic loss, (c) actor loss. Thin lines: per-seed values; bold line and shaded band: five-seed mean </w:t>
      </w:r>
      <m:oMath xmlns:mml="http://www.w3.org/1998/Math/MathML">
        <m:r>
          <m:t>±</m:t>
        </m:r>
      </m:oMath>
      <w:r>
        <w:rPr>
          <w:rFonts w:ascii="Times New Roman" w:hAnsi="Times New Roman" w:eastAsia="Times New Roman"/>
          <w:b w:val="0"/>
          <w:i w:val="0"/>
          <w:color w:val="000000"/>
          <w:sz w:val="22"/>
        </w:rPr>
        <w:t xml:space="preserve"> 1 sd. All metrics are collected under exploration noise on the rotating training-family schedule, so trends reflect the changing episode mix rather than greedy-policy performance; no seed diverges. The losses are regressions onto a moving TD target that is recomputed from tracking networks at every update, so their magnitudes track the growing value scale of that target rather than divergence; the actor loss is dominated by the negative action value, whose scale inflates with the critic. Greedy closed-loop performance is the registered evaluation of Fig. 6 and Table 1.</w:t>
      </w:r>
    </w:p>
    <w:p>
      <w:pPr>
        <w:keepNext/>
        <w:spacing w:before="160"/>
        <w:jc w:val="both"/>
      </w:pPr>
      <w:r>
        <w:rPr>
          <w:rFonts w:ascii="Times New Roman" w:hAnsi="Times New Roman" w:eastAsia="Times New Roman"/>
          <w:b/>
          <w:i w:val="0"/>
          <w:color w:val="000000"/>
          <w:sz w:val="18"/>
        </w:rPr>
        <w:t xml:space="preserve">Table 1. </w:t>
      </w:r>
      <w:r>
        <w:rPr>
          <w:rFonts w:ascii="Times New Roman" w:hAnsi="Times New Roman" w:eastAsia="Times New Roman"/>
          <w:b/>
          <w:i w:val="0"/>
          <w:color w:val="000000"/>
          <w:sz w:val="18"/>
        </w:rPr>
        <w:t>Paired evaluation over 120 episodes per method-seed combination (means over five model seeds for learned methods; ID, in-distribution; OOD, out-of-distribution with respect to disturbance-family sampling). Five-seed dispersion is reported as confidence intervals in Fig. 6a.</w:t>
      </w:r>
    </w:p>
    <w:tbl>
      <w:tblPr>
        <w:tblStyle w:val="TableGrid"/>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rPr>
          <w:tblHeader/>
        </w:trPr>
        <w:tc>
          <w:tcPr>
            <w:tcW w:type="dxa" w:w="1944"/>
            <w:shd w:val="clear" w:fill="F2F2F2"/>
          </w:tcPr>
          <w:p>
            <w:pPr>
              <w:spacing w:line="276" w:lineRule="auto"/>
              <w:jc w:val="center"/>
            </w:pPr>
            <w:r>
              <w:rPr>
                <w:rFonts w:ascii="Times New Roman" w:hAnsi="Times New Roman" w:eastAsia="Times New Roman"/>
                <w:b/>
                <w:i w:val="0"/>
                <w:color w:val="000000"/>
                <w:sz w:val="17"/>
              </w:rPr>
              <w:t>Method</w:t>
            </w:r>
          </w:p>
        </w:tc>
        <w:tc>
          <w:tcPr>
            <w:tcW w:type="dxa" w:w="1368"/>
            <w:shd w:val="clear" w:fill="F2F2F2"/>
          </w:tcPr>
          <w:p>
            <w:pPr>
              <w:spacing w:line="276" w:lineRule="auto"/>
              <w:jc w:val="center"/>
            </w:pPr>
            <w:r>
              <w:rPr>
                <w:rFonts w:ascii="Times New Roman" w:hAnsi="Times New Roman" w:eastAsia="Times New Roman"/>
                <w:b/>
                <w:i w:val="0"/>
                <w:color w:val="000000"/>
                <w:sz w:val="17"/>
              </w:rPr>
              <w:t>ID RMSE (m)</w:t>
            </w:r>
          </w:p>
        </w:tc>
        <w:tc>
          <w:tcPr>
            <w:tcW w:type="dxa" w:w="1368"/>
            <w:shd w:val="clear" w:fill="F2F2F2"/>
          </w:tcPr>
          <w:p>
            <w:pPr>
              <w:spacing w:line="276" w:lineRule="auto"/>
              <w:jc w:val="center"/>
            </w:pPr>
            <w:r>
              <w:rPr>
                <w:rFonts w:ascii="Times New Roman" w:hAnsi="Times New Roman" w:eastAsia="Times New Roman"/>
                <w:b/>
                <w:i w:val="0"/>
                <w:color w:val="000000"/>
                <w:sz w:val="17"/>
              </w:rPr>
              <w:t>OOD RMSE (m)</w:t>
            </w:r>
          </w:p>
        </w:tc>
        <w:tc>
          <w:tcPr>
            <w:tcW w:type="dxa" w:w="1440"/>
            <w:shd w:val="clear" w:fill="F2F2F2"/>
          </w:tcPr>
          <w:p>
            <w:pPr>
              <w:spacing w:line="276" w:lineRule="auto"/>
              <w:jc w:val="center"/>
            </w:pPr>
            <w:r>
              <w:rPr>
                <w:rFonts w:ascii="Times New Roman" w:hAnsi="Times New Roman" w:eastAsia="Times New Roman"/>
                <w:b/>
                <w:i w:val="0"/>
                <w:color w:val="000000"/>
                <w:sz w:val="17"/>
              </w:rPr>
              <w:t>OOD max err (m)</w:t>
            </w:r>
          </w:p>
        </w:tc>
        <w:tc>
          <w:tcPr>
            <w:tcW w:type="dxa" w:w="1368"/>
            <w:shd w:val="clear" w:fill="F2F2F2"/>
          </w:tcPr>
          <w:p>
            <w:pPr>
              <w:spacing w:line="276" w:lineRule="auto"/>
              <w:jc w:val="center"/>
            </w:pPr>
            <w:r>
              <w:rPr>
                <w:rFonts w:ascii="Times New Roman" w:hAnsi="Times New Roman" w:eastAsia="Times New Roman"/>
                <w:b/>
                <w:i w:val="0"/>
                <w:color w:val="000000"/>
                <w:sz w:val="17"/>
              </w:rPr>
              <w:t>OOD heading (°)</w:t>
            </w:r>
          </w:p>
        </w:tc>
        <w:tc>
          <w:tcPr>
            <w:tcW w:type="dxa" w:w="1440"/>
            <w:shd w:val="clear" w:fill="F2F2F2"/>
          </w:tcPr>
          <w:p>
            <w:pPr>
              <w:spacing w:line="276" w:lineRule="auto"/>
              <w:jc w:val="center"/>
            </w:pPr>
            <w:r>
              <w:rPr>
                <w:rFonts w:ascii="Times New Roman" w:hAnsi="Times New Roman" w:eastAsia="Times New Roman"/>
                <w:b/>
                <w:i w:val="0"/>
                <w:color w:val="000000"/>
                <w:sz w:val="17"/>
              </w:rPr>
              <w:t>OOD deadline miss</w:t>
            </w:r>
          </w:p>
        </w:tc>
        <w:tc>
          <w:tcPr>
            <w:tcW w:type="dxa" w:w="1224"/>
            <w:shd w:val="clear" w:fill="F2F2F2"/>
          </w:tcPr>
          <w:p>
            <w:pPr>
              <w:spacing w:line="276" w:lineRule="auto"/>
              <w:jc w:val="center"/>
            </w:pPr>
            <w:r>
              <w:rPr>
                <w:rFonts w:ascii="Times New Roman" w:hAnsi="Times New Roman" w:eastAsia="Times New Roman"/>
                <w:b/>
                <w:i w:val="0"/>
                <w:color w:val="000000"/>
                <w:sz w:val="17"/>
              </w:rPr>
              <w:t>OOD mean α</w:t>
            </w:r>
          </w:p>
        </w:tc>
      </w:tr>
      <w:tr>
        <w:tc>
          <w:tcPr>
            <w:tcW w:type="dxa" w:w="1944"/>
          </w:tcPr>
          <w:p>
            <w:pPr>
              <w:spacing w:line="276" w:lineRule="auto"/>
              <w:jc w:val="left"/>
            </w:pPr>
            <w:r>
              <w:rPr>
                <w:rFonts w:ascii="Times New Roman" w:hAnsi="Times New Roman" w:eastAsia="Times New Roman"/>
                <w:b w:val="0"/>
                <w:i w:val="0"/>
                <w:color w:val="000000"/>
                <w:sz w:val="17"/>
              </w:rPr>
              <w:t>SMC</w:t>
            </w:r>
          </w:p>
        </w:tc>
        <w:tc>
          <w:tcPr>
            <w:tcW w:type="dxa" w:w="1368"/>
          </w:tcPr>
          <w:p>
            <w:pPr>
              <w:spacing w:line="276" w:lineRule="auto"/>
              <w:jc w:val="center"/>
            </w:pPr>
            <w:r>
              <w:rPr>
                <w:rFonts w:ascii="Times New Roman" w:hAnsi="Times New Roman" w:eastAsia="Times New Roman"/>
                <w:b w:val="0"/>
                <w:i w:val="0"/>
                <w:color w:val="000000"/>
                <w:sz w:val="17"/>
              </w:rPr>
              <w:t>0.162</w:t>
            </w:r>
          </w:p>
        </w:tc>
        <w:tc>
          <w:tcPr>
            <w:tcW w:type="dxa" w:w="1368"/>
          </w:tcPr>
          <w:p>
            <w:pPr>
              <w:spacing w:line="276" w:lineRule="auto"/>
              <w:jc w:val="center"/>
            </w:pPr>
            <w:r>
              <w:rPr>
                <w:rFonts w:ascii="Times New Roman" w:hAnsi="Times New Roman" w:eastAsia="Times New Roman"/>
                <w:b w:val="0"/>
                <w:i w:val="0"/>
                <w:color w:val="000000"/>
                <w:sz w:val="17"/>
              </w:rPr>
              <w:t>0.248</w:t>
            </w:r>
          </w:p>
        </w:tc>
        <w:tc>
          <w:tcPr>
            <w:tcW w:type="dxa" w:w="1440"/>
          </w:tcPr>
          <w:p>
            <w:pPr>
              <w:spacing w:line="276" w:lineRule="auto"/>
              <w:jc w:val="center"/>
            </w:pPr>
            <w:r>
              <w:rPr>
                <w:rFonts w:ascii="Times New Roman" w:hAnsi="Times New Roman" w:eastAsia="Times New Roman"/>
                <w:b w:val="0"/>
                <w:i w:val="0"/>
                <w:color w:val="000000"/>
                <w:sz w:val="17"/>
              </w:rPr>
              <w:t>0.601</w:t>
            </w:r>
          </w:p>
        </w:tc>
        <w:tc>
          <w:tcPr>
            <w:tcW w:type="dxa" w:w="1368"/>
          </w:tcPr>
          <w:p>
            <w:pPr>
              <w:spacing w:line="276" w:lineRule="auto"/>
              <w:jc w:val="center"/>
            </w:pPr>
            <w:r>
              <w:rPr>
                <w:rFonts w:ascii="Times New Roman" w:hAnsi="Times New Roman" w:eastAsia="Times New Roman"/>
                <w:b w:val="0"/>
                <w:i w:val="0"/>
                <w:color w:val="000000"/>
                <w:sz w:val="17"/>
              </w:rPr>
              <w:t>10.65</w:t>
            </w:r>
          </w:p>
        </w:tc>
        <w:tc>
          <w:tcPr>
            <w:tcW w:type="dxa" w:w="1440"/>
          </w:tcPr>
          <w:p>
            <w:pPr>
              <w:spacing w:line="276" w:lineRule="auto"/>
              <w:jc w:val="center"/>
            </w:pPr>
            <w:r>
              <w:rPr>
                <w:rFonts w:ascii="Times New Roman" w:hAnsi="Times New Roman" w:eastAsia="Times New Roman"/>
                <w:b w:val="0"/>
                <w:i w:val="0"/>
                <w:color w:val="000000"/>
                <w:sz w:val="17"/>
              </w:rPr>
              <w:t>0.69</w:t>
            </w:r>
          </w:p>
        </w:tc>
        <w:tc>
          <w:tcPr>
            <w:tcW w:type="dxa" w:w="1224"/>
          </w:tcPr>
          <w:p>
            <w:pPr>
              <w:spacing w:line="276" w:lineRule="auto"/>
              <w:jc w:val="center"/>
            </w:pPr>
            <w:r>
              <w:rPr>
                <w:rFonts w:ascii="Times New Roman" w:hAnsi="Times New Roman" w:eastAsia="Times New Roman"/>
                <w:b w:val="0"/>
                <w:i w:val="0"/>
                <w:color w:val="000000"/>
                <w:sz w:val="17"/>
              </w:rPr>
              <w:t>0.00</w:t>
            </w:r>
          </w:p>
        </w:tc>
      </w:tr>
      <w:tr>
        <w:tc>
          <w:tcPr>
            <w:tcW w:type="dxa" w:w="1944"/>
          </w:tcPr>
          <w:p>
            <w:pPr>
              <w:spacing w:line="276" w:lineRule="auto"/>
              <w:jc w:val="left"/>
            </w:pPr>
            <w:r>
              <w:rPr>
                <w:rFonts w:ascii="Times New Roman" w:hAnsi="Times New Roman" w:eastAsia="Times New Roman"/>
                <w:b w:val="0"/>
                <w:i w:val="0"/>
                <w:color w:val="000000"/>
                <w:sz w:val="17"/>
              </w:rPr>
              <w:t>MPC</w:t>
            </w:r>
          </w:p>
        </w:tc>
        <w:tc>
          <w:tcPr>
            <w:tcW w:type="dxa" w:w="1368"/>
          </w:tcPr>
          <w:p>
            <w:pPr>
              <w:spacing w:line="276" w:lineRule="auto"/>
              <w:jc w:val="center"/>
            </w:pPr>
            <w:r>
              <w:rPr>
                <w:rFonts w:ascii="Times New Roman" w:hAnsi="Times New Roman" w:eastAsia="Times New Roman"/>
                <w:b w:val="0"/>
                <w:i w:val="0"/>
                <w:color w:val="000000"/>
                <w:sz w:val="17"/>
              </w:rPr>
              <w:t>0.071</w:t>
            </w:r>
          </w:p>
        </w:tc>
        <w:tc>
          <w:tcPr>
            <w:tcW w:type="dxa" w:w="1368"/>
          </w:tcPr>
          <w:p>
            <w:pPr>
              <w:spacing w:line="276" w:lineRule="auto"/>
              <w:jc w:val="center"/>
            </w:pPr>
            <w:r>
              <w:rPr>
                <w:rFonts w:ascii="Times New Roman" w:hAnsi="Times New Roman" w:eastAsia="Times New Roman"/>
                <w:b w:val="0"/>
                <w:i w:val="0"/>
                <w:color w:val="000000"/>
                <w:sz w:val="17"/>
              </w:rPr>
              <w:t>0.221</w:t>
            </w:r>
          </w:p>
        </w:tc>
        <w:tc>
          <w:tcPr>
            <w:tcW w:type="dxa" w:w="1440"/>
          </w:tcPr>
          <w:p>
            <w:pPr>
              <w:spacing w:line="276" w:lineRule="auto"/>
              <w:jc w:val="center"/>
            </w:pPr>
            <w:r>
              <w:rPr>
                <w:rFonts w:ascii="Times New Roman" w:hAnsi="Times New Roman" w:eastAsia="Times New Roman"/>
                <w:b w:val="0"/>
                <w:i w:val="0"/>
                <w:color w:val="000000"/>
                <w:sz w:val="17"/>
              </w:rPr>
              <w:t>0.575</w:t>
            </w:r>
          </w:p>
        </w:tc>
        <w:tc>
          <w:tcPr>
            <w:tcW w:type="dxa" w:w="1368"/>
          </w:tcPr>
          <w:p>
            <w:pPr>
              <w:spacing w:line="276" w:lineRule="auto"/>
              <w:jc w:val="center"/>
            </w:pPr>
            <w:r>
              <w:rPr>
                <w:rFonts w:ascii="Times New Roman" w:hAnsi="Times New Roman" w:eastAsia="Times New Roman"/>
                <w:b w:val="0"/>
                <w:i w:val="0"/>
                <w:color w:val="000000"/>
                <w:sz w:val="17"/>
              </w:rPr>
              <w:t>9.46</w:t>
            </w:r>
          </w:p>
        </w:tc>
        <w:tc>
          <w:tcPr>
            <w:tcW w:type="dxa" w:w="1440"/>
          </w:tcPr>
          <w:p>
            <w:pPr>
              <w:spacing w:line="276" w:lineRule="auto"/>
              <w:jc w:val="center"/>
            </w:pPr>
            <w:r>
              <w:rPr>
                <w:rFonts w:ascii="Times New Roman" w:hAnsi="Times New Roman" w:eastAsia="Times New Roman"/>
                <w:b w:val="0"/>
                <w:i w:val="0"/>
                <w:color w:val="000000"/>
                <w:sz w:val="17"/>
              </w:rPr>
              <w:t>0.69</w:t>
            </w:r>
          </w:p>
        </w:tc>
        <w:tc>
          <w:tcPr>
            <w:tcW w:type="dxa" w:w="1224"/>
          </w:tcPr>
          <w:p>
            <w:pPr>
              <w:spacing w:line="276" w:lineRule="auto"/>
              <w:jc w:val="center"/>
            </w:pPr>
            <w:r>
              <w:rPr>
                <w:rFonts w:ascii="Times New Roman" w:hAnsi="Times New Roman" w:eastAsia="Times New Roman"/>
                <w:b w:val="0"/>
                <w:i w:val="0"/>
                <w:color w:val="000000"/>
                <w:sz w:val="17"/>
              </w:rPr>
              <w:t>1.00</w:t>
            </w:r>
          </w:p>
        </w:tc>
      </w:tr>
      <w:tr>
        <w:tc>
          <w:tcPr>
            <w:tcW w:type="dxa" w:w="1944"/>
          </w:tcPr>
          <w:p>
            <w:pPr>
              <w:spacing w:line="276" w:lineRule="auto"/>
              <w:jc w:val="left"/>
            </w:pPr>
            <w:r>
              <w:rPr>
                <w:rFonts w:ascii="Times New Roman" w:hAnsi="Times New Roman" w:eastAsia="Times New Roman"/>
                <w:b w:val="0"/>
                <w:i w:val="0"/>
                <w:color w:val="000000"/>
                <w:sz w:val="17"/>
              </w:rPr>
              <w:t>Fixed α = 0.5</w:t>
            </w:r>
          </w:p>
        </w:tc>
        <w:tc>
          <w:tcPr>
            <w:tcW w:type="dxa" w:w="1368"/>
          </w:tcPr>
          <w:p>
            <w:pPr>
              <w:spacing w:line="276" w:lineRule="auto"/>
              <w:jc w:val="center"/>
            </w:pPr>
            <w:r>
              <w:rPr>
                <w:rFonts w:ascii="Times New Roman" w:hAnsi="Times New Roman" w:eastAsia="Times New Roman"/>
                <w:b w:val="0"/>
                <w:i w:val="0"/>
                <w:color w:val="000000"/>
                <w:sz w:val="17"/>
              </w:rPr>
              <w:t>0.066</w:t>
            </w:r>
          </w:p>
        </w:tc>
        <w:tc>
          <w:tcPr>
            <w:tcW w:type="dxa" w:w="1368"/>
          </w:tcPr>
          <w:p>
            <w:pPr>
              <w:spacing w:line="276" w:lineRule="auto"/>
              <w:jc w:val="center"/>
            </w:pPr>
            <w:r>
              <w:rPr>
                <w:rFonts w:ascii="Times New Roman" w:hAnsi="Times New Roman" w:eastAsia="Times New Roman"/>
                <w:b w:val="0"/>
                <w:i w:val="0"/>
                <w:color w:val="000000"/>
                <w:sz w:val="17"/>
              </w:rPr>
              <w:t>0.120</w:t>
            </w:r>
          </w:p>
        </w:tc>
        <w:tc>
          <w:tcPr>
            <w:tcW w:type="dxa" w:w="1440"/>
          </w:tcPr>
          <w:p>
            <w:pPr>
              <w:spacing w:line="276" w:lineRule="auto"/>
              <w:jc w:val="center"/>
            </w:pPr>
            <w:r>
              <w:rPr>
                <w:rFonts w:ascii="Times New Roman" w:hAnsi="Times New Roman" w:eastAsia="Times New Roman"/>
                <w:b w:val="0"/>
                <w:i w:val="0"/>
                <w:color w:val="000000"/>
                <w:sz w:val="17"/>
              </w:rPr>
              <w:t>0.412</w:t>
            </w:r>
          </w:p>
        </w:tc>
        <w:tc>
          <w:tcPr>
            <w:tcW w:type="dxa" w:w="1368"/>
          </w:tcPr>
          <w:p>
            <w:pPr>
              <w:spacing w:line="276" w:lineRule="auto"/>
              <w:jc w:val="center"/>
            </w:pPr>
            <w:r>
              <w:rPr>
                <w:rFonts w:ascii="Times New Roman" w:hAnsi="Times New Roman" w:eastAsia="Times New Roman"/>
                <w:b w:val="0"/>
                <w:i w:val="0"/>
                <w:color w:val="000000"/>
                <w:sz w:val="17"/>
              </w:rPr>
              <w:t>8.66</w:t>
            </w:r>
          </w:p>
        </w:tc>
        <w:tc>
          <w:tcPr>
            <w:tcW w:type="dxa" w:w="1440"/>
          </w:tcPr>
          <w:p>
            <w:pPr>
              <w:spacing w:line="276" w:lineRule="auto"/>
              <w:jc w:val="center"/>
            </w:pPr>
            <w:r>
              <w:rPr>
                <w:rFonts w:ascii="Times New Roman" w:hAnsi="Times New Roman" w:eastAsia="Times New Roman"/>
                <w:b w:val="0"/>
                <w:i w:val="0"/>
                <w:color w:val="000000"/>
                <w:sz w:val="17"/>
              </w:rPr>
              <w:t>0.69</w:t>
            </w:r>
          </w:p>
        </w:tc>
        <w:tc>
          <w:tcPr>
            <w:tcW w:type="dxa" w:w="1224"/>
          </w:tcPr>
          <w:p>
            <w:pPr>
              <w:spacing w:line="276" w:lineRule="auto"/>
              <w:jc w:val="center"/>
            </w:pPr>
            <w:r>
              <w:rPr>
                <w:rFonts w:ascii="Times New Roman" w:hAnsi="Times New Roman" w:eastAsia="Times New Roman"/>
                <w:b w:val="0"/>
                <w:i w:val="0"/>
                <w:color w:val="000000"/>
                <w:sz w:val="17"/>
              </w:rPr>
              <w:t>0.59</w:t>
            </w:r>
          </w:p>
        </w:tc>
      </w:tr>
      <w:tr>
        <w:tc>
          <w:tcPr>
            <w:tcW w:type="dxa" w:w="1944"/>
          </w:tcPr>
          <w:p>
            <w:pPr>
              <w:spacing w:line="276" w:lineRule="auto"/>
              <w:jc w:val="left"/>
            </w:pPr>
            <w:r>
              <w:rPr>
                <w:rFonts w:ascii="Times New Roman" w:hAnsi="Times New Roman" w:eastAsia="Times New Roman"/>
                <w:b w:val="0"/>
                <w:i w:val="0"/>
                <w:color w:val="000000"/>
                <w:sz w:val="17"/>
              </w:rPr>
              <w:t>SSPO</w:t>
            </w:r>
          </w:p>
        </w:tc>
        <w:tc>
          <w:tcPr>
            <w:tcW w:type="dxa" w:w="1368"/>
          </w:tcPr>
          <w:p>
            <w:pPr>
              <w:spacing w:line="276" w:lineRule="auto"/>
              <w:jc w:val="center"/>
            </w:pPr>
            <w:r>
              <w:rPr>
                <w:rFonts w:ascii="Times New Roman" w:hAnsi="Times New Roman" w:eastAsia="Times New Roman"/>
                <w:b w:val="0"/>
                <w:i w:val="0"/>
                <w:color w:val="000000"/>
                <w:sz w:val="17"/>
              </w:rPr>
              <w:t>0.062</w:t>
            </w:r>
          </w:p>
        </w:tc>
        <w:tc>
          <w:tcPr>
            <w:tcW w:type="dxa" w:w="1368"/>
          </w:tcPr>
          <w:p>
            <w:pPr>
              <w:spacing w:line="276" w:lineRule="auto"/>
              <w:jc w:val="center"/>
            </w:pPr>
            <w:r>
              <w:rPr>
                <w:rFonts w:ascii="Times New Roman" w:hAnsi="Times New Roman" w:eastAsia="Times New Roman"/>
                <w:b w:val="0"/>
                <w:i w:val="0"/>
                <w:color w:val="000000"/>
                <w:sz w:val="17"/>
              </w:rPr>
              <w:t>0.136</w:t>
            </w:r>
          </w:p>
        </w:tc>
        <w:tc>
          <w:tcPr>
            <w:tcW w:type="dxa" w:w="1440"/>
          </w:tcPr>
          <w:p>
            <w:pPr>
              <w:spacing w:line="276" w:lineRule="auto"/>
              <w:jc w:val="center"/>
            </w:pPr>
            <w:r>
              <w:rPr>
                <w:rFonts w:ascii="Times New Roman" w:hAnsi="Times New Roman" w:eastAsia="Times New Roman"/>
                <w:b w:val="0"/>
                <w:i w:val="0"/>
                <w:color w:val="000000"/>
                <w:sz w:val="17"/>
              </w:rPr>
              <w:t>0.448</w:t>
            </w:r>
          </w:p>
        </w:tc>
        <w:tc>
          <w:tcPr>
            <w:tcW w:type="dxa" w:w="1368"/>
          </w:tcPr>
          <w:p>
            <w:pPr>
              <w:spacing w:line="276" w:lineRule="auto"/>
              <w:jc w:val="center"/>
            </w:pPr>
            <w:r>
              <w:rPr>
                <w:rFonts w:ascii="Times New Roman" w:hAnsi="Times New Roman" w:eastAsia="Times New Roman"/>
                <w:b w:val="0"/>
                <w:i w:val="0"/>
                <w:color w:val="000000"/>
                <w:sz w:val="17"/>
              </w:rPr>
              <w:t>9.11</w:t>
            </w:r>
          </w:p>
        </w:tc>
        <w:tc>
          <w:tcPr>
            <w:tcW w:type="dxa" w:w="1440"/>
          </w:tcPr>
          <w:p>
            <w:pPr>
              <w:spacing w:line="276" w:lineRule="auto"/>
              <w:jc w:val="center"/>
            </w:pPr>
            <w:r>
              <w:rPr>
                <w:rFonts w:ascii="Times New Roman" w:hAnsi="Times New Roman" w:eastAsia="Times New Roman"/>
                <w:b w:val="0"/>
                <w:i w:val="0"/>
                <w:color w:val="000000"/>
                <w:sz w:val="17"/>
              </w:rPr>
              <w:t>0.69</w:t>
            </w:r>
          </w:p>
        </w:tc>
        <w:tc>
          <w:tcPr>
            <w:tcW w:type="dxa" w:w="1224"/>
          </w:tcPr>
          <w:p>
            <w:pPr>
              <w:spacing w:line="276" w:lineRule="auto"/>
              <w:jc w:val="center"/>
            </w:pPr>
            <w:r>
              <w:rPr>
                <w:rFonts w:ascii="Times New Roman" w:hAnsi="Times New Roman" w:eastAsia="Times New Roman"/>
                <w:b w:val="0"/>
                <w:i w:val="0"/>
                <w:color w:val="000000"/>
                <w:sz w:val="17"/>
              </w:rPr>
              <w:t>0.87</w:t>
            </w:r>
          </w:p>
        </w:tc>
      </w:tr>
      <w:tr>
        <w:tc>
          <w:tcPr>
            <w:tcW w:type="dxa" w:w="1944"/>
          </w:tcPr>
          <w:p>
            <w:pPr>
              <w:spacing w:line="276" w:lineRule="auto"/>
              <w:jc w:val="left"/>
            </w:pPr>
            <w:r>
              <w:rPr>
                <w:rFonts w:ascii="Times New Roman" w:hAnsi="Times New Roman" w:eastAsia="Times New Roman"/>
                <w:b w:val="0"/>
                <w:i w:val="0"/>
                <w:color w:val="000000"/>
                <w:sz w:val="17"/>
              </w:rPr>
              <w:t>Supervised PAC</w:t>
            </w:r>
          </w:p>
        </w:tc>
        <w:tc>
          <w:tcPr>
            <w:tcW w:type="dxa" w:w="1368"/>
          </w:tcPr>
          <w:p>
            <w:pPr>
              <w:spacing w:line="276" w:lineRule="auto"/>
              <w:jc w:val="center"/>
            </w:pPr>
            <w:r>
              <w:rPr>
                <w:rFonts w:ascii="Times New Roman" w:hAnsi="Times New Roman" w:eastAsia="Times New Roman"/>
                <w:b w:val="0"/>
                <w:i w:val="0"/>
                <w:color w:val="000000"/>
                <w:sz w:val="17"/>
              </w:rPr>
              <w:t>0.064</w:t>
            </w:r>
          </w:p>
        </w:tc>
        <w:tc>
          <w:tcPr>
            <w:tcW w:type="dxa" w:w="1368"/>
          </w:tcPr>
          <w:p>
            <w:pPr>
              <w:spacing w:line="276" w:lineRule="auto"/>
              <w:jc w:val="center"/>
            </w:pPr>
            <w:r>
              <w:rPr>
                <w:rFonts w:ascii="Times New Roman" w:hAnsi="Times New Roman" w:eastAsia="Times New Roman"/>
                <w:b w:val="0"/>
                <w:i w:val="0"/>
                <w:color w:val="000000"/>
                <w:sz w:val="17"/>
              </w:rPr>
              <w:t>0.160</w:t>
            </w:r>
          </w:p>
        </w:tc>
        <w:tc>
          <w:tcPr>
            <w:tcW w:type="dxa" w:w="1440"/>
          </w:tcPr>
          <w:p>
            <w:pPr>
              <w:spacing w:line="276" w:lineRule="auto"/>
              <w:jc w:val="center"/>
            </w:pPr>
            <w:r>
              <w:rPr>
                <w:rFonts w:ascii="Times New Roman" w:hAnsi="Times New Roman" w:eastAsia="Times New Roman"/>
                <w:b w:val="0"/>
                <w:i w:val="0"/>
                <w:color w:val="000000"/>
                <w:sz w:val="17"/>
              </w:rPr>
              <w:t>0.495</w:t>
            </w:r>
          </w:p>
        </w:tc>
        <w:tc>
          <w:tcPr>
            <w:tcW w:type="dxa" w:w="1368"/>
          </w:tcPr>
          <w:p>
            <w:pPr>
              <w:spacing w:line="276" w:lineRule="auto"/>
              <w:jc w:val="center"/>
            </w:pPr>
            <w:r>
              <w:rPr>
                <w:rFonts w:ascii="Times New Roman" w:hAnsi="Times New Roman" w:eastAsia="Times New Roman"/>
                <w:b w:val="0"/>
                <w:i w:val="0"/>
                <w:color w:val="000000"/>
                <w:sz w:val="17"/>
              </w:rPr>
              <w:t>9.20</w:t>
            </w:r>
          </w:p>
        </w:tc>
        <w:tc>
          <w:tcPr>
            <w:tcW w:type="dxa" w:w="1440"/>
          </w:tcPr>
          <w:p>
            <w:pPr>
              <w:spacing w:line="276" w:lineRule="auto"/>
              <w:jc w:val="center"/>
            </w:pPr>
            <w:r>
              <w:rPr>
                <w:rFonts w:ascii="Times New Roman" w:hAnsi="Times New Roman" w:eastAsia="Times New Roman"/>
                <w:b w:val="0"/>
                <w:i w:val="0"/>
                <w:color w:val="000000"/>
                <w:sz w:val="17"/>
              </w:rPr>
              <w:t>0.69</w:t>
            </w:r>
          </w:p>
        </w:tc>
        <w:tc>
          <w:tcPr>
            <w:tcW w:type="dxa" w:w="1224"/>
          </w:tcPr>
          <w:p>
            <w:pPr>
              <w:spacing w:line="276" w:lineRule="auto"/>
              <w:jc w:val="center"/>
            </w:pPr>
            <w:r>
              <w:rPr>
                <w:rFonts w:ascii="Times New Roman" w:hAnsi="Times New Roman" w:eastAsia="Times New Roman"/>
                <w:b w:val="0"/>
                <w:i w:val="0"/>
                <w:color w:val="000000"/>
                <w:sz w:val="17"/>
              </w:rPr>
              <w:t>0.82</w:t>
            </w:r>
          </w:p>
        </w:tc>
      </w:tr>
      <w:tr>
        <w:tc>
          <w:tcPr>
            <w:tcW w:type="dxa" w:w="1944"/>
          </w:tcPr>
          <w:p>
            <w:pPr>
              <w:spacing w:line="276" w:lineRule="auto"/>
              <w:jc w:val="left"/>
            </w:pPr>
            <w:r>
              <w:rPr>
                <w:rFonts w:ascii="Times New Roman" w:hAnsi="Times New Roman" w:eastAsia="Times New Roman"/>
                <w:b w:val="0"/>
                <w:i w:val="0"/>
                <w:color w:val="000000"/>
                <w:sz w:val="17"/>
              </w:rPr>
              <w:t>Residual PAC</w:t>
            </w:r>
          </w:p>
        </w:tc>
        <w:tc>
          <w:tcPr>
            <w:tcW w:type="dxa" w:w="1368"/>
          </w:tcPr>
          <w:p>
            <w:pPr>
              <w:spacing w:line="276" w:lineRule="auto"/>
              <w:jc w:val="center"/>
            </w:pPr>
            <w:r>
              <w:rPr>
                <w:rFonts w:ascii="Times New Roman" w:hAnsi="Times New Roman" w:eastAsia="Times New Roman"/>
                <w:b w:val="0"/>
                <w:i w:val="0"/>
                <w:color w:val="000000"/>
                <w:sz w:val="17"/>
              </w:rPr>
              <w:t>0.066</w:t>
            </w:r>
          </w:p>
        </w:tc>
        <w:tc>
          <w:tcPr>
            <w:tcW w:type="dxa" w:w="1368"/>
          </w:tcPr>
          <w:p>
            <w:pPr>
              <w:spacing w:line="276" w:lineRule="auto"/>
              <w:jc w:val="center"/>
            </w:pPr>
            <w:r>
              <w:rPr>
                <w:rFonts w:ascii="Times New Roman" w:hAnsi="Times New Roman" w:eastAsia="Times New Roman"/>
                <w:b w:val="0"/>
                <w:i w:val="0"/>
                <w:color w:val="000000"/>
                <w:sz w:val="17"/>
              </w:rPr>
              <w:t>0.116</w:t>
            </w:r>
          </w:p>
        </w:tc>
        <w:tc>
          <w:tcPr>
            <w:tcW w:type="dxa" w:w="1440"/>
          </w:tcPr>
          <w:p>
            <w:pPr>
              <w:spacing w:line="276" w:lineRule="auto"/>
              <w:jc w:val="center"/>
            </w:pPr>
            <w:r>
              <w:rPr>
                <w:rFonts w:ascii="Times New Roman" w:hAnsi="Times New Roman" w:eastAsia="Times New Roman"/>
                <w:b w:val="0"/>
                <w:i w:val="0"/>
                <w:color w:val="000000"/>
                <w:sz w:val="17"/>
              </w:rPr>
              <w:t>0.414</w:t>
            </w:r>
          </w:p>
        </w:tc>
        <w:tc>
          <w:tcPr>
            <w:tcW w:type="dxa" w:w="1368"/>
          </w:tcPr>
          <w:p>
            <w:pPr>
              <w:spacing w:line="276" w:lineRule="auto"/>
              <w:jc w:val="center"/>
            </w:pPr>
            <w:r>
              <w:rPr>
                <w:rFonts w:ascii="Times New Roman" w:hAnsi="Times New Roman" w:eastAsia="Times New Roman"/>
                <w:b w:val="0"/>
                <w:i w:val="0"/>
                <w:color w:val="000000"/>
                <w:sz w:val="17"/>
              </w:rPr>
              <w:t>8.46</w:t>
            </w:r>
          </w:p>
        </w:tc>
        <w:tc>
          <w:tcPr>
            <w:tcW w:type="dxa" w:w="1440"/>
          </w:tcPr>
          <w:p>
            <w:pPr>
              <w:spacing w:line="276" w:lineRule="auto"/>
              <w:jc w:val="center"/>
            </w:pPr>
            <w:r>
              <w:rPr>
                <w:rFonts w:ascii="Times New Roman" w:hAnsi="Times New Roman" w:eastAsia="Times New Roman"/>
                <w:b w:val="0"/>
                <w:i w:val="0"/>
                <w:color w:val="000000"/>
                <w:sz w:val="17"/>
              </w:rPr>
              <w:t>0.80</w:t>
            </w:r>
          </w:p>
        </w:tc>
        <w:tc>
          <w:tcPr>
            <w:tcW w:type="dxa" w:w="1224"/>
          </w:tcPr>
          <w:p>
            <w:pPr>
              <w:spacing w:line="276" w:lineRule="auto"/>
              <w:jc w:val="center"/>
            </w:pPr>
            <w:r>
              <w:rPr>
                <w:rFonts w:ascii="Times New Roman" w:hAnsi="Times New Roman" w:eastAsia="Times New Roman"/>
                <w:b w:val="0"/>
                <w:i w:val="0"/>
                <w:color w:val="000000"/>
                <w:sz w:val="17"/>
              </w:rPr>
              <w:t>0.54</w:t>
            </w:r>
          </w:p>
        </w:tc>
      </w:tr>
    </w:tbl>
    <w:p>
      <w:pPr>
        <w:spacing w:after="40"/>
      </w:pPr>
    </w:p>
    <w:p>
      <w:pPr>
        <w:spacing w:line="312" w:lineRule="auto" w:before="200" w:after="80"/>
      </w:pPr>
      <w:r>
        <w:rPr>
          <w:rFonts w:ascii="Times New Roman" w:hAnsi="Times New Roman" w:eastAsia="Times New Roman"/>
          <w:b/>
          <w:i w:val="0"/>
          <w:color w:val="000000"/>
          <w:sz w:val="23"/>
        </w:rPr>
        <w:t>6.2  Where the residual earns its value</w:t>
      </w:r>
    </w:p>
    <w:p>
      <w:pPr>
        <w:spacing w:line="312" w:lineRule="auto" w:after="120"/>
        <w:jc w:val="both"/>
      </w:pPr>
      <w:r>
        <w:rPr>
          <w:rFonts w:ascii="Times New Roman" w:hAnsi="Times New Roman" w:eastAsia="Times New Roman"/>
          <w:b w:val="0"/>
          <w:i w:val="0"/>
          <w:color w:val="000000"/>
          <w:sz w:val="22"/>
        </w:rPr>
        <w:t>Across the OOD block, the residual policy reduces tracking RMSE from 0.161 m (supervised) to 0.116 m. The registered model-seed paired effect is −0.0445 m with a 95% t(4) interval of [−0.0737, −0.0154] m (28% relative reduction); the episode-level bootstrap over the 35 OOD episodes is [−0.0759, −0.0167] m, consistent with the seed-level analysis. Maximum error falls from 0.495 m to 0.414 m (five-seed means) and OOD heading error improves by 0.73°.</w:t>
      </w:r>
    </w:p>
    <w:p>
      <w:pPr>
        <w:spacing w:line="312" w:lineRule="auto" w:after="120"/>
        <w:jc w:val="both"/>
      </w:pPr>
      <w:r>
        <w:rPr>
          <w:rFonts w:ascii="Times New Roman" w:hAnsi="Times New Roman" w:eastAsia="Times New Roman"/>
          <w:b w:val="0"/>
          <w:i w:val="0"/>
          <w:color w:val="000000"/>
          <w:sz w:val="22"/>
        </w:rPr>
        <w:t>The sharpest reading of Table 1 is unfavorable to us: a constant α = 0.5 reaches 0.120 m OOD, within 3% of the residual policy. That comparison was not registered and we make no significance claim; the honest summary is that the residual's overall advantage over never adapting is small, and its value is concentrated where adaptation is hardest (−28% versus the constant blend in the actuator-degradation family, Table 2). The in-distribution effect is +0.0028 m [+0.0009, +0.0047] (+0.4%) and in-distribution heading error rises by 0.32° [+0.29, +0.35] (+4.3%).</w:t>
      </w:r>
    </w:p>
    <w:p>
      <w:pPr>
        <w:spacing w:line="312" w:lineRule="auto" w:after="120"/>
        <w:jc w:val="both"/>
      </w:pPr>
      <w:r>
        <w:rPr>
          <w:rFonts w:ascii="Times New Roman" w:hAnsi="Times New Roman" w:eastAsia="Times New Roman"/>
          <w:b w:val="0"/>
          <w:i w:val="0"/>
          <w:color w:val="000000"/>
          <w:sz w:val="22"/>
        </w:rPr>
        <w:t>The family decomposition in Fig. 6b locates the gain, and the registered paired effects in Fig. 6a quantify it. The SSPO versus residual PAC contrast is not included in the archived paired-effects summary; it is recomputed from raw episode metrics with the same seed-level procedure: OOD −0.0198 m [−0.0211, −0.0185] in favor of the residual policy, ID +0.0043 m [+0.0033, +0.0053] in favor of SSPO.</w:t>
      </w:r>
    </w:p>
    <w:p>
      <w:pPr>
        <w:keepNext/>
        <w:spacing w:before="160"/>
        <w:jc w:val="center"/>
      </w:pPr>
      <w:r>
        <w:drawing>
          <wp:inline xmlns:a="http://schemas.openxmlformats.org/drawingml/2006/main" xmlns:pic="http://schemas.openxmlformats.org/drawingml/2006/picture">
            <wp:extent cx="5760720" cy="2939944"/>
            <wp:docPr id="6" name="Picture 6"/>
            <wp:cNvGraphicFramePr>
              <a:graphicFrameLocks noChangeAspect="1"/>
            </wp:cNvGraphicFramePr>
            <a:graphic>
              <a:graphicData uri="http://schemas.openxmlformats.org/drawingml/2006/picture">
                <pic:pic>
                  <pic:nvPicPr>
                    <pic:cNvPr id="0" name="fig4_closed_loop_results.png"/>
                    <pic:cNvPicPr/>
                  </pic:nvPicPr>
                  <pic:blipFill>
                    <a:blip r:embed="rId16"/>
                    <a:stretch>
                      <a:fillRect/>
                    </a:stretch>
                  </pic:blipFill>
                  <pic:spPr>
                    <a:xfrm>
                      <a:off x="0" y="0"/>
                      <a:ext cx="5760720" cy="2939944"/>
                    </a:xfrm>
                    <a:prstGeom prst="rect"/>
                  </pic:spPr>
                </pic:pic>
              </a:graphicData>
            </a:graphic>
          </wp:inline>
        </w:drawing>
      </w:r>
    </w:p>
    <w:p>
      <w:pPr>
        <w:spacing w:after="200"/>
        <w:jc w:val="both"/>
      </w:pPr>
      <w:r>
        <w:rPr>
          <w:rFonts w:ascii="Times New Roman" w:hAnsi="Times New Roman" w:eastAsia="Times New Roman"/>
          <w:b/>
          <w:i w:val="0"/>
          <w:color w:val="000000"/>
          <w:sz w:val="18"/>
        </w:rPr>
        <w:t xml:space="preserve">Figure 6. </w:t>
      </w:r>
      <w:r>
        <w:rPr>
          <w:rFonts w:ascii="Times New Roman" w:hAnsi="Times New Roman" w:eastAsia="Times New Roman"/>
          <w:b w:val="0"/>
          <w:i w:val="0"/>
          <w:color w:val="000000"/>
          <w:sz w:val="18"/>
        </w:rPr>
        <w:t>Registered paired effects and family decomposition. (a) RMSE paired effects with model-seed t(4) 95% intervals by block (OOD, ID); filled markers denote intervals excluding zero; the SSPO versus supervised contrast is as archived; the SSPO contrast is recomputed from raw episode metrics. (b) OOD RMSE by disturbance family and method. Gains concentrate in the actuator-degradation family; in the mild stochastic and estimation-delay families the supervised policy and SSPO remain marginally better. The panel does not support uniform superiority.</w:t>
      </w:r>
    </w:p>
    <w:p>
      <w:pPr>
        <w:keepNext/>
        <w:spacing w:before="160"/>
        <w:jc w:val="both"/>
      </w:pPr>
      <w:r>
        <w:rPr>
          <w:rFonts w:ascii="Times New Roman" w:hAnsi="Times New Roman" w:eastAsia="Times New Roman"/>
          <w:b/>
          <w:i w:val="0"/>
          <w:color w:val="000000"/>
          <w:sz w:val="18"/>
        </w:rPr>
        <w:t xml:space="preserve">Table 2. </w:t>
      </w:r>
      <w:r>
        <w:rPr>
          <w:rFonts w:ascii="Times New Roman" w:hAnsi="Times New Roman" w:eastAsia="Times New Roman"/>
          <w:b/>
          <w:i w:val="0"/>
          <w:color w:val="000000"/>
          <w:sz w:val="18"/>
        </w:rPr>
        <w:t>Actuator-degradation family (response lag with measurement noise): paired family means.</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rPr>
          <w:tblHeader/>
        </w:trPr>
        <w:tc>
          <w:tcPr>
            <w:tcW w:type="dxa" w:w="2304"/>
            <w:shd w:val="clear" w:fill="F2F2F2"/>
          </w:tcPr>
          <w:p>
            <w:pPr>
              <w:spacing w:line="276" w:lineRule="auto"/>
              <w:jc w:val="center"/>
            </w:pPr>
            <w:r>
              <w:rPr>
                <w:rFonts w:ascii="Times New Roman" w:hAnsi="Times New Roman" w:eastAsia="Times New Roman"/>
                <w:b/>
                <w:i w:val="0"/>
                <w:color w:val="000000"/>
                <w:sz w:val="17"/>
              </w:rPr>
              <w:t>Method</w:t>
            </w:r>
          </w:p>
        </w:tc>
        <w:tc>
          <w:tcPr>
            <w:tcW w:type="dxa" w:w="1728"/>
            <w:shd w:val="clear" w:fill="F2F2F2"/>
          </w:tcPr>
          <w:p>
            <w:pPr>
              <w:spacing w:line="276" w:lineRule="auto"/>
              <w:jc w:val="center"/>
            </w:pPr>
            <w:r>
              <w:rPr>
                <w:rFonts w:ascii="Times New Roman" w:hAnsi="Times New Roman" w:eastAsia="Times New Roman"/>
                <w:b/>
                <w:i w:val="0"/>
                <w:color w:val="000000"/>
                <w:sz w:val="17"/>
              </w:rPr>
              <w:t>ID RMSE (m)</w:t>
            </w:r>
          </w:p>
        </w:tc>
        <w:tc>
          <w:tcPr>
            <w:tcW w:type="dxa" w:w="1728"/>
            <w:shd w:val="clear" w:fill="F2F2F2"/>
          </w:tcPr>
          <w:p>
            <w:pPr>
              <w:spacing w:line="276" w:lineRule="auto"/>
              <w:jc w:val="center"/>
            </w:pPr>
            <w:r>
              <w:rPr>
                <w:rFonts w:ascii="Times New Roman" w:hAnsi="Times New Roman" w:eastAsia="Times New Roman"/>
                <w:b/>
                <w:i w:val="0"/>
                <w:color w:val="000000"/>
                <w:sz w:val="17"/>
              </w:rPr>
              <w:t>OOD RMSE (m)</w:t>
            </w:r>
          </w:p>
        </w:tc>
        <w:tc>
          <w:tcPr>
            <w:tcW w:type="dxa" w:w="1584"/>
            <w:shd w:val="clear" w:fill="F2F2F2"/>
          </w:tcPr>
          <w:p>
            <w:pPr>
              <w:spacing w:line="276" w:lineRule="auto"/>
              <w:jc w:val="center"/>
            </w:pPr>
            <w:r>
              <w:rPr>
                <w:rFonts w:ascii="Times New Roman" w:hAnsi="Times New Roman" w:eastAsia="Times New Roman"/>
                <w:b/>
                <w:i w:val="0"/>
                <w:color w:val="000000"/>
                <w:sz w:val="17"/>
              </w:rPr>
              <w:t>vs supervised PAC</w:t>
            </w:r>
          </w:p>
        </w:tc>
      </w:tr>
      <w:tr>
        <w:tc>
          <w:tcPr>
            <w:tcW w:type="dxa" w:w="2304"/>
          </w:tcPr>
          <w:p>
            <w:pPr>
              <w:spacing w:line="276" w:lineRule="auto"/>
              <w:jc w:val="left"/>
            </w:pPr>
            <w:r>
              <w:rPr>
                <w:rFonts w:ascii="Times New Roman" w:hAnsi="Times New Roman" w:eastAsia="Times New Roman"/>
                <w:b w:val="0"/>
                <w:i w:val="0"/>
                <w:color w:val="000000"/>
                <w:sz w:val="17"/>
              </w:rPr>
              <w:t>SMC</w:t>
            </w:r>
          </w:p>
        </w:tc>
        <w:tc>
          <w:tcPr>
            <w:tcW w:type="dxa" w:w="1728"/>
          </w:tcPr>
          <w:p>
            <w:pPr>
              <w:spacing w:line="276" w:lineRule="auto"/>
              <w:jc w:val="center"/>
            </w:pPr>
            <w:r>
              <w:rPr>
                <w:rFonts w:ascii="Times New Roman" w:hAnsi="Times New Roman" w:eastAsia="Times New Roman"/>
                <w:b w:val="0"/>
                <w:i w:val="0"/>
                <w:color w:val="000000"/>
                <w:sz w:val="17"/>
              </w:rPr>
              <w:t>0.142</w:t>
            </w:r>
          </w:p>
        </w:tc>
        <w:tc>
          <w:tcPr>
            <w:tcW w:type="dxa" w:w="1728"/>
          </w:tcPr>
          <w:p>
            <w:pPr>
              <w:spacing w:line="276" w:lineRule="auto"/>
              <w:jc w:val="center"/>
            </w:pPr>
            <w:r>
              <w:rPr>
                <w:rFonts w:ascii="Times New Roman" w:hAnsi="Times New Roman" w:eastAsia="Times New Roman"/>
                <w:b w:val="0"/>
                <w:i w:val="0"/>
                <w:color w:val="000000"/>
                <w:sz w:val="17"/>
              </w:rPr>
              <w:t>0.156</w:t>
            </w:r>
          </w:p>
        </w:tc>
        <w:tc>
          <w:tcPr>
            <w:tcW w:type="dxa" w:w="1584"/>
          </w:tcPr>
          <w:p>
            <w:pPr>
              <w:spacing w:line="276" w:lineRule="auto"/>
              <w:jc w:val="center"/>
            </w:pPr>
            <w:r>
              <w:rPr>
                <w:rFonts w:ascii="Times New Roman" w:hAnsi="Times New Roman" w:eastAsia="Times New Roman"/>
                <w:b w:val="0"/>
                <w:i w:val="0"/>
                <w:color w:val="000000"/>
                <w:sz w:val="17"/>
              </w:rPr>
              <w:t>-47%</w:t>
            </w:r>
          </w:p>
        </w:tc>
      </w:tr>
      <w:tr>
        <w:tc>
          <w:tcPr>
            <w:tcW w:type="dxa" w:w="2304"/>
          </w:tcPr>
          <w:p>
            <w:pPr>
              <w:spacing w:line="276" w:lineRule="auto"/>
              <w:jc w:val="left"/>
            </w:pPr>
            <w:r>
              <w:rPr>
                <w:rFonts w:ascii="Times New Roman" w:hAnsi="Times New Roman" w:eastAsia="Times New Roman"/>
                <w:b w:val="0"/>
                <w:i w:val="0"/>
                <w:color w:val="000000"/>
                <w:sz w:val="17"/>
              </w:rPr>
              <w:t>MPC</w:t>
            </w:r>
          </w:p>
        </w:tc>
        <w:tc>
          <w:tcPr>
            <w:tcW w:type="dxa" w:w="1728"/>
          </w:tcPr>
          <w:p>
            <w:pPr>
              <w:spacing w:line="276" w:lineRule="auto"/>
              <w:jc w:val="center"/>
            </w:pPr>
            <w:r>
              <w:rPr>
                <w:rFonts w:ascii="Times New Roman" w:hAnsi="Times New Roman" w:eastAsia="Times New Roman"/>
                <w:b w:val="0"/>
                <w:i w:val="0"/>
                <w:color w:val="000000"/>
                <w:sz w:val="17"/>
              </w:rPr>
              <w:t>0.089</w:t>
            </w:r>
          </w:p>
        </w:tc>
        <w:tc>
          <w:tcPr>
            <w:tcW w:type="dxa" w:w="1728"/>
          </w:tcPr>
          <w:p>
            <w:pPr>
              <w:spacing w:line="276" w:lineRule="auto"/>
              <w:jc w:val="center"/>
            </w:pPr>
            <w:r>
              <w:rPr>
                <w:rFonts w:ascii="Times New Roman" w:hAnsi="Times New Roman" w:eastAsia="Times New Roman"/>
                <w:b w:val="0"/>
                <w:i w:val="0"/>
                <w:color w:val="000000"/>
                <w:sz w:val="17"/>
              </w:rPr>
              <w:t>0.822</w:t>
            </w:r>
          </w:p>
        </w:tc>
        <w:tc>
          <w:tcPr>
            <w:tcW w:type="dxa" w:w="1584"/>
          </w:tcPr>
          <w:p>
            <w:pPr>
              <w:spacing w:line="276" w:lineRule="auto"/>
              <w:jc w:val="center"/>
            </w:pPr>
            <w:r>
              <w:rPr>
                <w:rFonts w:ascii="Times New Roman" w:hAnsi="Times New Roman" w:eastAsia="Times New Roman"/>
                <w:b w:val="0"/>
                <w:i w:val="0"/>
                <w:color w:val="000000"/>
                <w:sz w:val="17"/>
              </w:rPr>
              <w:t>+179%</w:t>
            </w:r>
          </w:p>
        </w:tc>
      </w:tr>
      <w:tr>
        <w:tc>
          <w:tcPr>
            <w:tcW w:type="dxa" w:w="2304"/>
          </w:tcPr>
          <w:p>
            <w:pPr>
              <w:spacing w:line="276" w:lineRule="auto"/>
              <w:jc w:val="left"/>
            </w:pPr>
            <w:r>
              <w:rPr>
                <w:rFonts w:ascii="Times New Roman" w:hAnsi="Times New Roman" w:eastAsia="Times New Roman"/>
                <w:b w:val="0"/>
                <w:i w:val="0"/>
                <w:color w:val="000000"/>
                <w:sz w:val="17"/>
              </w:rPr>
              <w:t>Fixed α = 0.5</w:t>
            </w:r>
          </w:p>
        </w:tc>
        <w:tc>
          <w:tcPr>
            <w:tcW w:type="dxa" w:w="1728"/>
          </w:tcPr>
          <w:p>
            <w:pPr>
              <w:spacing w:line="276" w:lineRule="auto"/>
              <w:jc w:val="center"/>
            </w:pPr>
            <w:r>
              <w:rPr>
                <w:rFonts w:ascii="Times New Roman" w:hAnsi="Times New Roman" w:eastAsia="Times New Roman"/>
                <w:b w:val="0"/>
                <w:i w:val="0"/>
                <w:color w:val="000000"/>
                <w:sz w:val="17"/>
              </w:rPr>
              <w:t>0.056</w:t>
            </w:r>
          </w:p>
        </w:tc>
        <w:tc>
          <w:tcPr>
            <w:tcW w:type="dxa" w:w="1728"/>
          </w:tcPr>
          <w:p>
            <w:pPr>
              <w:spacing w:line="276" w:lineRule="auto"/>
              <w:jc w:val="center"/>
            </w:pPr>
            <w:r>
              <w:rPr>
                <w:rFonts w:ascii="Times New Roman" w:hAnsi="Times New Roman" w:eastAsia="Times New Roman"/>
                <w:b w:val="0"/>
                <w:i w:val="0"/>
                <w:color w:val="000000"/>
                <w:sz w:val="17"/>
              </w:rPr>
              <w:t>0.125</w:t>
            </w:r>
          </w:p>
        </w:tc>
        <w:tc>
          <w:tcPr>
            <w:tcW w:type="dxa" w:w="1584"/>
          </w:tcPr>
          <w:p>
            <w:pPr>
              <w:spacing w:line="276" w:lineRule="auto"/>
              <w:jc w:val="center"/>
            </w:pPr>
            <w:r>
              <w:rPr>
                <w:rFonts w:ascii="Times New Roman" w:hAnsi="Times New Roman" w:eastAsia="Times New Roman"/>
                <w:b w:val="0"/>
                <w:i w:val="0"/>
                <w:color w:val="000000"/>
                <w:sz w:val="17"/>
              </w:rPr>
              <w:t>-58%</w:t>
            </w:r>
          </w:p>
        </w:tc>
      </w:tr>
      <w:tr>
        <w:tc>
          <w:tcPr>
            <w:tcW w:type="dxa" w:w="2304"/>
          </w:tcPr>
          <w:p>
            <w:pPr>
              <w:spacing w:line="276" w:lineRule="auto"/>
              <w:jc w:val="left"/>
            </w:pPr>
            <w:r>
              <w:rPr>
                <w:rFonts w:ascii="Times New Roman" w:hAnsi="Times New Roman" w:eastAsia="Times New Roman"/>
                <w:b w:val="0"/>
                <w:i w:val="0"/>
                <w:color w:val="000000"/>
                <w:sz w:val="17"/>
              </w:rPr>
              <w:t>SSPO</w:t>
            </w:r>
          </w:p>
        </w:tc>
        <w:tc>
          <w:tcPr>
            <w:tcW w:type="dxa" w:w="1728"/>
          </w:tcPr>
          <w:p>
            <w:pPr>
              <w:spacing w:line="276" w:lineRule="auto"/>
              <w:jc w:val="center"/>
            </w:pPr>
            <w:r>
              <w:rPr>
                <w:rFonts w:ascii="Times New Roman" w:hAnsi="Times New Roman" w:eastAsia="Times New Roman"/>
                <w:b w:val="0"/>
                <w:i w:val="0"/>
                <w:color w:val="000000"/>
                <w:sz w:val="17"/>
              </w:rPr>
              <w:t>0.074</w:t>
            </w:r>
          </w:p>
        </w:tc>
        <w:tc>
          <w:tcPr>
            <w:tcW w:type="dxa" w:w="1728"/>
          </w:tcPr>
          <w:p>
            <w:pPr>
              <w:spacing w:line="276" w:lineRule="auto"/>
              <w:jc w:val="center"/>
            </w:pPr>
            <w:r>
              <w:rPr>
                <w:rFonts w:ascii="Times New Roman" w:hAnsi="Times New Roman" w:eastAsia="Times New Roman"/>
                <w:b w:val="0"/>
                <w:i w:val="0"/>
                <w:color w:val="000000"/>
                <w:sz w:val="17"/>
              </w:rPr>
              <w:t>0.252</w:t>
            </w:r>
          </w:p>
        </w:tc>
        <w:tc>
          <w:tcPr>
            <w:tcW w:type="dxa" w:w="1584"/>
          </w:tcPr>
          <w:p>
            <w:pPr>
              <w:spacing w:line="276" w:lineRule="auto"/>
              <w:jc w:val="center"/>
            </w:pPr>
            <w:r>
              <w:rPr>
                <w:rFonts w:ascii="Times New Roman" w:hAnsi="Times New Roman" w:eastAsia="Times New Roman"/>
                <w:b w:val="0"/>
                <w:i w:val="0"/>
                <w:color w:val="000000"/>
                <w:sz w:val="17"/>
              </w:rPr>
              <w:t>-15%</w:t>
            </w:r>
          </w:p>
        </w:tc>
      </w:tr>
      <w:tr>
        <w:tc>
          <w:tcPr>
            <w:tcW w:type="dxa" w:w="2304"/>
          </w:tcPr>
          <w:p>
            <w:pPr>
              <w:spacing w:line="276" w:lineRule="auto"/>
              <w:jc w:val="left"/>
            </w:pPr>
            <w:r>
              <w:rPr>
                <w:rFonts w:ascii="Times New Roman" w:hAnsi="Times New Roman" w:eastAsia="Times New Roman"/>
                <w:b w:val="0"/>
                <w:i w:val="0"/>
                <w:color w:val="000000"/>
                <w:sz w:val="17"/>
              </w:rPr>
              <w:t>Supervised PAC</w:t>
            </w:r>
          </w:p>
        </w:tc>
        <w:tc>
          <w:tcPr>
            <w:tcW w:type="dxa" w:w="1728"/>
          </w:tcPr>
          <w:p>
            <w:pPr>
              <w:spacing w:line="276" w:lineRule="auto"/>
              <w:jc w:val="center"/>
            </w:pPr>
            <w:r>
              <w:rPr>
                <w:rFonts w:ascii="Times New Roman" w:hAnsi="Times New Roman" w:eastAsia="Times New Roman"/>
                <w:b w:val="0"/>
                <w:i w:val="0"/>
                <w:color w:val="000000"/>
                <w:sz w:val="17"/>
              </w:rPr>
              <w:t>0.069</w:t>
            </w:r>
          </w:p>
        </w:tc>
        <w:tc>
          <w:tcPr>
            <w:tcW w:type="dxa" w:w="1728"/>
          </w:tcPr>
          <w:p>
            <w:pPr>
              <w:spacing w:line="276" w:lineRule="auto"/>
              <w:jc w:val="center"/>
            </w:pPr>
            <w:r>
              <w:rPr>
                <w:rFonts w:ascii="Times New Roman" w:hAnsi="Times New Roman" w:eastAsia="Times New Roman"/>
                <w:b w:val="0"/>
                <w:i w:val="0"/>
                <w:color w:val="000000"/>
                <w:sz w:val="17"/>
              </w:rPr>
              <w:t>0.295</w:t>
            </w:r>
          </w:p>
        </w:tc>
        <w:tc>
          <w:tcPr>
            <w:tcW w:type="dxa" w:w="1584"/>
          </w:tcPr>
          <w:p>
            <w:pPr>
              <w:spacing w:line="276" w:lineRule="auto"/>
              <w:jc w:val="center"/>
            </w:pPr>
            <w:r>
              <w:rPr>
                <w:rFonts w:ascii="Times New Roman" w:hAnsi="Times New Roman" w:eastAsia="Times New Roman"/>
                <w:b w:val="0"/>
                <w:i w:val="0"/>
                <w:color w:val="000000"/>
                <w:sz w:val="17"/>
              </w:rPr>
              <w:t>—</w:t>
            </w:r>
          </w:p>
        </w:tc>
      </w:tr>
      <w:tr>
        <w:tc>
          <w:tcPr>
            <w:tcW w:type="dxa" w:w="2304"/>
          </w:tcPr>
          <w:p>
            <w:pPr>
              <w:spacing w:line="276" w:lineRule="auto"/>
              <w:jc w:val="left"/>
            </w:pPr>
            <w:r>
              <w:rPr>
                <w:rFonts w:ascii="Times New Roman" w:hAnsi="Times New Roman" w:eastAsia="Times New Roman"/>
                <w:b w:val="0"/>
                <w:i w:val="0"/>
                <w:color w:val="000000"/>
                <w:sz w:val="17"/>
              </w:rPr>
              <w:t>Residual PAC</w:t>
            </w:r>
          </w:p>
        </w:tc>
        <w:tc>
          <w:tcPr>
            <w:tcW w:type="dxa" w:w="1728"/>
          </w:tcPr>
          <w:p>
            <w:pPr>
              <w:spacing w:line="276" w:lineRule="auto"/>
              <w:jc w:val="center"/>
            </w:pPr>
            <w:r>
              <w:rPr>
                <w:rFonts w:ascii="Times New Roman" w:hAnsi="Times New Roman" w:eastAsia="Times New Roman"/>
                <w:b w:val="0"/>
                <w:i w:val="0"/>
                <w:color w:val="000000"/>
                <w:sz w:val="17"/>
              </w:rPr>
              <w:t>0.056</w:t>
            </w:r>
          </w:p>
        </w:tc>
        <w:tc>
          <w:tcPr>
            <w:tcW w:type="dxa" w:w="1728"/>
          </w:tcPr>
          <w:p>
            <w:pPr>
              <w:spacing w:line="276" w:lineRule="auto"/>
              <w:jc w:val="center"/>
            </w:pPr>
            <w:r>
              <w:rPr>
                <w:rFonts w:ascii="Times New Roman" w:hAnsi="Times New Roman" w:eastAsia="Times New Roman"/>
                <w:b w:val="0"/>
                <w:i w:val="0"/>
                <w:color w:val="000000"/>
                <w:sz w:val="17"/>
              </w:rPr>
              <w:t>0.090</w:t>
            </w:r>
          </w:p>
        </w:tc>
        <w:tc>
          <w:tcPr>
            <w:tcW w:type="dxa" w:w="1584"/>
          </w:tcPr>
          <w:p>
            <w:pPr>
              <w:spacing w:line="276" w:lineRule="auto"/>
              <w:jc w:val="center"/>
            </w:pPr>
            <w:r>
              <w:rPr>
                <w:rFonts w:ascii="Times New Roman" w:hAnsi="Times New Roman" w:eastAsia="Times New Roman"/>
                <w:b w:val="0"/>
                <w:i w:val="0"/>
                <w:color w:val="000000"/>
                <w:sz w:val="17"/>
              </w:rPr>
              <w:t>-69%</w:t>
            </w:r>
          </w:p>
        </w:tc>
      </w:tr>
    </w:tbl>
    <w:p>
      <w:pPr>
        <w:spacing w:after="40"/>
      </w:pPr>
    </w:p>
    <w:p>
      <w:pPr>
        <w:spacing w:line="312" w:lineRule="auto" w:before="200" w:after="80"/>
      </w:pPr>
      <w:r>
        <w:rPr>
          <w:rFonts w:ascii="Times New Roman" w:hAnsi="Times New Roman" w:eastAsia="Times New Roman"/>
          <w:b/>
          <w:i w:val="0"/>
          <w:color w:val="000000"/>
          <w:sz w:val="23"/>
        </w:rPr>
        <w:t>6.3  How does the residual act?</w:t>
      </w:r>
    </w:p>
    <w:p>
      <w:pPr>
        <w:spacing w:line="312" w:lineRule="auto" w:after="120"/>
        <w:jc w:val="both"/>
      </w:pPr>
      <w:r>
        <w:rPr>
          <w:rFonts w:ascii="Times New Roman" w:hAnsi="Times New Roman" w:eastAsia="Times New Roman"/>
          <w:b w:val="0"/>
          <w:i w:val="0"/>
          <w:color w:val="000000"/>
          <w:sz w:val="22"/>
        </w:rPr>
        <w:t>The mechanism is visible in Fig. 7b. Within seconds of degraded-thruster onset, the supervised policy drives α above 0.9 and oscillates there for much of the episode (31.2% of steps above 0.9; standard deviation 0.331); the residual policy never exceeds 0.69 and holds [0.4, 0.6] on 97.0% of steps. The residual has not learned a new schedule—it has learned to veto the supervisor's excursions. We read this as conservatism under distribution shift, a single-family observation we do not extrapolate.</w:t>
      </w:r>
    </w:p>
    <w:p>
      <w:pPr>
        <w:spacing w:line="312" w:lineRule="auto" w:after="120"/>
        <w:jc w:val="both"/>
      </w:pPr>
      <w:r>
        <w:rPr>
          <w:rFonts w:ascii="Times New Roman" w:hAnsi="Times New Roman" w:eastAsia="Times New Roman"/>
          <w:b w:val="0"/>
          <w:i w:val="0"/>
          <w:color w:val="000000"/>
          <w:sz w:val="22"/>
        </w:rPr>
        <w:t>The stabilization generalizes beyond the single episode: across all 35 OOD episodes and five seeds (175 episodes per method), the per-episode mean authority is 0.82 ± 0.14 for the supervised policy (10th–90th percentile 0.62–0.93) and 0.54 ± 0.03 for the residual policy, with every residual episode inside [0.48, 0.62] (Fig. 7c).</w:t>
      </w:r>
    </w:p>
    <w:p>
      <w:pPr>
        <w:keepNext/>
        <w:spacing w:before="160"/>
        <w:jc w:val="center"/>
      </w:pPr>
      <w:r>
        <w:drawing>
          <wp:inline xmlns:a="http://schemas.openxmlformats.org/drawingml/2006/main" xmlns:pic="http://schemas.openxmlformats.org/drawingml/2006/picture">
            <wp:extent cx="5760720" cy="3974557"/>
            <wp:docPr id="7" name="Picture 7"/>
            <wp:cNvGraphicFramePr>
              <a:graphicFrameLocks noChangeAspect="1"/>
            </wp:cNvGraphicFramePr>
            <a:graphic>
              <a:graphicData uri="http://schemas.openxmlformats.org/drawingml/2006/picture">
                <pic:pic>
                  <pic:nvPicPr>
                    <pic:cNvPr id="0" name="fig5_actuator_case.png"/>
                    <pic:cNvPicPr/>
                  </pic:nvPicPr>
                  <pic:blipFill>
                    <a:blip r:embed="rId17"/>
                    <a:stretch>
                      <a:fillRect/>
                    </a:stretch>
                  </pic:blipFill>
                  <pic:spPr>
                    <a:xfrm>
                      <a:off x="0" y="0"/>
                      <a:ext cx="5760720" cy="3974557"/>
                    </a:xfrm>
                    <a:prstGeom prst="rect"/>
                  </pic:spPr>
                </pic:pic>
              </a:graphicData>
            </a:graphic>
          </wp:inline>
        </w:drawing>
      </w:r>
    </w:p>
    <w:p>
      <w:pPr>
        <w:spacing w:after="200"/>
        <w:jc w:val="both"/>
      </w:pPr>
      <w:r>
        <w:rPr>
          <w:rFonts w:ascii="Times New Roman" w:hAnsi="Times New Roman" w:eastAsia="Times New Roman"/>
          <w:b/>
          <w:i w:val="0"/>
          <w:color w:val="000000"/>
          <w:sz w:val="18"/>
        </w:rPr>
        <w:t xml:space="preserve">Figure 7. </w:t>
      </w:r>
      <w:r>
        <w:rPr>
          <w:rFonts w:ascii="Times New Roman" w:hAnsi="Times New Roman" w:eastAsia="Times New Roman"/>
          <w:b w:val="0"/>
          <w:i w:val="0"/>
          <w:color w:val="000000"/>
          <w:sz w:val="18"/>
        </w:rPr>
        <w:t>Actuator-degradation episode (held-out seed 43000, fixed before inspection; family means superposed as text). (a) Position error. (b) Authority coefficient in the representative episode. (c) Box plots of per-episode mean authority over all 35 OOD episodes and five seeds (175 points per method; boxes: IQR, whiskers: range, line: median). Family-mean coefficients: 0.63 (supervised) versus 0.50 (residual).</w:t>
      </w:r>
    </w:p>
    <w:p>
      <w:pPr>
        <w:spacing w:line="312" w:lineRule="auto" w:before="200" w:after="80"/>
      </w:pPr>
      <w:r>
        <w:rPr>
          <w:rFonts w:ascii="Times New Roman" w:hAnsi="Times New Roman" w:eastAsia="Times New Roman"/>
          <w:b/>
          <w:i w:val="0"/>
          <w:color w:val="000000"/>
          <w:sz w:val="23"/>
        </w:rPr>
        <w:t>6.4  Control quality: the gain is not purchased with actuator abuse</w:t>
      </w:r>
    </w:p>
    <w:p>
      <w:pPr>
        <w:spacing w:line="312" w:lineRule="auto" w:after="120"/>
        <w:jc w:val="both"/>
      </w:pPr>
      <w:r>
        <w:rPr>
          <w:rFonts w:ascii="Times New Roman" w:hAnsi="Times New Roman" w:eastAsia="Times New Roman"/>
          <w:b w:val="0"/>
          <w:i w:val="0"/>
          <w:color w:val="000000"/>
          <w:sz w:val="22"/>
        </w:rPr>
        <w:t>On the OOD block the residual policy attains the lowest saturation-step fraction of all six methods (0.126, versus 0.134 for the fixed blend and 0.168 for the supervised policy), the lowest applied control cost (31.9 versus 33.7), and a rate-limit activation of 0.039 below both experts. The paired effect on control cost is −1.78 [−2.31, −1.26] OOD and −0.52 [−0.56, −0.48] ID: the residual policy is in fact cheaper to run than its supervisor while tracking better OOD. This substantiates the registered criterion that gains must not be purchased with heading, saturation, or constraint degradation (Fig. 8).</w:t>
      </w:r>
    </w:p>
    <w:p>
      <w:pPr>
        <w:keepNext/>
        <w:spacing w:before="160"/>
        <w:jc w:val="center"/>
      </w:pPr>
      <w:r>
        <w:drawing>
          <wp:inline xmlns:a="http://schemas.openxmlformats.org/drawingml/2006/main" xmlns:pic="http://schemas.openxmlformats.org/drawingml/2006/picture">
            <wp:extent cx="5760720" cy="2034380"/>
            <wp:docPr id="8" name="Picture 8"/>
            <wp:cNvGraphicFramePr>
              <a:graphicFrameLocks noChangeAspect="1"/>
            </wp:cNvGraphicFramePr>
            <a:graphic>
              <a:graphicData uri="http://schemas.openxmlformats.org/drawingml/2006/picture">
                <pic:pic>
                  <pic:nvPicPr>
                    <pic:cNvPr id="0" name="fig_control_quality.png"/>
                    <pic:cNvPicPr/>
                  </pic:nvPicPr>
                  <pic:blipFill>
                    <a:blip r:embed="rId18"/>
                    <a:stretch>
                      <a:fillRect/>
                    </a:stretch>
                  </pic:blipFill>
                  <pic:spPr>
                    <a:xfrm>
                      <a:off x="0" y="0"/>
                      <a:ext cx="5760720" cy="2034380"/>
                    </a:xfrm>
                    <a:prstGeom prst="rect"/>
                  </pic:spPr>
                </pic:pic>
              </a:graphicData>
            </a:graphic>
          </wp:inline>
        </w:drawing>
      </w:r>
    </w:p>
    <w:p>
      <w:pPr>
        <w:spacing w:after="200"/>
        <w:jc w:val="both"/>
      </w:pPr>
      <w:r>
        <w:rPr>
          <w:rFonts w:ascii="Times New Roman" w:hAnsi="Times New Roman" w:eastAsia="Times New Roman"/>
          <w:b w:val="0"/>
          <w:i w:val="0"/>
          <w:color w:val="000000"/>
          <w:sz w:val="22"/>
        </w:rPr>
        <w:t xml:space="preserve">Figure 8. Control quality by method and block (bars: five-seed means </w:t>
      </w:r>
      <m:oMath xmlns:mml="http://www.w3.org/1998/Math/MathML">
        <m:r>
          <m:t>±</m:t>
        </m:r>
      </m:oMath>
      <w:r>
        <w:rPr>
          <w:rFonts w:ascii="Times New Roman" w:hAnsi="Times New Roman" w:eastAsia="Times New Roman"/>
          <w:b w:val="0"/>
          <w:i w:val="0"/>
          <w:color w:val="000000"/>
          <w:sz w:val="22"/>
        </w:rPr>
        <w:t xml:space="preserve"> sd). (a) Applied control cost. (b) Saturation-step fraction. (c) Rate-limit activation. The residual policy attains the lowest OOD saturation and control cost of all methods.</w:t>
      </w:r>
    </w:p>
    <w:p>
      <w:pPr>
        <w:spacing w:line="312" w:lineRule="auto" w:before="200" w:after="80"/>
      </w:pPr>
      <w:r>
        <w:rPr>
          <w:rFonts w:ascii="Times New Roman" w:hAnsi="Times New Roman" w:eastAsia="Times New Roman"/>
          <w:b/>
          <w:i w:val="0"/>
          <w:color w:val="000000"/>
          <w:sz w:val="23"/>
        </w:rPr>
        <w:t>6.5  The price of the gain</w:t>
      </w:r>
    </w:p>
    <w:p>
      <w:pPr>
        <w:spacing w:line="312" w:lineRule="auto" w:after="120"/>
        <w:jc w:val="both"/>
      </w:pPr>
      <w:r>
        <w:rPr>
          <w:rFonts w:ascii="Times New Roman" w:hAnsi="Times New Roman" w:eastAsia="Times New Roman"/>
          <w:b w:val="0"/>
          <w:i w:val="0"/>
          <w:color w:val="000000"/>
          <w:sz w:val="22"/>
        </w:rPr>
        <w:t>Two costs accompany the OOD gain. In-distribution position and heading error increase as quantified above. And the solver deadline-miss fraction—steps on which the harness MPC instance exceeds the 10 ms period, measured identically for every method—rises from a common 0.69 baseline to 0.80 under the residual policy (+0.107 [+0.094, +0.120] OOD; +0.028 [+0.010, +0.047] ID). The constant blend leaves the metric unchanged, so the coefficient value itself is not the cause; a candidate explanation is trajectory-dependent solver conditioning, flagged as a hypothesis rather than a conclusion. Deployed safeguards are unaffected: fallback to the previous plan triggers on 0.3–0.5% of steps for all methods, success at the one-metre threshold is unchanged (0.988 ID / 0.943 OOD), and OOD maximum error improves.</w:t>
      </w:r>
    </w:p>
    <w:p>
      <w:pPr>
        <w:keepNext/>
        <w:spacing w:before="160"/>
        <w:jc w:val="center"/>
      </w:pPr>
      <w:r>
        <w:drawing>
          <wp:inline xmlns:a="http://schemas.openxmlformats.org/drawingml/2006/main" xmlns:pic="http://schemas.openxmlformats.org/drawingml/2006/picture">
            <wp:extent cx="5760720" cy="2206662"/>
            <wp:docPr id="9" name="Picture 9"/>
            <wp:cNvGraphicFramePr>
              <a:graphicFrameLocks noChangeAspect="1"/>
            </wp:cNvGraphicFramePr>
            <a:graphic>
              <a:graphicData uri="http://schemas.openxmlformats.org/drawingml/2006/picture">
                <pic:pic>
                  <pic:nvPicPr>
                    <pic:cNvPr id="0" name="fig6_cost_tradeoff.png"/>
                    <pic:cNvPicPr/>
                  </pic:nvPicPr>
                  <pic:blipFill>
                    <a:blip r:embed="rId19"/>
                    <a:stretch>
                      <a:fillRect/>
                    </a:stretch>
                  </pic:blipFill>
                  <pic:spPr>
                    <a:xfrm>
                      <a:off x="0" y="0"/>
                      <a:ext cx="5760720" cy="2206662"/>
                    </a:xfrm>
                    <a:prstGeom prst="rect"/>
                  </pic:spPr>
                </pic:pic>
              </a:graphicData>
            </a:graphic>
          </wp:inline>
        </w:drawing>
      </w:r>
    </w:p>
    <w:p>
      <w:pPr>
        <w:spacing w:after="200"/>
        <w:jc w:val="both"/>
      </w:pPr>
      <w:r>
        <w:rPr>
          <w:rFonts w:ascii="Times New Roman" w:hAnsi="Times New Roman" w:eastAsia="Times New Roman"/>
          <w:b/>
          <w:i w:val="0"/>
          <w:color w:val="000000"/>
          <w:sz w:val="18"/>
        </w:rPr>
        <w:t xml:space="preserve">Figure 9. </w:t>
      </w:r>
      <w:r>
        <w:rPr>
          <w:rFonts w:ascii="Times New Roman" w:hAnsi="Times New Roman" w:eastAsia="Times New Roman"/>
          <w:b w:val="0"/>
          <w:i w:val="0"/>
          <w:color w:val="000000"/>
          <w:sz w:val="18"/>
        </w:rPr>
        <w:t>Cost accounting. OOD RMSE versus solver deadline-miss fraction for every method-seed combination; the metric counts steps on which the shared-harness MPC instance exceeds the 10 ms period, collected identically for all methods. Shaded band: common baseline level (0.69; SMC / MPC / Fixed α / SSPO).</w:t>
      </w:r>
    </w:p>
    <w:p>
      <w:pPr>
        <w:keepNext/>
        <w:spacing w:before="160"/>
        <w:jc w:val="both"/>
      </w:pPr>
      <w:r>
        <w:rPr>
          <w:rFonts w:ascii="Times New Roman" w:hAnsi="Times New Roman" w:eastAsia="Times New Roman"/>
          <w:b/>
          <w:i w:val="0"/>
          <w:color w:val="000000"/>
          <w:sz w:val="18"/>
        </w:rPr>
        <w:t xml:space="preserve">Table 3. </w:t>
      </w:r>
      <w:r>
        <w:rPr>
          <w:rFonts w:ascii="Times New Roman" w:hAnsi="Times New Roman" w:eastAsia="Times New Roman"/>
          <w:b/>
          <w:i w:val="0"/>
          <w:color w:val="000000"/>
          <w:sz w:val="18"/>
        </w:rPr>
        <w:t>Registered paired effects of the residual policy versus the supervised baseline across all reported metrics (model-seed t(4) 95% intervals). The SSPO contrast, recomputed from raw episode metrics, is RMSE OOD −0.0198 [−0.0211, −0.0185] in favor of the residual policy and ID +0.0043 [+0.0033, +0.0053] in favor of SSPO.</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trPr>
        <w:tc>
          <w:tcPr>
            <w:tcW w:type="dxa" w:w="3168"/>
            <w:shd w:val="clear" w:fill="F2F2F2"/>
          </w:tcPr>
          <w:p>
            <w:pPr>
              <w:spacing w:line="276" w:lineRule="auto"/>
              <w:jc w:val="center"/>
            </w:pPr>
            <w:r>
              <w:rPr>
                <w:rFonts w:ascii="Times New Roman" w:hAnsi="Times New Roman" w:eastAsia="Times New Roman"/>
                <w:b/>
                <w:i w:val="0"/>
                <w:color w:val="000000"/>
                <w:sz w:val="17"/>
              </w:rPr>
              <w:t>Metric</w:t>
            </w:r>
          </w:p>
        </w:tc>
        <w:tc>
          <w:tcPr>
            <w:tcW w:type="dxa" w:w="3168"/>
            <w:shd w:val="clear" w:fill="F2F2F2"/>
          </w:tcPr>
          <w:p>
            <w:pPr>
              <w:spacing w:line="276" w:lineRule="auto"/>
              <w:jc w:val="center"/>
            </w:pPr>
            <w:r>
              <w:rPr>
                <w:rFonts w:ascii="Times New Roman" w:hAnsi="Times New Roman" w:eastAsia="Times New Roman"/>
                <w:b/>
                <w:i w:val="0"/>
                <w:color w:val="000000"/>
                <w:sz w:val="17"/>
              </w:rPr>
              <w:t>ID effect [95% CI]</w:t>
            </w:r>
          </w:p>
        </w:tc>
        <w:tc>
          <w:tcPr>
            <w:tcW w:type="dxa" w:w="3168"/>
            <w:shd w:val="clear" w:fill="F2F2F2"/>
          </w:tcPr>
          <w:p>
            <w:pPr>
              <w:spacing w:line="276" w:lineRule="auto"/>
              <w:jc w:val="center"/>
            </w:pPr>
            <w:r>
              <w:rPr>
                <w:rFonts w:ascii="Times New Roman" w:hAnsi="Times New Roman" w:eastAsia="Times New Roman"/>
                <w:b/>
                <w:i w:val="0"/>
                <w:color w:val="000000"/>
                <w:sz w:val="17"/>
              </w:rPr>
              <w:t>OOD effect [95% CI]</w:t>
            </w:r>
          </w:p>
        </w:tc>
      </w:tr>
      <w:tr>
        <w:tc>
          <w:tcPr>
            <w:tcW w:type="dxa" w:w="3168"/>
          </w:tcPr>
          <w:p>
            <w:pPr>
              <w:spacing w:line="276" w:lineRule="auto"/>
              <w:jc w:val="left"/>
            </w:pPr>
            <w:r>
              <w:rPr>
                <w:rFonts w:ascii="Times New Roman" w:hAnsi="Times New Roman" w:eastAsia="Times New Roman"/>
                <w:b w:val="0"/>
                <w:i w:val="0"/>
                <w:color w:val="000000"/>
                <w:sz w:val="17"/>
              </w:rPr>
              <w:t>RMSE (m)</w:t>
            </w:r>
          </w:p>
        </w:tc>
        <w:tc>
          <w:tcPr>
            <w:tcW w:type="dxa" w:w="3168"/>
          </w:tcPr>
          <w:p>
            <w:pPr>
              <w:spacing w:line="276" w:lineRule="auto"/>
              <w:jc w:val="center"/>
            </w:pPr>
            <w:r>
              <w:rPr>
                <w:rFonts w:ascii="Times New Roman" w:hAnsi="Times New Roman" w:eastAsia="Times New Roman"/>
                <w:b w:val="0"/>
                <w:i w:val="0"/>
                <w:color w:val="000000"/>
                <w:sz w:val="17"/>
              </w:rPr>
              <w:t>+0.0028 [+0.0009, +0.0047]</w:t>
            </w:r>
          </w:p>
        </w:tc>
        <w:tc>
          <w:tcPr>
            <w:tcW w:type="dxa" w:w="3168"/>
          </w:tcPr>
          <w:p>
            <w:pPr>
              <w:spacing w:line="276" w:lineRule="auto"/>
              <w:jc w:val="center"/>
            </w:pPr>
            <w:r>
              <w:rPr>
                <w:rFonts w:ascii="Times New Roman" w:hAnsi="Times New Roman" w:eastAsia="Times New Roman"/>
                <w:b w:val="0"/>
                <w:i w:val="0"/>
                <w:color w:val="000000"/>
                <w:sz w:val="17"/>
              </w:rPr>
              <w:t>−0.0445 [−0.0737, −0.0154]</w:t>
            </w:r>
          </w:p>
        </w:tc>
      </w:tr>
      <w:tr>
        <w:tc>
          <w:tcPr>
            <w:tcW w:type="dxa" w:w="3168"/>
          </w:tcPr>
          <w:p>
            <w:pPr>
              <w:spacing w:line="276" w:lineRule="auto"/>
              <w:jc w:val="left"/>
            </w:pPr>
            <w:r>
              <w:rPr>
                <w:rFonts w:ascii="Times New Roman" w:hAnsi="Times New Roman" w:eastAsia="Times New Roman"/>
                <w:b w:val="0"/>
                <w:i w:val="0"/>
                <w:color w:val="000000"/>
                <w:sz w:val="17"/>
              </w:rPr>
              <w:t>Heading error (deg)</w:t>
            </w:r>
          </w:p>
        </w:tc>
        <w:tc>
          <w:tcPr>
            <w:tcW w:type="dxa" w:w="3168"/>
          </w:tcPr>
          <w:p>
            <w:pPr>
              <w:spacing w:line="276" w:lineRule="auto"/>
              <w:jc w:val="center"/>
            </w:pPr>
            <w:r>
              <w:rPr>
                <w:rFonts w:ascii="Times New Roman" w:hAnsi="Times New Roman" w:eastAsia="Times New Roman"/>
                <w:b w:val="0"/>
                <w:i w:val="0"/>
                <w:color w:val="000000"/>
                <w:sz w:val="17"/>
              </w:rPr>
              <w:t>+0.32 [+0.29, +0.35]</w:t>
            </w:r>
          </w:p>
        </w:tc>
        <w:tc>
          <w:tcPr>
            <w:tcW w:type="dxa" w:w="3168"/>
          </w:tcPr>
          <w:p>
            <w:pPr>
              <w:spacing w:line="276" w:lineRule="auto"/>
              <w:jc w:val="center"/>
            </w:pPr>
            <w:r>
              <w:rPr>
                <w:rFonts w:ascii="Times New Roman" w:hAnsi="Times New Roman" w:eastAsia="Times New Roman"/>
                <w:b w:val="0"/>
                <w:i w:val="0"/>
                <w:color w:val="000000"/>
                <w:sz w:val="17"/>
              </w:rPr>
              <w:t>−0.73 [−1.41, −0.06]</w:t>
            </w:r>
          </w:p>
        </w:tc>
      </w:tr>
      <w:tr>
        <w:tc>
          <w:tcPr>
            <w:tcW w:type="dxa" w:w="3168"/>
          </w:tcPr>
          <w:p>
            <w:pPr>
              <w:spacing w:line="276" w:lineRule="auto"/>
              <w:jc w:val="left"/>
            </w:pPr>
            <w:r>
              <w:rPr>
                <w:rFonts w:ascii="Times New Roman" w:hAnsi="Times New Roman" w:eastAsia="Times New Roman"/>
                <w:b w:val="0"/>
                <w:i w:val="0"/>
                <w:color w:val="000000"/>
                <w:sz w:val="17"/>
              </w:rPr>
              <w:t>Applied control cost</w:t>
            </w:r>
          </w:p>
        </w:tc>
        <w:tc>
          <w:tcPr>
            <w:tcW w:type="dxa" w:w="3168"/>
          </w:tcPr>
          <w:p>
            <w:pPr>
              <w:spacing w:line="276" w:lineRule="auto"/>
              <w:jc w:val="center"/>
            </w:pPr>
            <w:r>
              <w:rPr>
                <w:rFonts w:ascii="Times New Roman" w:hAnsi="Times New Roman" w:eastAsia="Times New Roman"/>
                <w:b w:val="0"/>
                <w:i w:val="0"/>
                <w:color w:val="000000"/>
                <w:sz w:val="17"/>
              </w:rPr>
              <w:t>−0.52 [−0.56, −0.48]</w:t>
            </w:r>
          </w:p>
        </w:tc>
        <w:tc>
          <w:tcPr>
            <w:tcW w:type="dxa" w:w="3168"/>
          </w:tcPr>
          <w:p>
            <w:pPr>
              <w:spacing w:line="276" w:lineRule="auto"/>
              <w:jc w:val="center"/>
            </w:pPr>
            <w:r>
              <w:rPr>
                <w:rFonts w:ascii="Times New Roman" w:hAnsi="Times New Roman" w:eastAsia="Times New Roman"/>
                <w:b w:val="0"/>
                <w:i w:val="0"/>
                <w:color w:val="000000"/>
                <w:sz w:val="17"/>
              </w:rPr>
              <w:t>−1.78 [−2.31, −1.26]</w:t>
            </w:r>
          </w:p>
        </w:tc>
      </w:tr>
      <w:tr>
        <w:tc>
          <w:tcPr>
            <w:tcW w:type="dxa" w:w="3168"/>
          </w:tcPr>
          <w:p>
            <w:pPr>
              <w:spacing w:line="276" w:lineRule="auto"/>
              <w:jc w:val="left"/>
            </w:pPr>
            <w:r>
              <w:rPr>
                <w:rFonts w:ascii="Times New Roman" w:hAnsi="Times New Roman" w:eastAsia="Times New Roman"/>
                <w:b w:val="0"/>
                <w:i w:val="0"/>
                <w:color w:val="000000"/>
                <w:sz w:val="17"/>
              </w:rPr>
              <w:t>Deadline-miss fraction</w:t>
            </w:r>
          </w:p>
        </w:tc>
        <w:tc>
          <w:tcPr>
            <w:tcW w:type="dxa" w:w="3168"/>
          </w:tcPr>
          <w:p>
            <w:pPr>
              <w:spacing w:line="276" w:lineRule="auto"/>
              <w:jc w:val="center"/>
            </w:pPr>
            <w:r>
              <w:rPr>
                <w:rFonts w:ascii="Times New Roman" w:hAnsi="Times New Roman" w:eastAsia="Times New Roman"/>
                <w:b w:val="0"/>
                <w:i w:val="0"/>
                <w:color w:val="000000"/>
                <w:sz w:val="17"/>
              </w:rPr>
              <w:t>+0.028 [+0.010, +0.047]</w:t>
            </w:r>
          </w:p>
        </w:tc>
        <w:tc>
          <w:tcPr>
            <w:tcW w:type="dxa" w:w="3168"/>
          </w:tcPr>
          <w:p>
            <w:pPr>
              <w:spacing w:line="276" w:lineRule="auto"/>
              <w:jc w:val="center"/>
            </w:pPr>
            <w:r>
              <w:rPr>
                <w:rFonts w:ascii="Times New Roman" w:hAnsi="Times New Roman" w:eastAsia="Times New Roman"/>
                <w:b w:val="0"/>
                <w:i w:val="0"/>
                <w:color w:val="000000"/>
                <w:sz w:val="17"/>
              </w:rPr>
              <w:t>+0.107 [+0.094, +0.120]</w:t>
            </w:r>
          </w:p>
        </w:tc>
      </w:tr>
    </w:tbl>
    <w:p>
      <w:pPr>
        <w:spacing w:after="40"/>
      </w:pPr>
    </w:p>
    <w:p>
      <w:pPr>
        <w:spacing w:line="312" w:lineRule="auto" w:after="120"/>
        <w:jc w:val="both"/>
      </w:pPr>
      <w:r>
        <w:rPr>
          <w:rFonts w:ascii="Times New Roman" w:hAnsi="Times New Roman" w:eastAsia="Times New Roman"/>
          <w:b w:val="0"/>
          <w:i w:val="0"/>
          <w:color w:val="000000"/>
          <w:sz w:val="22"/>
        </w:rPr>
        <w:t>Against the six registered criteria concerning the residual stage, three pass (gains not purchased with heading, saturation, or constraint violations; ablation separability; stable direction across five seeds), two fail (overall non-inferiority, through the in-distribution +0.4% effect; deadline-miss non-worsening), and one—deployment inference time within the control period—was not evaluated and is the first gate of the hardware stage. The criteria are translated verbatim from the registered Chinese original.</w:t>
      </w:r>
    </w:p>
    <w:p>
      <w:pPr>
        <w:spacing w:line="312" w:lineRule="auto" w:before="280" w:after="120"/>
      </w:pPr>
      <w:r>
        <w:rPr>
          <w:rFonts w:ascii="Times New Roman" w:hAnsi="Times New Roman" w:eastAsia="Times New Roman"/>
          <w:b/>
          <w:i w:val="0"/>
          <w:color w:val="000000"/>
          <w:sz w:val="26"/>
        </w:rPr>
        <w:t>7  Limitations and Discussion</w:t>
      </w:r>
    </w:p>
    <w:p>
      <w:pPr>
        <w:spacing w:line="312" w:lineRule="auto" w:after="120"/>
        <w:jc w:val="both"/>
      </w:pPr>
      <w:r>
        <w:rPr>
          <w:rFonts w:ascii="Times New Roman" w:hAnsi="Times New Roman" w:eastAsia="Times New Roman"/>
          <w:b w:val="0"/>
          <w:i w:val="0"/>
          <w:color w:val="000000"/>
          <w:sz w:val="22"/>
        </w:rPr>
        <w:t>The central result is that a two-thousand-parameter residual, acting only on a bounded authority coefficient, converts a supervised arbitration policy that fails under distribution shift into one that matches a strong constant blend overall and exceeds it mainly where adaptation is hardest. The safety argument is architectural: zero initialization guarantees numerical equivalence to the deployed baseline at deployment, bounded output limits every perturbation, and fixed fallbacks bound the worst case by the baseline itself. This positions the contribution against residual reinforcement learning [5], which perturbs actuator commands, and learned safety filters [11], which place a learned component in the safety path.</w:t>
      </w:r>
    </w:p>
    <w:p>
      <w:pPr>
        <w:spacing w:line="312" w:lineRule="auto" w:after="120"/>
        <w:jc w:val="both"/>
      </w:pPr>
      <w:r>
        <w:rPr>
          <w:rFonts w:ascii="Times New Roman" w:hAnsi="Times New Roman" w:eastAsia="Times New Roman"/>
          <w:b w:val="0"/>
          <w:i w:val="0"/>
          <w:color w:val="000000"/>
          <w:sz w:val="22"/>
        </w:rPr>
        <w:t>Six boundaries qualify these claims. First, all evidence is simulation-level. Second, the feature set receives exact current information, which hardware must estimate. Third, out-of-distribution means disturbance-family sampling, not arbitrary field conditions. Fourth, in-distribution non-inferiority failed (+0.4% position, +4.3% heading). Fifth, the deadline-miss increase (+0.107) has no established cause. Sixth, deployment latency of the composite policy is unmeasured.</w:t>
      </w:r>
    </w:p>
    <w:p>
      <w:pPr>
        <w:spacing w:line="312" w:lineRule="auto" w:after="120"/>
        <w:jc w:val="both"/>
      </w:pPr>
      <w:r>
        <w:rPr>
          <w:rFonts w:ascii="Times New Roman" w:hAnsi="Times New Roman" w:eastAsia="Times New Roman"/>
          <w:b w:val="0"/>
          <w:i w:val="0"/>
          <w:color w:val="000000"/>
          <w:sz w:val="22"/>
        </w:rPr>
        <w:t>These boundaries define the registered next experiments. First, a direct-RL arm—an end-to-end TD3 policy emitting thruster commands on the same grid—completes the comparison hierarchy that residual-RL studies expect. Second, a constant-authority sweep over α ∈ {0, 0.25, 0.5, 0.75, 1} exposes the trust landscape that the policy navigates. Both require new registered runs. Third, a second residual round with the final encoder block unfrozen targets the in-distribution effect. Fourth, isolation of the deadline mechanism. Fifth, the hardware protocol of Section 8, whose first gate is deployment latency.</w:t>
      </w:r>
    </w:p>
    <w:p>
      <w:pPr>
        <w:spacing w:line="312" w:lineRule="auto" w:before="280" w:after="120"/>
      </w:pPr>
      <w:r>
        <w:rPr>
          <w:rFonts w:ascii="Times New Roman" w:hAnsi="Times New Roman" w:eastAsia="Times New Roman"/>
          <w:b/>
          <w:i w:val="0"/>
          <w:color w:val="000000"/>
          <w:sz w:val="26"/>
        </w:rPr>
        <w:t>8  Planned Hardware Validation</w:t>
      </w:r>
    </w:p>
    <w:p>
      <w:pPr>
        <w:spacing w:line="312" w:lineRule="auto" w:after="120"/>
        <w:jc w:val="both"/>
      </w:pPr>
      <w:r>
        <w:rPr>
          <w:rFonts w:ascii="Times New Roman" w:hAnsi="Times New Roman" w:eastAsia="Times New Roman"/>
          <w:b w:val="0"/>
          <w:i w:val="0"/>
          <w:color w:val="000000"/>
          <w:sz w:val="22"/>
        </w:rPr>
        <w:t>The paper is not submission-ready without physical experiments. The planned study deploys the same SMC, MPC expert, supervised PAC, and residual PAC checkpoints on the 10-kg six-thruster vehicle. The protocol includes at least ten independent trials per method and disturbance condition, randomized controller order, a fixed battery-voltage acceptance window, and identical trajectory and actuator limits. Disturbances progress from quiescent water to steady cross-flow, a repeatable step-like disturbance from a tethered pull or calibrated flow source, and—specific to this paper's claims—an injected actuator-degradation condition realized by a validated first-order command lag plus noise on a subset of thrusters.</w:t>
      </w:r>
    </w:p>
    <w:p>
      <w:pPr>
        <w:spacing w:line="312" w:lineRule="auto" w:after="120"/>
        <w:jc w:val="both"/>
      </w:pPr>
      <w:r>
        <w:rPr>
          <w:rFonts w:ascii="Times New Roman" w:hAnsi="Times New Roman" w:eastAsia="Times New Roman"/>
          <w:b w:val="0"/>
          <w:i w:val="0"/>
          <w:color w:val="000000"/>
          <w:sz w:val="22"/>
        </w:rPr>
        <w:t>The onboard estimator must provide pose, body velocity, and a causal current estimate from IMU, depth, DVL, and localization; the exact simulator current must not be exposed. Beyond position and attitude RMSE, the hardware section reports maximum error, success rate, measured electrical energy, per-step inference latency, end-to-end control-loop latency (the unevaluated criterion), saturation duration, and emergency interventions. Placeholder items (platform dimensions, sensor suite, test-site calibration, trial counts) must be filled with measured values only; they must not be replaced with simulated or expected data.</w:t>
      </w:r>
    </w:p>
    <w:p>
      <w:pPr>
        <w:spacing w:line="312" w:lineRule="auto" w:before="280" w:after="120"/>
      </w:pPr>
      <w:r>
        <w:rPr>
          <w:rFonts w:ascii="Times New Roman" w:hAnsi="Times New Roman" w:eastAsia="Times New Roman"/>
          <w:b/>
          <w:i w:val="0"/>
          <w:color w:val="000000"/>
          <w:sz w:val="26"/>
        </w:rPr>
        <w:t>9  Future Directions</w:t>
      </w:r>
    </w:p>
    <w:p>
      <w:pPr>
        <w:spacing w:line="312" w:lineRule="auto" w:after="120"/>
        <w:jc w:val="both"/>
      </w:pPr>
      <w:r>
        <w:rPr>
          <w:rFonts w:ascii="Times New Roman" w:hAnsi="Times New Roman" w:eastAsia="Times New Roman"/>
          <w:b w:val="0"/>
          <w:i w:val="0"/>
          <w:color w:val="000000"/>
          <w:sz w:val="22"/>
        </w:rPr>
        <w:t>The immediate extension is a second residual round under a registered rule: unfreeze the final encoder block, target the in-distribution regressions (+0.4% position, +4.3% heading), and decide in advance that both rounds are reported whichever way the comparison ends. The bounded-residual interface makes this an incremental step rather than a redesign—the worst case of the new round is still the deployed baseline of the current one.</w:t>
      </w:r>
    </w:p>
    <w:p>
      <w:pPr>
        <w:spacing w:line="312" w:lineRule="auto" w:after="120"/>
        <w:jc w:val="both"/>
      </w:pPr>
      <w:r>
        <w:rPr>
          <w:rFonts w:ascii="Times New Roman" w:hAnsi="Times New Roman" w:eastAsia="Times New Roman"/>
          <w:b w:val="0"/>
          <w:i w:val="0"/>
          <w:color w:val="000000"/>
          <w:sz w:val="22"/>
        </w:rPr>
        <w:t>The world-model route has concrete, separable levers. Calibration comes first, because a rank-valid but miscalibrated signal (14.5% and 32.8% empirical coverage at 68% and 95% nominal) cannot be gated safely; conformal or ensemble-recalibration methods apply directly. Gate policy and refresh interval come second: the current gate opens on only 4–5% of steps, so raising engagement where advice can change outcomes is a design variable, not a property of the model. Joint training comes third, letting world-model predictions participate in the residual objective rather than entering only as input features. The promotion rule is fixed in advance: a closed-loop gain under the registered evaluation promotes the world model into the method; otherwise it remains an ablation.</w:t>
      </w:r>
    </w:p>
    <w:p>
      <w:pPr>
        <w:spacing w:line="312" w:lineRule="auto" w:after="120"/>
        <w:jc w:val="both"/>
      </w:pPr>
      <w:r>
        <w:rPr>
          <w:rFonts w:ascii="Times New Roman" w:hAnsi="Times New Roman" w:eastAsia="Times New Roman"/>
          <w:b w:val="0"/>
          <w:i w:val="0"/>
          <w:color w:val="000000"/>
          <w:sz w:val="22"/>
        </w:rPr>
        <w:t>The hardware campaign of Section 8 executes the protocol as written, with two additions informed by this study: the injected actuator-degradation condition is the primary OOD test, and the causal current estimator replaces the privileged simulator input so that authority decisions are made on the same information a fielded vehicle would have. Before the campaign, an isolation experiment should separate the two candidate mechanisms behind the deadline-miss increase—trajectory-dependent solver conditioning and advisory-computation wall-time—because the answer determines what the hardware logging must instrument.</w:t>
      </w:r>
    </w:p>
    <w:p>
      <w:pPr>
        <w:spacing w:line="312" w:lineRule="auto" w:after="120"/>
        <w:jc w:val="both"/>
      </w:pPr>
      <w:r>
        <w:rPr>
          <w:rFonts w:ascii="Times New Roman" w:hAnsi="Times New Roman" w:eastAsia="Times New Roman"/>
          <w:b w:val="0"/>
          <w:i w:val="0"/>
          <w:color w:val="000000"/>
          <w:sz w:val="22"/>
        </w:rPr>
        <w:t>Two further directions are open. On theory, the time-varying convex blend lacks a formal stability argument; a common-Lyapunov or dwell-time and rate condition for the switched structure would complement the architectural safety argument with an analytical one. On generality, the authority interface extends beyond two experts—per-axis coefficients, larger expert sets, and experts added or removed at run time—and the certification structure developed here (zero initialization, bounded residual, fixed fallbacks) is a candidate template for other learned components in safety-relevant loops.</w:t>
      </w:r>
    </w:p>
    <w:p>
      <w:pPr>
        <w:spacing w:line="312" w:lineRule="auto" w:before="280" w:after="120"/>
      </w:pPr>
      <w:r>
        <w:rPr>
          <w:rFonts w:ascii="Times New Roman" w:hAnsi="Times New Roman" w:eastAsia="Times New Roman"/>
          <w:b/>
          <w:i w:val="0"/>
          <w:color w:val="000000"/>
          <w:sz w:val="26"/>
        </w:rPr>
        <w:t>10  Conclusion</w:t>
      </w:r>
    </w:p>
    <w:p>
      <w:pPr>
        <w:spacing w:line="312" w:lineRule="auto" w:after="120"/>
        <w:jc w:val="both"/>
      </w:pPr>
      <w:r>
        <w:rPr>
          <w:rFonts w:ascii="Times New Roman" w:hAnsi="Times New Roman" w:eastAsia="Times New Roman"/>
          <w:b w:val="0"/>
          <w:i w:val="0"/>
          <w:color w:val="000000"/>
          <w:sz w:val="22"/>
        </w:rPr>
        <w:t>PAC reframes learned underwater control as a trust question between structured controllers, and the residual stage repairs that trust under distribution shift: the OOD tracking error falls by 28% with intervals excluding zero at both seed and episode level, the degradation failure of the optimizer is confined to 0.090 m, and every cost is measured against criteria fixed before training. The learned component remains bounded, auditable as a single coefficient trajectory, and worst-case equivalent to the deployed baseline. Hardware validation, causal current estimation, latency measurement, and stability analysis of the time-varying blend remain required before any fielded-robustness claim.</w:t>
      </w:r>
    </w:p>
    <w:p>
      <w:pPr>
        <w:spacing w:line="312" w:lineRule="auto" w:before="280" w:after="120"/>
      </w:pPr>
      <w:r>
        <w:rPr>
          <w:rFonts w:ascii="Times New Roman" w:hAnsi="Times New Roman" w:eastAsia="Times New Roman"/>
          <w:b/>
          <w:i w:val="0"/>
          <w:color w:val="000000"/>
          <w:sz w:val="26"/>
        </w:rPr>
        <w:t>Data Availability</w:t>
      </w:r>
    </w:p>
    <w:p>
      <w:pPr>
        <w:spacing w:line="312" w:lineRule="auto" w:after="120"/>
        <w:jc w:val="both"/>
      </w:pPr>
      <w:r>
        <w:rPr>
          <w:rFonts w:ascii="Times New Roman" w:hAnsi="Times New Roman" w:eastAsia="Times New Roman"/>
          <w:b w:val="0"/>
          <w:i w:val="0"/>
          <w:color w:val="000000"/>
          <w:sz w:val="22"/>
        </w:rPr>
        <w:t>All reported quantities derive from hash-frozen archives (configuration, dataset, and checkpoint digests with per-file checksums) covering the supervised and residual training stages and the paired evaluation. Source data for every figure and table are regenerated from these archives by the repository build scripts; the trajectory figures replay the archived episodes deterministically from the frozen checkpoints.</w:t>
      </w:r>
    </w:p>
    <w:p>
      <w:pPr>
        <w:spacing w:line="312" w:lineRule="auto" w:before="280" w:after="120"/>
      </w:pPr>
      <w:r>
        <w:rPr>
          <w:rFonts w:ascii="Times New Roman" w:hAnsi="Times New Roman" w:eastAsia="Times New Roman"/>
          <w:b/>
          <w:i w:val="0"/>
          <w:color w:val="000000"/>
          <w:sz w:val="26"/>
        </w:rPr>
        <w:t>References</w:t>
      </w:r>
    </w:p>
    <w:p>
      <w:pPr>
        <w:spacing w:line="312" w:lineRule="auto" w:after="60"/>
        <w:ind w:left="425" w:hanging="425"/>
      </w:pPr>
      <w:r>
        <w:rPr>
          <w:rFonts w:ascii="Times New Roman" w:hAnsi="Times New Roman" w:eastAsia="Times New Roman"/>
          <w:b w:val="0"/>
          <w:i w:val="0"/>
          <w:color w:val="000000"/>
          <w:sz w:val="19"/>
        </w:rPr>
        <w:t>[1]  T. I. Fossen, Handbook of Marine Craft Hydrodynamics and Motion Control, 2nd ed. Wiley, 2021.</w:t>
      </w:r>
    </w:p>
    <w:p>
      <w:pPr>
        <w:spacing w:line="312" w:lineRule="auto" w:after="60"/>
        <w:ind w:left="425" w:hanging="425"/>
      </w:pPr>
      <w:r>
        <w:rPr>
          <w:rFonts w:ascii="Times New Roman" w:hAnsi="Times New Roman" w:eastAsia="Times New Roman"/>
          <w:b w:val="0"/>
          <w:i w:val="0"/>
          <w:color w:val="000000"/>
          <w:sz w:val="19"/>
        </w:rPr>
        <w:t>[2]  G. Antonelli, Underwater Robots: Motion and Force Control of Vehicle-Manipulator Systems, 3rd ed. Springer, 2014.</w:t>
      </w:r>
    </w:p>
    <w:p>
      <w:pPr>
        <w:spacing w:line="312" w:lineRule="auto" w:after="60"/>
        <w:ind w:left="425" w:hanging="425"/>
      </w:pPr>
      <w:r>
        <w:rPr>
          <w:rFonts w:ascii="Times New Roman" w:hAnsi="Times New Roman" w:eastAsia="Times New Roman"/>
          <w:b w:val="0"/>
          <w:i w:val="0"/>
          <w:color w:val="000000"/>
          <w:sz w:val="19"/>
        </w:rPr>
        <w:t>[3]  E. F. Camacho and C. Bordons Alba, Model Predictive Control, 2nd ed. Springer, 2013.</w:t>
      </w:r>
    </w:p>
    <w:p>
      <w:pPr>
        <w:spacing w:line="312" w:lineRule="auto" w:after="60"/>
        <w:ind w:left="425" w:hanging="425"/>
      </w:pPr>
      <w:r>
        <w:rPr>
          <w:rFonts w:ascii="Times New Roman" w:hAnsi="Times New Roman" w:eastAsia="Times New Roman"/>
          <w:b w:val="0"/>
          <w:i w:val="0"/>
          <w:color w:val="000000"/>
          <w:sz w:val="19"/>
        </w:rPr>
        <w:t>[4]  L. Hewing, K. P. Wabersich, M. Menner, and M. N. Zeilinger, “Learning-based model predictive control: Toward safe learning in control,” Annual Review of Control, Robotics, and Autonomous Systems, vol. 3, pp. 269–296, 2020.</w:t>
      </w:r>
    </w:p>
    <w:p>
      <w:pPr>
        <w:spacing w:line="312" w:lineRule="auto" w:after="60"/>
        <w:ind w:left="425" w:hanging="425"/>
      </w:pPr>
      <w:r>
        <w:rPr>
          <w:rFonts w:ascii="Times New Roman" w:hAnsi="Times New Roman" w:eastAsia="Times New Roman"/>
          <w:b w:val="0"/>
          <w:i w:val="0"/>
          <w:color w:val="000000"/>
          <w:sz w:val="19"/>
        </w:rPr>
        <w:t>[5]  T. Johannink et al., “Residual reinforcement learning for robot control,” in Proc. IEEE ICRA, 2019, pp. 6023–6029.</w:t>
      </w:r>
    </w:p>
    <w:p>
      <w:pPr>
        <w:spacing w:line="312" w:lineRule="auto" w:after="60"/>
        <w:ind w:left="425" w:hanging="425"/>
      </w:pPr>
      <w:r>
        <w:rPr>
          <w:rFonts w:ascii="Times New Roman" w:hAnsi="Times New Roman" w:eastAsia="Times New Roman"/>
          <w:b w:val="0"/>
          <w:i w:val="0"/>
          <w:color w:val="000000"/>
          <w:sz w:val="19"/>
        </w:rPr>
        <w:t>[6]  A. Romero, Y. Song, and D. Scaramuzza, “Actor-critic model predictive control,” in Proc. IEEE ICRA, 2024, pp. 14777–14784.</w:t>
      </w:r>
    </w:p>
    <w:p>
      <w:pPr>
        <w:spacing w:line="312" w:lineRule="auto" w:after="60"/>
        <w:ind w:left="425" w:hanging="425"/>
      </w:pPr>
      <w:r>
        <w:rPr>
          <w:rFonts w:ascii="Times New Roman" w:hAnsi="Times New Roman" w:eastAsia="Times New Roman"/>
          <w:b w:val="0"/>
          <w:i w:val="0"/>
          <w:color w:val="000000"/>
          <w:sz w:val="19"/>
        </w:rPr>
        <w:t>[7]  K. Nguyen, S. Schoedel, A. Alavilli, B. Plancher, and Z. Manchester, “TinyMPC: Model-predictive control on resource-constrained microcontrollers,” in Proc. IEEE ICRA, 2024.</w:t>
      </w:r>
    </w:p>
    <w:p>
      <w:pPr>
        <w:spacing w:line="312" w:lineRule="auto" w:after="60"/>
        <w:ind w:left="425" w:hanging="425"/>
      </w:pPr>
      <w:r>
        <w:rPr>
          <w:rFonts w:ascii="Times New Roman" w:hAnsi="Times New Roman" w:eastAsia="Times New Roman"/>
          <w:b w:val="0"/>
          <w:i w:val="0"/>
          <w:color w:val="000000"/>
          <w:sz w:val="19"/>
        </w:rPr>
        <w:t>[8]  L. Cai, K. Chang, and Y. Girdhar, “Learning to swim: Reinforcement learning for 6-DOF control of thruster-driven autonomous underwater vehicles,” in Proc. IEEE ICRA, 2025, pp. 11286–11293.</w:t>
      </w:r>
    </w:p>
    <w:p>
      <w:pPr>
        <w:spacing w:line="312" w:lineRule="auto" w:after="60"/>
        <w:ind w:left="425" w:hanging="425"/>
      </w:pPr>
      <w:r>
        <w:rPr>
          <w:rFonts w:ascii="Times New Roman" w:hAnsi="Times New Roman" w:eastAsia="Times New Roman"/>
          <w:b w:val="0"/>
          <w:i w:val="0"/>
          <w:color w:val="000000"/>
          <w:sz w:val="19"/>
        </w:rPr>
        <w:t>[9]  X. Lin et al., “UIVNAV: Underwater information-driven vision-based navigation via imitation learning,” in Proc. IEEE ICRA, 2024, pp. 5250–5256.</w:t>
      </w:r>
    </w:p>
    <w:p>
      <w:pPr>
        <w:spacing w:line="312" w:lineRule="auto" w:after="60"/>
        <w:ind w:left="425" w:hanging="425"/>
      </w:pPr>
      <w:r>
        <w:rPr>
          <w:rFonts w:ascii="Times New Roman" w:hAnsi="Times New Roman" w:eastAsia="Times New Roman"/>
          <w:b w:val="0"/>
          <w:i w:val="0"/>
          <w:color w:val="000000"/>
          <w:sz w:val="19"/>
        </w:rPr>
        <w:t>[10]  Y. Fan, H. Dong, X. Zhao, and P. Denissenko, “Path-following control of unmanned underwater vehicle based on an improved TD3 deep reinforcement learning,” IEEE Trans. Control Systems Technology, vol. 32, no. 5, pp. 1904–1919, 2024.</w:t>
      </w:r>
    </w:p>
    <w:p>
      <w:pPr>
        <w:spacing w:line="312" w:lineRule="auto" w:after="60"/>
        <w:ind w:left="425" w:hanging="425"/>
      </w:pPr>
      <w:r>
        <w:rPr>
          <w:rFonts w:ascii="Times New Roman" w:hAnsi="Times New Roman" w:eastAsia="Times New Roman"/>
          <w:b w:val="0"/>
          <w:i w:val="0"/>
          <w:color w:val="000000"/>
          <w:sz w:val="19"/>
        </w:rPr>
        <w:t>[11]  O. So et al., “How to train your neural control barrier function: Learning safety filters for complex input-constrained systems,” in Proc. IEEE ICRA, 2024, pp. 11532–11539.</w:t>
      </w:r>
    </w:p>
    <w:p>
      <w:pPr>
        <w:spacing w:line="312" w:lineRule="auto" w:after="60"/>
        <w:ind w:left="425" w:hanging="425"/>
      </w:pPr>
      <w:r>
        <w:rPr>
          <w:rFonts w:ascii="Times New Roman" w:hAnsi="Times New Roman" w:eastAsia="Times New Roman"/>
          <w:b w:val="0"/>
          <w:i w:val="0"/>
          <w:color w:val="000000"/>
          <w:sz w:val="19"/>
        </w:rPr>
        <w:t>[12]  A. Vaswani et al., “Attention is all you need,” in Advances in Neural Information Processing Systems, vol. 30, 2017, pp. 5998–6008.</w:t>
      </w:r>
    </w:p>
    <w:p>
      <w:pPr>
        <w:spacing w:line="312" w:lineRule="auto" w:after="60"/>
        <w:ind w:left="425" w:hanging="425"/>
      </w:pPr>
      <w:r>
        <w:rPr>
          <w:rFonts w:ascii="Times New Roman" w:hAnsi="Times New Roman" w:eastAsia="Times New Roman"/>
          <w:b w:val="0"/>
          <w:i w:val="0"/>
          <w:color w:val="000000"/>
          <w:sz w:val="19"/>
        </w:rPr>
        <w:t>[13]  L. Chen et al., “Decision Transformer: Reinforcement learning via sequence modeling,” in Advances in Neural Information Processing Systems, vol. 34, 2021, pp. 15084–15097.</w:t>
      </w:r>
    </w:p>
    <w:p>
      <w:pPr>
        <w:spacing w:line="312" w:lineRule="auto" w:after="60"/>
        <w:ind w:left="425" w:hanging="425"/>
      </w:pPr>
      <w:r>
        <w:rPr>
          <w:rFonts w:ascii="Times New Roman" w:hAnsi="Times New Roman" w:eastAsia="Times New Roman"/>
          <w:b w:val="0"/>
          <w:i w:val="0"/>
          <w:color w:val="000000"/>
          <w:sz w:val="19"/>
        </w:rPr>
        <w:t>[14]  M. Janner, Q. Li, and S. Levine, “Offline reinforcement learning as one big sequence modeling problem,” in Advances in Neural Information Processing Systems, vol. 34, 2021, pp. 1273–1286.</w:t>
      </w:r>
    </w:p>
    <w:p>
      <w:pPr>
        <w:spacing w:line="312" w:lineRule="auto" w:after="60"/>
        <w:ind w:left="425" w:hanging="425"/>
      </w:pPr>
      <w:r>
        <w:rPr>
          <w:rFonts w:ascii="Times New Roman" w:hAnsi="Times New Roman" w:eastAsia="Times New Roman"/>
          <w:b w:val="0"/>
          <w:i w:val="0"/>
          <w:color w:val="000000"/>
          <w:sz w:val="19"/>
        </w:rPr>
        <w:t>[15]  C. Chi et al., “Diffusion policy: Visuomotor policy learning via action diffusion,” in Robotics: Science and Systems, 2023.</w:t>
      </w:r>
    </w:p>
    <w:p>
      <w:pPr>
        <w:spacing w:line="312" w:lineRule="auto" w:after="60"/>
        <w:ind w:left="425" w:hanging="425"/>
      </w:pPr>
      <w:r>
        <w:rPr>
          <w:rFonts w:ascii="Times New Roman" w:hAnsi="Times New Roman" w:eastAsia="Times New Roman"/>
          <w:b w:val="0"/>
          <w:i w:val="0"/>
          <w:color w:val="000000"/>
          <w:sz w:val="19"/>
        </w:rPr>
        <w:t>[16]  D. Liberzon, Switching in Systems and Control. Birkhäuser, 2003.</w:t>
      </w:r>
    </w:p>
    <w:p>
      <w:pPr>
        <w:spacing w:line="312" w:lineRule="auto" w:after="60"/>
        <w:ind w:left="425" w:hanging="425"/>
      </w:pPr>
      <w:r>
        <w:rPr>
          <w:rFonts w:ascii="Times New Roman" w:hAnsi="Times New Roman" w:eastAsia="Times New Roman"/>
          <w:b w:val="0"/>
          <w:i w:val="0"/>
          <w:color w:val="000000"/>
          <w:sz w:val="19"/>
        </w:rPr>
        <w:t>[17]  Z. Zhao, X. Liu, T. Wang, Z. Zhou, and M. Zhang, “Hybrid control scheme of nonlinear model prediction and adaptive terminal sliding mode for underwater vehicles based on threshold switching,” ISA Transactions, vol. 176, pp. 580–590, 2026.</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 arabic \* MERGEFORMAT">
      <w:r>
        <w:rPr>
          <w:sz w:val="18"/>
          <w:color w:val="808080"/>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eastAsia="Times New Roman"/>
        <w:b w:val="0"/>
        <w:i w:val="0"/>
        <w:color w:val="606060"/>
        <w:sz w:val="18"/>
      </w:rPr>
      <w:t>Predictive Authority Control for Autonomous Underwater Vehicles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