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00"/>
        <w:jc w:val="center"/>
      </w:pPr>
      <w:r>
        <w:rPr>
          <w:rFonts w:ascii="Times New Roman" w:hAnsi="Times New Roman" w:eastAsia="黑体"/>
          <w:b/>
          <w:i w:val="0"/>
          <w:color w:val="000000"/>
          <w:sz w:val="30"/>
        </w:rPr>
        <w:t>预测权限控制：学习对各控制器的信任程度，并在分布偏移下修复这种信任*</w:t>
      </w:r>
    </w:p>
    <w:p>
      <w:pPr>
        <w:spacing w:line="312" w:lineRule="auto" w:after="40"/>
        <w:jc w:val="center"/>
      </w:pPr>
      <w:r>
        <w:rPr>
          <w:rFonts w:ascii="Times New Roman" w:hAnsi="Times New Roman" w:eastAsia="楷体"/>
          <w:b w:val="0"/>
          <w:i/>
          <w:color w:val="000000"/>
          <w:sz w:val="22"/>
        </w:rPr>
        <w:t>[作者姓名]</w:t>
      </w:r>
    </w:p>
    <w:p>
      <w:pPr>
        <w:spacing w:line="312" w:lineRule="auto" w:after="40"/>
        <w:jc w:val="center"/>
      </w:pPr>
      <w:r>
        <w:rPr>
          <w:rFonts w:ascii="Times New Roman" w:hAnsi="Times New Roman" w:eastAsia="楷体"/>
          <w:b w:val="0"/>
          <w:i/>
          <w:color w:val="000000"/>
          <w:sz w:val="20"/>
        </w:rPr>
        <w:t>[作者单位]</w:t>
      </w:r>
    </w:p>
    <w:p>
      <w:pPr>
        <w:spacing w:line="312" w:lineRule="auto" w:after="240"/>
        <w:jc w:val="center"/>
      </w:pPr>
      <w:r>
        <w:rPr>
          <w:rFonts w:ascii="Times New Roman" w:hAnsi="Times New Roman" w:eastAsia="楷体"/>
          <w:b w:val="0"/>
          <w:i/>
          <w:color w:val="606060"/>
          <w:sz w:val="18"/>
        </w:rPr>
        <w:t>* 缩写 PAC 与机器学习中的 probably approximately correct（概率近似正确）学习无关。</w:t>
      </w:r>
    </w:p>
    <w:p>
      <w:pPr>
        <w:spacing w:line="312" w:lineRule="auto" w:before="280" w:after="120"/>
      </w:pPr>
      <w:r>
        <w:rPr>
          <w:rFonts w:ascii="Times New Roman" w:hAnsi="Times New Roman" w:eastAsia="黑体"/>
          <w:b/>
          <w:i w:val="0"/>
          <w:color w:val="000000"/>
          <w:sz w:val="26"/>
        </w:rPr>
        <w:t>摘　要</w:t>
      </w:r>
    </w:p>
    <w:p>
      <w:pPr>
        <w:spacing w:line="312" w:lineRule="auto" w:after="120"/>
        <w:ind w:firstLine="420"/>
        <w:jc w:val="both"/>
      </w:pPr>
      <w:r>
        <w:rPr>
          <w:rFonts w:ascii="Times New Roman" w:hAnsi="Times New Roman" w:eastAsia="宋体"/>
          <w:b w:val="0"/>
          <w:i w:val="0"/>
          <w:color w:val="000000"/>
          <w:sz w:val="21"/>
        </w:rPr>
        <w:t>经典水下控制器以互补的方式失效：滑模控制（SMC）鲁棒但粗糙；受约束模型预测控制（MPC）精准，却在执行器退化下崩溃——我们的仿真中其跟踪误差达 0.822 m，约为正常水平的九倍。预测权限控制（PAC）不替代这些控制器：一个紧凑的时序编码器预测有界的权限系数，对两个专家指令做凸混合，推进器指令从不由网络产生。本文在监督策略（PAC-S）之上引入受约束残差阶段（PAC-RL）：监督器冻结，新增零初始化的 2,177 参数头输出不超过 0.1 的修正量，系统在部署起点与基线数值一致。在 1,680 次配对、预注册的仿真滚动评估中（覆盖分布内与分布外扰动族），PAC-RL 将分布外（相对扰动族采样）跟踪均方根误差降低 28%（0.161 m 至 0.116 m；95% 置信区间 [−0.074, −0.015] m），将退化失效约束至 0.090 m，并付出可测量的代价：分布内误差 +0.4%、艏向误差 +4.3%、求解器超时率上升。固定混合 α=0.5 总体上与之相差不足 3%，因此残差的价值集中在最需要自适应处，而非平均值。预注册判定中与残差阶段相关的六项准则：三项通过、两项未通过、一项未评估，全部如实报告。</w:t>
      </w:r>
    </w:p>
    <w:p>
      <w:pPr>
        <w:spacing w:line="312" w:lineRule="auto" w:after="240"/>
        <w:ind w:firstLine="420"/>
        <w:jc w:val="both"/>
      </w:pPr>
      <w:r>
        <w:rPr>
          <w:rFonts w:ascii="Times New Roman" w:hAnsi="Times New Roman" w:eastAsia="宋体"/>
          <w:b/>
          <w:i w:val="0"/>
          <w:color w:val="000000"/>
          <w:sz w:val="21"/>
        </w:rPr>
        <w:t>全部证据为仿真级别；第 8 节的硬件验证协议尚待执行。</w:t>
      </w:r>
    </w:p>
    <w:p>
      <w:pPr>
        <w:spacing w:line="312" w:lineRule="auto" w:before="280" w:after="120"/>
      </w:pPr>
      <w:r>
        <w:rPr>
          <w:rFonts w:ascii="Times New Roman" w:hAnsi="Times New Roman" w:eastAsia="黑体"/>
          <w:b/>
          <w:i w:val="0"/>
          <w:color w:val="000000"/>
          <w:sz w:val="26"/>
        </w:rPr>
        <w:t>1  引言</w:t>
      </w:r>
    </w:p>
    <w:p>
      <w:pPr>
        <w:spacing w:line="312" w:lineRule="auto" w:after="120"/>
        <w:ind w:firstLine="420"/>
        <w:jc w:val="both"/>
      </w:pPr>
      <w:r>
        <w:rPr>
          <w:rFonts w:ascii="Times New Roman" w:hAnsi="Times New Roman" w:eastAsia="宋体"/>
          <w:b w:val="0"/>
          <w:i w:val="0"/>
          <w:color w:val="000000"/>
          <w:sz w:val="21"/>
        </w:rPr>
        <w:t>精确轨迹跟踪是自主水下航行器（AUV）巡检、作业与取样的核心。该任务至今困难：水动力系数不确定、海流随海域变化、推进器随老化出现响应延迟与噪声[1,2]。SMC 以透明的反馈结构抑制有界扰动，但代价是保守增益与抖振；MPC 引入预测与约束[3]，其性能却依赖模型保真度——执行器退化后内部模型不再代表真实对象，优化器在错误前提上自信地给出失效指令。</w:t>
      </w:r>
    </w:p>
    <w:p>
      <w:pPr>
        <w:spacing w:line="312" w:lineRule="auto" w:after="120"/>
        <w:ind w:firstLine="420"/>
        <w:jc w:val="both"/>
      </w:pPr>
      <w:r>
        <w:rPr>
          <w:rFonts w:ascii="Times New Roman" w:hAnsi="Times New Roman" w:eastAsia="宋体"/>
          <w:b w:val="0"/>
          <w:i w:val="0"/>
          <w:color w:val="000000"/>
          <w:sz w:val="21"/>
        </w:rPr>
        <w:t>本文只回答一个问题：面对两个完整且互补的控制器，航行器每一时刻应当各信任多少？答案随扰动状态连续变化，无法由人工设计的切换规则解决[16]。</w:t>
      </w:r>
    </w:p>
    <w:p>
      <w:pPr>
        <w:spacing w:line="312" w:lineRule="auto" w:after="120"/>
        <w:ind w:firstLine="420"/>
        <w:jc w:val="both"/>
      </w:pPr>
      <w:r>
        <w:rPr>
          <w:rFonts w:ascii="Times New Roman" w:hAnsi="Times New Roman" w:eastAsia="宋体"/>
          <w:b w:val="0"/>
          <w:i w:val="0"/>
          <w:color w:val="000000"/>
          <w:sz w:val="21"/>
        </w:rPr>
        <w:t>我们以权限分配研究该问题。PAC 策略不学习六维推进器指令，而是预测标量 αₜ ∈ [0,1] 并施加</w:t>
      </w:r>
    </w:p>
    <w:p>
      <w:pPr>
        <w:spacing w:line="312" w:lineRule="auto" w:before="80" w:after="120"/>
        <w:jc w:val="center"/>
      </w:pPr>
      <w:r>
        <w:rPr>
          <w:rFonts w:ascii="Times New Roman" w:hAnsi="Times New Roman" w:eastAsia="楷体"/>
          <w:b w:val="0"/>
          <w:i/>
          <w:color w:val="000000"/>
          <w:sz w:val="21"/>
        </w:rPr>
        <w:t>uₜ = (1 − αₜ) uₜᴴᴹᶜ + αₜ uₜᴹᴳᶜ ,   αₜ ∈ [0, 1],   (1)</w:t>
      </w:r>
    </w:p>
    <w:p>
      <w:pPr>
        <w:spacing w:line="312" w:lineRule="auto" w:after="120"/>
        <w:ind w:firstLine="420"/>
        <w:jc w:val="both"/>
      </w:pPr>
      <w:r>
        <w:rPr>
          <w:rFonts w:ascii="Times New Roman" w:hAnsi="Times New Roman" w:eastAsia="宋体"/>
          <w:b w:val="0"/>
          <w:i w:val="0"/>
          <w:color w:val="000000"/>
          <w:sz w:val="21"/>
        </w:rPr>
        <w:t>其中 uᴴᴹᶜ 与 uᴹᴳᶜ 分别为 SMC 与 MPC 指令。两个控制器保持显式，学习输出有界且可解释，变化率限制阻止权限的突变转移。采用 Transformer 编码短历史，是因为控制器偏好不仅取决于瞬时误差，还取决于误差正在增大、正在恢复，还是与执行器饱和同时发生。</w:t>
      </w:r>
    </w:p>
    <w:p>
      <w:pPr>
        <w:spacing w:line="312" w:lineRule="auto" w:after="120"/>
        <w:ind w:firstLine="420"/>
        <w:jc w:val="both"/>
      </w:pPr>
      <w:r>
        <w:rPr>
          <w:rFonts w:ascii="Times New Roman" w:hAnsi="Times New Roman" w:eastAsia="宋体"/>
          <w:b w:val="0"/>
          <w:i w:val="0"/>
          <w:color w:val="000000"/>
          <w:sz w:val="21"/>
        </w:rPr>
        <w:t>我们的初步实验建立了该思想的监督形态，也暴露了其缺陷：在训练从未出现的扰动族下，学习到的系数劣于不自适应的常数混合，且在全值域内振荡。本文以受约束残差回应该缺陷，做出三项贡献，各自回应上述问题：</w:t>
      </w:r>
    </w:p>
    <w:p>
      <w:pPr>
        <w:spacing w:line="312" w:lineRule="auto" w:after="120"/>
        <w:ind w:firstLine="420"/>
        <w:jc w:val="both"/>
      </w:pPr>
      <w:r>
        <w:rPr>
          <w:rFonts w:ascii="Times New Roman" w:hAnsi="Times New Roman" w:eastAsia="宋体"/>
          <w:b/>
          <w:i w:val="0"/>
          <w:color w:val="000000"/>
          <w:sz w:val="21"/>
        </w:rPr>
        <w:t>冻结监督器之上的有界残差学习。</w:t>
      </w:r>
      <w:r>
        <w:rPr>
          <w:rFonts w:ascii="Times New Roman" w:hAnsi="Times New Roman" w:eastAsia="宋体"/>
          <w:b w:val="0"/>
          <w:i w:val="0"/>
          <w:color w:val="000000"/>
          <w:sz w:val="21"/>
        </w:rPr>
        <w:t>强化学习头对监督式信任答案的每步修正不超过 0.1，且零初始化——组合策略在训练前与已部署基线数值一致，此后只能在有界包络内修正信任。</w:t>
      </w:r>
    </w:p>
    <w:p>
      <w:pPr>
        <w:spacing w:line="312" w:lineRule="auto" w:after="120"/>
        <w:ind w:firstLine="420"/>
        <w:jc w:val="both"/>
      </w:pPr>
      <w:r>
        <w:rPr>
          <w:rFonts w:ascii="Times New Roman" w:hAnsi="Times New Roman" w:eastAsia="宋体"/>
          <w:b/>
          <w:i w:val="0"/>
          <w:color w:val="000000"/>
          <w:sz w:val="21"/>
        </w:rPr>
        <w:t>分布偏移下的运动层证据。</w:t>
      </w:r>
      <w:r>
        <w:rPr>
          <w:rFonts w:ascii="Times New Roman" w:hAnsi="Times New Roman" w:eastAsia="宋体"/>
          <w:b w:val="0"/>
          <w:i w:val="0"/>
          <w:color w:val="000000"/>
          <w:sz w:val="21"/>
        </w:rPr>
        <w:t>轨迹、姿态与误差时序——而非仅聚合指标——展示残差价值所在：监督策略把信任交给正在失效的优化器，残差学会了否决这种转移。</w:t>
      </w:r>
    </w:p>
    <w:p>
      <w:pPr>
        <w:spacing w:line="312" w:lineRule="auto" w:after="120"/>
        <w:ind w:firstLine="420"/>
        <w:jc w:val="both"/>
      </w:pPr>
      <w:r>
        <w:rPr>
          <w:rFonts w:ascii="Times New Roman" w:hAnsi="Times New Roman" w:eastAsia="宋体"/>
          <w:b/>
          <w:i w:val="0"/>
          <w:color w:val="000000"/>
          <w:sz w:val="21"/>
        </w:rPr>
        <w:t>报告自身失败的预注册评估。</w:t>
      </w:r>
      <w:r>
        <w:rPr>
          <w:rFonts w:ascii="Times New Roman" w:hAnsi="Times New Roman" w:eastAsia="宋体"/>
          <w:b w:val="0"/>
          <w:i w:val="0"/>
          <w:color w:val="000000"/>
          <w:sz w:val="21"/>
        </w:rPr>
        <w:t>多种方法在每方法-种子组合 120 个配对回合上比较，采用模型种子置信区间且不做事后挑选；两项未通过与一项未评估的判定与通过项一并报告。</w:t>
      </w:r>
    </w:p>
    <w:p>
      <w:pPr>
        <w:spacing w:line="312" w:lineRule="auto" w:after="120"/>
        <w:ind w:firstLine="420"/>
        <w:jc w:val="both"/>
      </w:pPr>
      <w:r>
        <w:rPr>
          <w:rFonts w:ascii="Times New Roman" w:hAnsi="Times New Roman" w:eastAsia="宋体"/>
          <w:b w:val="0"/>
          <w:i w:val="0"/>
          <w:color w:val="000000"/>
          <w:sz w:val="21"/>
        </w:rPr>
        <w:t>本文其余部分安排：第 3 节框架，第 4 节学习阶段，第 5 节实验协议，第 6 节运动层与机制层结果，第 7 节局限，第 8 节计划中的硬件验证。</w:t>
      </w:r>
    </w:p>
    <w:p>
      <w:pPr>
        <w:spacing w:line="312" w:lineRule="auto" w:before="280" w:after="120"/>
      </w:pPr>
      <w:r>
        <w:rPr>
          <w:rFonts w:ascii="Times New Roman" w:hAnsi="Times New Roman" w:eastAsia="黑体"/>
          <w:b/>
          <w:i w:val="0"/>
          <w:color w:val="000000"/>
          <w:sz w:val="26"/>
        </w:rPr>
        <w:t>2  相关工作</w:t>
      </w:r>
    </w:p>
    <w:p>
      <w:pPr>
        <w:spacing w:line="312" w:lineRule="auto" w:before="200" w:after="80"/>
      </w:pPr>
      <w:r>
        <w:rPr>
          <w:rFonts w:ascii="Times New Roman" w:hAnsi="Times New Roman" w:eastAsia="黑体"/>
          <w:b/>
          <w:i w:val="0"/>
          <w:color w:val="000000"/>
          <w:sz w:val="23"/>
        </w:rPr>
        <w:t>2.1  水下航行器控制</w:t>
      </w:r>
    </w:p>
    <w:p>
      <w:pPr>
        <w:spacing w:line="312" w:lineRule="auto" w:after="120"/>
        <w:ind w:firstLine="420"/>
        <w:jc w:val="both"/>
      </w:pPr>
      <w:r>
        <w:rPr>
          <w:rFonts w:ascii="Times New Roman" w:hAnsi="Times New Roman" w:eastAsia="宋体"/>
          <w:b w:val="0"/>
          <w:i w:val="0"/>
          <w:color w:val="000000"/>
          <w:sz w:val="21"/>
        </w:rPr>
        <w:t>海洋航行器控制建立在带附加质量、阻尼与恢复力的刚体动力学之上[1,2]。混合方案在阈值切换下将非线性 MPC 与滑模项结合，使各专家停留于有利工况[17]；这类切换面在设计时固定，而 PAC 在线、连续地回答信任问题。基于学习的水下控制发展迅速：改进 TD3 路径跟踪[10]、并行仿真器中训练六自由度控制并零样本迁移[8]均直接学习指令。PAC 则学习关于完整结构化控制器的一维仲裁变量。</w:t>
      </w:r>
    </w:p>
    <w:p>
      <w:pPr>
        <w:spacing w:line="312" w:lineRule="auto" w:before="200" w:after="80"/>
      </w:pPr>
      <w:r>
        <w:rPr>
          <w:rFonts w:ascii="Times New Roman" w:hAnsi="Times New Roman" w:eastAsia="黑体"/>
          <w:b/>
          <w:i w:val="0"/>
          <w:color w:val="000000"/>
          <w:sz w:val="23"/>
        </w:rPr>
        <w:t>2.2  与结构化控制器结合的学习</w:t>
      </w:r>
    </w:p>
    <w:p>
      <w:pPr>
        <w:spacing w:line="312" w:lineRule="auto" w:after="120"/>
        <w:ind w:firstLine="420"/>
        <w:jc w:val="both"/>
      </w:pPr>
      <w:r>
        <w:rPr>
          <w:rFonts w:ascii="Times New Roman" w:hAnsi="Times New Roman" w:eastAsia="宋体"/>
          <w:b w:val="0"/>
          <w:i w:val="0"/>
          <w:color w:val="000000"/>
          <w:sz w:val="21"/>
        </w:rPr>
        <w:t>残差强化学习在手工设计的基策略上叠加学习修正[5]；actor-critic MPC 将可微优化器嵌入策略[6]；学习型 MPC 综述讨论数据驱动修正与安全[4]。PAC 的差异在接口：残差作用于有界标量权限而非执行器指令；监督器冻结而非联合训练；零初始化给出与已部署系统的精确初始等价。学习型安全滤波训练类屏障修正[11]，而 PAC 的安全滤波由固定界与结构化回退构成，安全路径中不含学习组件。嵌入式求解器如 TinyMPC[7] 约束了机载仲裁层可假设的算力。</w:t>
      </w:r>
    </w:p>
    <w:p>
      <w:pPr>
        <w:spacing w:line="312" w:lineRule="auto" w:before="200" w:after="80"/>
      </w:pPr>
      <w:r>
        <w:rPr>
          <w:rFonts w:ascii="Times New Roman" w:hAnsi="Times New Roman" w:eastAsia="黑体"/>
          <w:b/>
          <w:i w:val="0"/>
          <w:color w:val="000000"/>
          <w:sz w:val="23"/>
        </w:rPr>
        <w:t>2.3  面向序贯决策的时序编码器</w:t>
      </w:r>
    </w:p>
    <w:p>
      <w:pPr>
        <w:spacing w:line="312" w:lineRule="auto" w:after="120"/>
        <w:ind w:firstLine="420"/>
        <w:jc w:val="both"/>
      </w:pPr>
      <w:r>
        <w:rPr>
          <w:rFonts w:ascii="Times New Roman" w:hAnsi="Times New Roman" w:eastAsia="宋体"/>
          <w:b w:val="0"/>
          <w:i w:val="0"/>
          <w:color w:val="000000"/>
          <w:sz w:val="21"/>
        </w:rPr>
        <w:t>自注意力[12]与控制的序列建模表述[13,14]随数据与宽度扩展。PAC 编码器刻意处于相反规模：单编码层、16 步历史、输出单系数——对仲裁接口已足够，并使边缘部署成为可能。扩散策略[15]与模仿学习导航[9]处理不同输出空间，属互补工作。</w:t>
      </w:r>
    </w:p>
    <w:p>
      <w:pPr>
        <w:spacing w:line="312" w:lineRule="auto" w:before="280" w:after="120"/>
      </w:pPr>
      <w:r>
        <w:rPr>
          <w:rFonts w:ascii="Times New Roman" w:hAnsi="Times New Roman" w:eastAsia="黑体"/>
          <w:b/>
          <w:i w:val="0"/>
          <w:color w:val="000000"/>
          <w:sz w:val="26"/>
        </w:rPr>
        <w:t>3  预测权限控制</w:t>
      </w:r>
    </w:p>
    <w:p>
      <w:pPr>
        <w:spacing w:line="312" w:lineRule="auto" w:before="200" w:after="80"/>
      </w:pPr>
      <w:r>
        <w:rPr>
          <w:rFonts w:ascii="Times New Roman" w:hAnsi="Times New Roman" w:eastAsia="黑体"/>
          <w:b/>
          <w:i w:val="0"/>
          <w:color w:val="000000"/>
          <w:sz w:val="23"/>
        </w:rPr>
        <w:t>3.1  航行器模型与跟踪目标</w:t>
      </w:r>
    </w:p>
    <w:p>
      <w:pPr>
        <w:spacing w:line="312" w:lineRule="auto" w:after="120"/>
        <w:ind w:firstLine="420"/>
        <w:jc w:val="both"/>
      </w:pPr>
      <w:r>
        <w:rPr>
          <w:rFonts w:ascii="Times New Roman" w:hAnsi="Times New Roman" w:eastAsia="宋体"/>
          <w:b w:val="0"/>
          <w:i w:val="0"/>
          <w:color w:val="000000"/>
          <w:sz w:val="21"/>
        </w:rPr>
        <w:t>位姿与体坐标速度记为 η=[x, y, z, φ, θ, ψ]ᵀ、ν=[u, v, w, p, q, r]ᵀ。仿真器以 100 Hz 四阶龙格–库塔积分对角化六自由度模型（附加质量、线性与二次阻尼、恢复刚度），每回合 2,100 步（21 s）。六台推进器呈 X 布置、单机限 35 N，受幅值与转速变化率约束。参考为三维利萨如曲线，期望艏向对齐水平切向；初始位姿与速度分别以 0.03 m、0.01 m/s 标准差扰动。</w:t>
      </w:r>
    </w:p>
    <w:p>
      <w:pPr>
        <w:spacing w:line="312" w:lineRule="auto" w:before="200" w:after="80"/>
      </w:pPr>
      <w:r>
        <w:rPr>
          <w:rFonts w:ascii="Times New Roman" w:hAnsi="Times New Roman" w:eastAsia="黑体"/>
          <w:b/>
          <w:i w:val="0"/>
          <w:color w:val="000000"/>
          <w:sz w:val="23"/>
        </w:rPr>
        <w:t>3.2  结构化专家控制器</w:t>
      </w:r>
    </w:p>
    <w:p>
      <w:pPr>
        <w:spacing w:line="312" w:lineRule="auto" w:after="120"/>
        <w:ind w:firstLine="420"/>
        <w:jc w:val="both"/>
      </w:pPr>
      <w:r>
        <w:rPr>
          <w:rFonts w:ascii="Times New Roman" w:hAnsi="Times New Roman" w:eastAsia="宋体"/>
          <w:b w:val="0"/>
          <w:i w:val="0"/>
          <w:color w:val="000000"/>
          <w:sz w:val="21"/>
        </w:rPr>
        <w:t>主专家为等价控制滑模控制器：平移滑模面组合速度误差与位姿误差，指令力矩含前馈加速度、阻尼补偿与有界趋近项。第二专家为滚动时域线性时变受约束 MPC：视界 20 步（0.2 s）、推进器归一化约束、暖启动平滑、在线求解时限 7.5 ms 且超时回退上一拍。该专家取代本框架早期实现中的一步二次跟踪律；本文全部结果使用该受约束 MPC。</w:t>
      </w:r>
    </w:p>
    <w:p>
      <w:pPr>
        <w:spacing w:line="312" w:lineRule="auto" w:before="200" w:after="80"/>
      </w:pPr>
      <w:r>
        <w:rPr>
          <w:rFonts w:ascii="Times New Roman" w:hAnsi="Times New Roman" w:eastAsia="黑体"/>
          <w:b/>
          <w:i w:val="0"/>
          <w:color w:val="000000"/>
          <w:sz w:val="23"/>
        </w:rPr>
        <w:t>3.3  历史特征与时序编码器</w:t>
      </w:r>
    </w:p>
    <w:p>
      <w:pPr>
        <w:spacing w:line="312" w:lineRule="auto" w:after="120"/>
        <w:ind w:firstLine="420"/>
        <w:jc w:val="both"/>
      </w:pPr>
      <w:r>
        <w:rPr>
          <w:rFonts w:ascii="Times New Roman" w:hAnsi="Times New Roman" w:eastAsia="宋体"/>
          <w:b w:val="0"/>
          <w:i w:val="0"/>
          <w:color w:val="000000"/>
          <w:sz w:val="21"/>
        </w:rPr>
        <w:t>每步 24 维特征向量概括位姿误差、体速度、各控制器指令统计与分歧、近饱和比例、水平海流分量与轨迹相位；最近 16 个向量构成编码器输入。单层 Transformer 编码器（四头注意力、128 维前馈、14,113 可训练参数）经 Sigmoid 头输出 α̂ₜ。推理时预测放大 1.2 倍、截断、以系数 0.5 指数平滑、每步变化限制 0.0125。</w:t>
      </w:r>
    </w:p>
    <w:p>
      <w:pPr>
        <w:spacing w:line="312" w:lineRule="auto" w:before="200" w:after="80"/>
      </w:pPr>
      <w:r>
        <w:rPr>
          <w:rFonts w:ascii="Times New Roman" w:hAnsi="Times New Roman" w:eastAsia="黑体"/>
          <w:b/>
          <w:i w:val="0"/>
          <w:color w:val="000000"/>
          <w:sz w:val="23"/>
        </w:rPr>
        <w:t>3.4  分层安全滤波</w:t>
      </w:r>
    </w:p>
    <w:p>
      <w:pPr>
        <w:spacing w:line="312" w:lineRule="auto" w:after="120"/>
        <w:ind w:firstLine="420"/>
        <w:jc w:val="both"/>
      </w:pPr>
      <w:r>
        <w:rPr>
          <w:rFonts w:ascii="Times New Roman" w:hAnsi="Times New Roman" w:eastAsia="宋体"/>
          <w:b w:val="0"/>
          <w:i w:val="0"/>
          <w:color w:val="000000"/>
          <w:sz w:val="21"/>
        </w:rPr>
        <w:t>学习分量的全部贡献按执行顺序通过固定滤波栈：(i) 残差有界；(ii) 混合系数经截断、平滑与变化率限制；(iii) 专家失效强制切回主控；(iv) 非数值回退冻结监督预测。残差头零初始化，组合策略在部署起点与已部署基线数值一致——该等价由比较全回合滚动的单元测试在紧数值容差下保证。学习组件的最坏情形因此即基线策略本身。</w:t>
      </w:r>
    </w:p>
    <w:p>
      <w:pPr>
        <w:keepNext/>
        <w:spacing w:before="160"/>
        <w:jc w:val="center"/>
      </w:pPr>
      <w:r>
        <w:drawing>
          <wp:inline xmlns:a="http://schemas.openxmlformats.org/drawingml/2006/main" xmlns:pic="http://schemas.openxmlformats.org/drawingml/2006/picture">
            <wp:extent cx="5760720" cy="286773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760720" cy="2867738"/>
                    </a:xfrm>
                    <a:prstGeom prst="rect"/>
                  </pic:spPr>
                </pic:pic>
              </a:graphicData>
            </a:graphic>
          </wp:inline>
        </w:drawing>
      </w:r>
    </w:p>
    <w:p>
      <w:pPr>
        <w:spacing w:after="200"/>
        <w:jc w:val="both"/>
      </w:pPr>
      <w:r>
        <w:rPr>
          <w:rFonts w:ascii="Times New Roman" w:hAnsi="Times New Roman" w:eastAsia="宋体"/>
          <w:b/>
          <w:i w:val="0"/>
          <w:color w:val="000000"/>
          <w:sz w:val="18"/>
        </w:rPr>
        <w:t xml:space="preserve">图 1  </w:t>
      </w:r>
      <w:r>
        <w:rPr>
          <w:rFonts w:ascii="Times New Roman" w:hAnsi="Times New Roman" w:eastAsia="宋体"/>
          <w:b w:val="0"/>
          <w:i w:val="0"/>
          <w:color w:val="000000"/>
          <w:sz w:val="18"/>
        </w:rPr>
        <w:t>预测权限控制架构。(a) 闭环：专家产生指令并由 α 混合；冻结时序编码器预测监督系数，有界、零初始化残差头对其修正。(b) 分层安全滤波（按执行顺序）。(c) 两阶段训练。</w:t>
      </w:r>
    </w:p>
    <w:p>
      <w:pPr>
        <w:spacing w:line="312" w:lineRule="auto" w:before="280" w:after="120"/>
      </w:pPr>
      <w:r>
        <w:rPr>
          <w:rFonts w:ascii="Times New Roman" w:hAnsi="Times New Roman" w:eastAsia="黑体"/>
          <w:b/>
          <w:i w:val="0"/>
          <w:color w:val="000000"/>
          <w:sz w:val="26"/>
        </w:rPr>
        <w:t>4  权限残差的学习</w:t>
      </w:r>
    </w:p>
    <w:p>
      <w:pPr>
        <w:spacing w:line="312" w:lineRule="auto" w:before="200" w:after="80"/>
      </w:pPr>
      <w:r>
        <w:rPr>
          <w:rFonts w:ascii="Times New Roman" w:hAnsi="Times New Roman" w:eastAsia="黑体"/>
          <w:b/>
          <w:i w:val="0"/>
          <w:color w:val="000000"/>
          <w:sz w:val="23"/>
        </w:rPr>
        <w:t>4.1  监督初始化</w:t>
      </w:r>
    </w:p>
    <w:p>
      <w:pPr>
        <w:spacing w:line="312" w:lineRule="auto" w:after="120"/>
        <w:ind w:firstLine="420"/>
        <w:jc w:val="both"/>
      </w:pPr>
      <w:r>
        <w:rPr>
          <w:rFonts w:ascii="Times New Roman" w:hAnsi="Times New Roman" w:eastAsia="宋体"/>
          <w:b w:val="0"/>
          <w:i w:val="0"/>
          <w:color w:val="000000"/>
          <w:sz w:val="21"/>
        </w:rPr>
        <w:t>监督策略（PAC-S）通过模仿短视界寻优器（oracle）训练：对每个训练状态，五点网格候选系数保持十步并冻结海流，标签最小化</w:t>
      </w:r>
    </w:p>
    <w:p>
      <w:pPr>
        <w:spacing w:line="312" w:lineRule="auto" w:before="80" w:after="120"/>
        <w:jc w:val="center"/>
      </w:pPr>
      <w:r>
        <w:rPr>
          <w:rFonts w:ascii="Times New Roman" w:hAnsi="Times New Roman" w:eastAsia="楷体"/>
          <w:b w:val="0"/>
          <w:i/>
          <w:color w:val="000000"/>
          <w:sz w:val="21"/>
        </w:rPr>
        <w:t>J(α) = ‖eₓᵧ‖² + 0.7 eᵣ² + 0.08 eψ² + 0.02 mean([|u| − 0.92]₊²) + 0.01 mean((u − uₜ₋₁)²),   (2)</w:t>
      </w:r>
    </w:p>
    <w:p>
      <w:pPr>
        <w:spacing w:line="312" w:lineRule="auto" w:after="120"/>
        <w:ind w:firstLine="420"/>
        <w:jc w:val="both"/>
      </w:pPr>
      <w:r>
        <w:rPr>
          <w:rFonts w:ascii="Times New Roman" w:hAnsi="Times New Roman" w:eastAsia="宋体"/>
          <w:b w:val="0"/>
          <w:i w:val="0"/>
          <w:color w:val="000000"/>
          <w:sz w:val="21"/>
        </w:rPr>
        <w:t>即水平与垂向位置误差、艏向误差、近饱和幅值与指令变化的组合代价。训练使用 18,900 个带标样本、AdamW 180 轮、加权平方损失。五个模型种子独立训练；这些冻结策略监督后续全部阶段且从不重训。</w:t>
      </w:r>
    </w:p>
    <w:p>
      <w:pPr>
        <w:spacing w:line="312" w:lineRule="auto" w:before="200" w:after="80"/>
      </w:pPr>
      <w:r>
        <w:rPr>
          <w:rFonts w:ascii="Times New Roman" w:hAnsi="Times New Roman" w:eastAsia="黑体"/>
          <w:b/>
          <w:i w:val="0"/>
          <w:color w:val="000000"/>
          <w:sz w:val="23"/>
        </w:rPr>
        <w:t>4.2  受约束残差阶段</w:t>
      </w:r>
    </w:p>
    <w:p>
      <w:pPr>
        <w:spacing w:line="312" w:lineRule="auto" w:after="120"/>
        <w:ind w:firstLine="420"/>
        <w:jc w:val="both"/>
      </w:pPr>
      <w:r>
        <w:rPr>
          <w:rFonts w:ascii="Times New Roman" w:hAnsi="Times New Roman" w:eastAsia="宋体"/>
          <w:b w:val="0"/>
          <w:i w:val="0"/>
          <w:color w:val="000000"/>
          <w:sz w:val="21"/>
        </w:rPr>
        <w:t>残差策略（PAC-RL）在每条冻结监督策略上附加 2,177 参数的两层头，施加的系数为</w:t>
      </w:r>
    </w:p>
    <w:p>
      <w:pPr>
        <w:spacing w:line="312" w:lineRule="auto" w:before="80" w:after="120"/>
        <w:jc w:val="center"/>
      </w:pPr>
      <w:r>
        <w:rPr>
          <w:rFonts w:ascii="Times New Roman" w:hAnsi="Times New Roman" w:eastAsia="楷体"/>
          <w:b w:val="0"/>
          <w:i/>
          <w:color w:val="000000"/>
          <w:sz w:val="21"/>
        </w:rPr>
        <w:t>αₜ = clip[0,1]( α̂ₜ + Δαₜ ),   Δαₜ = 0.1 tanh(zₜ),   (3)</w:t>
      </w:r>
    </w:p>
    <w:p>
      <w:pPr>
        <w:spacing w:line="312" w:lineRule="auto" w:after="120"/>
        <w:ind w:firstLine="420"/>
        <w:jc w:val="both"/>
      </w:pPr>
      <w:r>
        <w:rPr>
          <w:rFonts w:ascii="Times New Roman" w:hAnsi="Times New Roman" w:eastAsia="宋体"/>
          <w:b w:val="0"/>
          <w:i w:val="0"/>
          <w:color w:val="000000"/>
          <w:sz w:val="21"/>
        </w:rPr>
        <w:t>其中 zₜ 为头输出，末层零初始化，故训练前 Δα ≡ 0。训练采用 TD3（双评论家、目标平滑、延迟策略更新），闭环回合的环境种子与全部评估种子不相交，以 PAC-S 下采集的 2×10⁵ 条离线过渡热启动，并以行为正则惩罚偏离监督器。奖励综合位置与艏向误差、指令幅值与变化率、饱和、超时标志与约束违反；全部权重训练前冻结于清单。学习器仅输出 Δα：不能指令推进器，也不能更改 MPC 调度或求解预算。</w:t>
      </w:r>
    </w:p>
    <w:p>
      <w:pPr>
        <w:spacing w:line="312" w:lineRule="auto" w:before="280" w:after="120"/>
      </w:pPr>
      <w:r>
        <w:rPr>
          <w:rFonts w:ascii="Times New Roman" w:hAnsi="Times New Roman" w:eastAsia="黑体"/>
          <w:b/>
          <w:i w:val="0"/>
          <w:color w:val="000000"/>
          <w:sz w:val="26"/>
        </w:rPr>
        <w:t>5  实验设计</w:t>
      </w:r>
    </w:p>
    <w:p>
      <w:pPr>
        <w:spacing w:line="312" w:lineRule="auto" w:before="200" w:after="80"/>
      </w:pPr>
      <w:r>
        <w:rPr>
          <w:rFonts w:ascii="Times New Roman" w:hAnsi="Times New Roman" w:eastAsia="黑体"/>
          <w:b/>
          <w:i w:val="0"/>
          <w:color w:val="000000"/>
          <w:sz w:val="23"/>
        </w:rPr>
        <w:t>5.1  预注册协议</w:t>
      </w:r>
    </w:p>
    <w:p>
      <w:pPr>
        <w:spacing w:line="312" w:lineRule="auto" w:after="120"/>
        <w:ind w:firstLine="420"/>
        <w:jc w:val="both"/>
      </w:pPr>
      <w:r>
        <w:rPr>
          <w:rFonts w:ascii="Times New Roman" w:hAnsi="Times New Roman" w:eastAsia="宋体"/>
          <w:b w:val="0"/>
          <w:i w:val="0"/>
          <w:color w:val="000000"/>
          <w:sz w:val="21"/>
        </w:rPr>
        <w:t>全部比较、种子划分与验收准则在残差训练开始前冻结并归档。评估网格含 120 个配对回合：85 个分布内（20 个保留环境种子下的 60 个结构化海流回合，加五个训练范围扰动族的 25 个回合）与 35 个分布外（相对扰动族采样；五个测试范围族，加快时间尺度海流族与带传感滞后和噪声的估计延迟族）。每个回合在全部方法与种子间共享：相同的航行器、海流与参考实现。</w:t>
      </w:r>
    </w:p>
    <w:p>
      <w:pPr>
        <w:spacing w:line="312" w:lineRule="auto" w:before="200" w:after="80"/>
      </w:pPr>
      <w:r>
        <w:rPr>
          <w:rFonts w:ascii="Times New Roman" w:hAnsi="Times New Roman" w:eastAsia="黑体"/>
          <w:b/>
          <w:i w:val="0"/>
          <w:color w:val="000000"/>
          <w:sz w:val="23"/>
        </w:rPr>
        <w:t>5.2  方法与统计</w:t>
      </w:r>
    </w:p>
    <w:p>
      <w:pPr>
        <w:spacing w:line="312" w:lineRule="auto" w:after="120"/>
        <w:ind w:firstLine="420"/>
        <w:jc w:val="both"/>
      </w:pPr>
      <w:r>
        <w:rPr>
          <w:rFonts w:ascii="Times New Roman" w:hAnsi="Times New Roman" w:eastAsia="宋体"/>
          <w:b w:val="0"/>
          <w:i w:val="0"/>
          <w:color w:val="000000"/>
          <w:sz w:val="21"/>
        </w:rPr>
        <w:t>比较六种方法：单独专家（SMC、MPC）、常数混合（固定 α=0.5）、以坐标下降搜索窗口偏置日程的非学习基线（SSPO），以及共用同一组五个冻结监督种子的两种 PAC 变体（PAC-S、PAC-RL）。固定方法各贡献一个组合，共 14 个方法-种子组合、1,680 次滚动（约 353 万控制步）。</w:t>
      </w:r>
    </w:p>
    <w:p>
      <w:pPr>
        <w:spacing w:line="312" w:lineRule="auto" w:after="120"/>
        <w:ind w:firstLine="420"/>
        <w:jc w:val="both"/>
      </w:pPr>
      <w:r>
        <w:rPr>
          <w:rFonts w:ascii="Times New Roman" w:hAnsi="Times New Roman" w:eastAsia="宋体"/>
          <w:b w:val="0"/>
          <w:i w:val="0"/>
          <w:color w:val="000000"/>
          <w:sz w:val="21"/>
        </w:rPr>
        <w:t>主推断在模型种子级：逐种子配对效应以自由度 4 的 t 分布区间概括。补充的回合级自助法区间（对配对回合有放回重采样、10,000 次重采样、随机数种子 0）用于头条对比。超出预注册集合的比较不做显著性主张，也不做多重比较校正：注册集合被完整报告而非事后挑选。</w:t>
      </w:r>
    </w:p>
    <w:p>
      <w:pPr>
        <w:spacing w:line="312" w:lineRule="auto" w:before="280" w:after="120"/>
      </w:pPr>
      <w:r>
        <w:rPr>
          <w:rFonts w:ascii="Times New Roman" w:hAnsi="Times New Roman" w:eastAsia="黑体"/>
          <w:b/>
          <w:i w:val="0"/>
          <w:color w:val="000000"/>
          <w:sz w:val="26"/>
        </w:rPr>
        <w:t>6  结果</w:t>
      </w:r>
    </w:p>
    <w:p>
      <w:pPr>
        <w:spacing w:line="312" w:lineRule="auto" w:before="200" w:after="80"/>
      </w:pPr>
      <w:r>
        <w:rPr>
          <w:rFonts w:ascii="Times New Roman" w:hAnsi="Times New Roman" w:eastAsia="黑体"/>
          <w:b/>
          <w:i w:val="0"/>
          <w:color w:val="000000"/>
          <w:sz w:val="23"/>
        </w:rPr>
        <w:t>6.1  闭环跟踪：航行器实际如何运动</w:t>
      </w:r>
    </w:p>
    <w:p>
      <w:pPr>
        <w:spacing w:line="312" w:lineRule="auto" w:after="120"/>
        <w:ind w:firstLine="420"/>
        <w:jc w:val="both"/>
      </w:pPr>
      <w:r>
        <w:rPr>
          <w:rFonts w:ascii="Times New Roman" w:hAnsi="Times New Roman" w:eastAsia="宋体"/>
          <w:b w:val="0"/>
          <w:i w:val="0"/>
          <w:color w:val="000000"/>
          <w:sz w:val="21"/>
        </w:rPr>
        <w:t>图 2 以三维路径、水平投影与垂向误差展示两个代表性配对回合——分布内正弦海流与分布外执行器退化回合。分布内，全部学习与混合方法紧贴利萨如参考，SMC 带可见偏移地滞后。执行器退化下性质改变：MPC 专家单独工作时水平环线畸变、深度漂移（回合 RMSE 0.886 m），PAC-S 继承了部分失效（0.206 m），PAC-RL 保持在参考上（0.088 m），略优于从不自适应的固定混合（0.124 m）。</w:t>
      </w:r>
    </w:p>
    <w:p>
      <w:pPr>
        <w:keepNext/>
        <w:spacing w:before="160"/>
        <w:jc w:val="center"/>
      </w:pPr>
      <w:r>
        <w:drawing>
          <wp:inline xmlns:a="http://schemas.openxmlformats.org/drawingml/2006/main" xmlns:pic="http://schemas.openxmlformats.org/drawingml/2006/picture">
            <wp:extent cx="5760720" cy="5018096"/>
            <wp:docPr id="2" name="Picture 2"/>
            <wp:cNvGraphicFramePr>
              <a:graphicFrameLocks noChangeAspect="1"/>
            </wp:cNvGraphicFramePr>
            <a:graphic>
              <a:graphicData uri="http://schemas.openxmlformats.org/drawingml/2006/picture">
                <pic:pic>
                  <pic:nvPicPr>
                    <pic:cNvPr id="0" name="fig2_closed_loop_trajectories.png"/>
                    <pic:cNvPicPr/>
                  </pic:nvPicPr>
                  <pic:blipFill>
                    <a:blip r:embed="rId12"/>
                    <a:stretch>
                      <a:fillRect/>
                    </a:stretch>
                  </pic:blipFill>
                  <pic:spPr>
                    <a:xfrm>
                      <a:off x="0" y="0"/>
                      <a:ext cx="5760720" cy="5018096"/>
                    </a:xfrm>
                    <a:prstGeom prst="rect"/>
                  </pic:spPr>
                </pic:pic>
              </a:graphicData>
            </a:graphic>
          </wp:inline>
        </w:drawing>
      </w:r>
    </w:p>
    <w:p>
      <w:pPr>
        <w:spacing w:after="200"/>
        <w:jc w:val="both"/>
      </w:pPr>
      <w:r>
        <w:rPr>
          <w:rFonts w:ascii="Times New Roman" w:hAnsi="Times New Roman" w:eastAsia="宋体"/>
          <w:b/>
          <w:i w:val="0"/>
          <w:color w:val="000000"/>
          <w:sz w:val="18"/>
        </w:rPr>
        <w:t xml:space="preserve">图 2  </w:t>
      </w:r>
      <w:r>
        <w:rPr>
          <w:rFonts w:ascii="Times New Roman" w:hAnsi="Times New Roman" w:eastAsia="宋体"/>
          <w:b w:val="0"/>
          <w:i w:val="0"/>
          <w:color w:val="000000"/>
          <w:sz w:val="18"/>
        </w:rPr>
        <w:t>代表性闭环轨迹。列：分布内正弦海流与分布外执行器退化（各块编号最小的保留种子，检查前固定）；两个回合在方法间共享，并由冻结检查点确定性重放生成。行：三维路径、水平投影、垂向误差（虚线为零参考）。固定混合为清晰起见未画出，其数值见表 1。</w:t>
      </w:r>
    </w:p>
    <w:p>
      <w:pPr>
        <w:spacing w:line="312" w:lineRule="auto" w:after="120"/>
        <w:ind w:firstLine="420"/>
        <w:jc w:val="both"/>
      </w:pPr>
      <w:r>
        <w:rPr>
          <w:rFonts w:ascii="Times New Roman" w:hAnsi="Times New Roman" w:eastAsia="宋体"/>
          <w:b w:val="0"/>
          <w:i w:val="0"/>
          <w:color w:val="000000"/>
          <w:sz w:val="21"/>
        </w:rPr>
        <w:t>图 3 在时间轴上解析同样两个回合。位置误差行显示退化下的 MPC 发散随回合增长而非尖峰出现——与持续错误的内部模型一致，而非瞬态。两个工况下 PAC-RL 的艏向误差与俯仰角都保持小值，而退化的 MPC 回合携带可见的姿态偏移。表 1 聚合全网格。</w:t>
      </w:r>
    </w:p>
    <w:p>
      <w:pPr>
        <w:keepNext/>
        <w:spacing w:before="160"/>
        <w:jc w:val="center"/>
      </w:pPr>
      <w:r>
        <w:drawing>
          <wp:inline xmlns:a="http://schemas.openxmlformats.org/drawingml/2006/main" xmlns:pic="http://schemas.openxmlformats.org/drawingml/2006/picture">
            <wp:extent cx="5760720" cy="4575448"/>
            <wp:docPr id="3" name="Picture 3"/>
            <wp:cNvGraphicFramePr>
              <a:graphicFrameLocks noChangeAspect="1"/>
            </wp:cNvGraphicFramePr>
            <a:graphic>
              <a:graphicData uri="http://schemas.openxmlformats.org/drawingml/2006/picture">
                <pic:pic>
                  <pic:nvPicPr>
                    <pic:cNvPr id="0" name="fig3_error_attitude.png"/>
                    <pic:cNvPicPr/>
                  </pic:nvPicPr>
                  <pic:blipFill>
                    <a:blip r:embed="rId13"/>
                    <a:stretch>
                      <a:fillRect/>
                    </a:stretch>
                  </pic:blipFill>
                  <pic:spPr>
                    <a:xfrm>
                      <a:off x="0" y="0"/>
                      <a:ext cx="5760720" cy="4575448"/>
                    </a:xfrm>
                    <a:prstGeom prst="rect"/>
                  </pic:spPr>
                </pic:pic>
              </a:graphicData>
            </a:graphic>
          </wp:inline>
        </w:drawing>
      </w:r>
    </w:p>
    <w:p>
      <w:pPr>
        <w:spacing w:after="200"/>
        <w:jc w:val="both"/>
      </w:pPr>
      <w:r>
        <w:rPr>
          <w:rFonts w:ascii="Times New Roman" w:hAnsi="Times New Roman" w:eastAsia="宋体"/>
          <w:b/>
          <w:i w:val="0"/>
          <w:color w:val="000000"/>
          <w:sz w:val="18"/>
        </w:rPr>
        <w:t xml:space="preserve">图 3  </w:t>
      </w:r>
      <w:r>
        <w:rPr>
          <w:rFonts w:ascii="Times New Roman" w:hAnsi="Times New Roman" w:eastAsia="宋体"/>
          <w:b w:val="0"/>
          <w:i w:val="0"/>
          <w:color w:val="000000"/>
          <w:sz w:val="18"/>
        </w:rPr>
        <w:t>图 2 两个回合的时间解析运动误差。行：三维位置误差、艏向误差绝对值、俯仰角。执行器退化下 MPC 的发散随回合增长；PAC-RL 在两个工况下都贴近参考。单回合展示；块级聚合见表 1 与图 5。</w:t>
      </w:r>
    </w:p>
    <w:p>
      <w:pPr>
        <w:keepNext/>
        <w:spacing w:before="160"/>
        <w:jc w:val="both"/>
      </w:pPr>
      <w:r>
        <w:rPr>
          <w:rFonts w:ascii="Times New Roman" w:hAnsi="Times New Roman" w:eastAsia="宋体"/>
          <w:b/>
          <w:i w:val="0"/>
          <w:color w:val="000000"/>
          <w:sz w:val="18"/>
        </w:rPr>
        <w:t xml:space="preserve">表 1  </w:t>
      </w:r>
      <w:r>
        <w:rPr>
          <w:rFonts w:ascii="Times New Roman" w:hAnsi="Times New Roman" w:eastAsia="宋体"/>
          <w:b/>
          <w:i w:val="0"/>
          <w:color w:val="000000"/>
          <w:sz w:val="18"/>
        </w:rPr>
        <w:t>每方法-种子组合 120 配对回合的评估结果（学习方法为五个模型种子均值；ID 分布内；OOD 相对扰动族采样的分布外）。五种子的离散度以置信区间形式报告于图 4a。</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2160"/>
            <w:shd w:val="clear" w:fill="F2F2F2"/>
          </w:tcPr>
          <w:p>
            <w:pPr>
              <w:spacing w:line="276" w:lineRule="auto"/>
              <w:jc w:val="center"/>
            </w:pPr>
            <w:r>
              <w:rPr>
                <w:rFonts w:ascii="Times New Roman" w:hAnsi="Times New Roman" w:eastAsia="宋体"/>
                <w:b/>
                <w:i w:val="0"/>
                <w:color w:val="000000"/>
                <w:sz w:val="17"/>
              </w:rPr>
              <w:t>方法</w:t>
            </w:r>
          </w:p>
        </w:tc>
        <w:tc>
          <w:tcPr>
            <w:tcW w:type="dxa" w:w="1368"/>
            <w:shd w:val="clear" w:fill="F2F2F2"/>
          </w:tcPr>
          <w:p>
            <w:pPr>
              <w:spacing w:line="276" w:lineRule="auto"/>
              <w:jc w:val="center"/>
            </w:pPr>
            <w:r>
              <w:rPr>
                <w:rFonts w:ascii="Times New Roman" w:hAnsi="Times New Roman" w:eastAsia="宋体"/>
                <w:b/>
                <w:i w:val="0"/>
                <w:color w:val="000000"/>
                <w:sz w:val="17"/>
              </w:rPr>
              <w:t>ID RMSE (m)</w:t>
            </w:r>
          </w:p>
        </w:tc>
        <w:tc>
          <w:tcPr>
            <w:tcW w:type="dxa" w:w="1368"/>
            <w:shd w:val="clear" w:fill="F2F2F2"/>
          </w:tcPr>
          <w:p>
            <w:pPr>
              <w:spacing w:line="276" w:lineRule="auto"/>
              <w:jc w:val="center"/>
            </w:pPr>
            <w:r>
              <w:rPr>
                <w:rFonts w:ascii="Times New Roman" w:hAnsi="Times New Roman" w:eastAsia="宋体"/>
                <w:b/>
                <w:i w:val="0"/>
                <w:color w:val="000000"/>
                <w:sz w:val="17"/>
              </w:rPr>
              <w:t>OOD RMSE (m)</w:t>
            </w:r>
          </w:p>
        </w:tc>
        <w:tc>
          <w:tcPr>
            <w:tcW w:type="dxa" w:w="1584"/>
            <w:shd w:val="clear" w:fill="F2F2F2"/>
          </w:tcPr>
          <w:p>
            <w:pPr>
              <w:spacing w:line="276" w:lineRule="auto"/>
              <w:jc w:val="center"/>
            </w:pPr>
            <w:r>
              <w:rPr>
                <w:rFonts w:ascii="Times New Roman" w:hAnsi="Times New Roman" w:eastAsia="宋体"/>
                <w:b/>
                <w:i w:val="0"/>
                <w:color w:val="000000"/>
                <w:sz w:val="17"/>
              </w:rPr>
              <w:t>OOD 最大误差 (m)</w:t>
            </w:r>
          </w:p>
        </w:tc>
        <w:tc>
          <w:tcPr>
            <w:tcW w:type="dxa" w:w="1368"/>
            <w:shd w:val="clear" w:fill="F2F2F2"/>
          </w:tcPr>
          <w:p>
            <w:pPr>
              <w:spacing w:line="276" w:lineRule="auto"/>
              <w:jc w:val="center"/>
            </w:pPr>
            <w:r>
              <w:rPr>
                <w:rFonts w:ascii="Times New Roman" w:hAnsi="Times New Roman" w:eastAsia="宋体"/>
                <w:b/>
                <w:i w:val="0"/>
                <w:color w:val="000000"/>
                <w:sz w:val="17"/>
              </w:rPr>
              <w:t>OOD 艏向 (°)</w:t>
            </w:r>
          </w:p>
        </w:tc>
        <w:tc>
          <w:tcPr>
            <w:tcW w:type="dxa" w:w="1296"/>
            <w:shd w:val="clear" w:fill="F2F2F2"/>
          </w:tcPr>
          <w:p>
            <w:pPr>
              <w:spacing w:line="276" w:lineRule="auto"/>
              <w:jc w:val="center"/>
            </w:pPr>
            <w:r>
              <w:rPr>
                <w:rFonts w:ascii="Times New Roman" w:hAnsi="Times New Roman" w:eastAsia="宋体"/>
                <w:b/>
                <w:i w:val="0"/>
                <w:color w:val="000000"/>
                <w:sz w:val="17"/>
              </w:rPr>
              <w:t>OOD 超时率</w:t>
            </w:r>
          </w:p>
        </w:tc>
        <w:tc>
          <w:tcPr>
            <w:tcW w:type="dxa" w:w="1224"/>
            <w:shd w:val="clear" w:fill="F2F2F2"/>
          </w:tcPr>
          <w:p>
            <w:pPr>
              <w:spacing w:line="276" w:lineRule="auto"/>
              <w:jc w:val="center"/>
            </w:pPr>
            <w:r>
              <w:rPr>
                <w:rFonts w:ascii="Times New Roman" w:hAnsi="Times New Roman" w:eastAsia="宋体"/>
                <w:b/>
                <w:i w:val="0"/>
                <w:color w:val="000000"/>
                <w:sz w:val="17"/>
              </w:rPr>
              <w:t>OOD α 均值</w:t>
            </w:r>
          </w:p>
        </w:tc>
      </w:tr>
      <w:tr>
        <w:tc>
          <w:tcPr>
            <w:tcW w:type="dxa" w:w="2160"/>
          </w:tcPr>
          <w:p>
            <w:pPr>
              <w:spacing w:line="276" w:lineRule="auto"/>
              <w:jc w:val="left"/>
            </w:pPr>
            <w:r>
              <w:rPr>
                <w:rFonts w:ascii="Times New Roman" w:hAnsi="Times New Roman" w:eastAsia="宋体"/>
                <w:b w:val="0"/>
                <w:i w:val="0"/>
                <w:color w:val="000000"/>
                <w:sz w:val="17"/>
              </w:rPr>
              <w:t>SMC</w:t>
            </w:r>
          </w:p>
        </w:tc>
        <w:tc>
          <w:tcPr>
            <w:tcW w:type="dxa" w:w="1368"/>
          </w:tcPr>
          <w:p>
            <w:pPr>
              <w:spacing w:line="276" w:lineRule="auto"/>
              <w:jc w:val="center"/>
            </w:pPr>
            <w:r>
              <w:rPr>
                <w:rFonts w:ascii="Times New Roman" w:hAnsi="Times New Roman" w:eastAsia="宋体"/>
                <w:b w:val="0"/>
                <w:i w:val="0"/>
                <w:color w:val="000000"/>
                <w:sz w:val="17"/>
              </w:rPr>
              <w:t>0.162</w:t>
            </w:r>
          </w:p>
        </w:tc>
        <w:tc>
          <w:tcPr>
            <w:tcW w:type="dxa" w:w="1368"/>
          </w:tcPr>
          <w:p>
            <w:pPr>
              <w:spacing w:line="276" w:lineRule="auto"/>
              <w:jc w:val="center"/>
            </w:pPr>
            <w:r>
              <w:rPr>
                <w:rFonts w:ascii="Times New Roman" w:hAnsi="Times New Roman" w:eastAsia="宋体"/>
                <w:b w:val="0"/>
                <w:i w:val="0"/>
                <w:color w:val="000000"/>
                <w:sz w:val="17"/>
              </w:rPr>
              <w:t>0.248</w:t>
            </w:r>
          </w:p>
        </w:tc>
        <w:tc>
          <w:tcPr>
            <w:tcW w:type="dxa" w:w="1584"/>
          </w:tcPr>
          <w:p>
            <w:pPr>
              <w:spacing w:line="276" w:lineRule="auto"/>
              <w:jc w:val="center"/>
            </w:pPr>
            <w:r>
              <w:rPr>
                <w:rFonts w:ascii="Times New Roman" w:hAnsi="Times New Roman" w:eastAsia="宋体"/>
                <w:b w:val="0"/>
                <w:i w:val="0"/>
                <w:color w:val="000000"/>
                <w:sz w:val="17"/>
              </w:rPr>
              <w:t>0.601</w:t>
            </w:r>
          </w:p>
        </w:tc>
        <w:tc>
          <w:tcPr>
            <w:tcW w:type="dxa" w:w="1368"/>
          </w:tcPr>
          <w:p>
            <w:pPr>
              <w:spacing w:line="276" w:lineRule="auto"/>
              <w:jc w:val="center"/>
            </w:pPr>
            <w:r>
              <w:rPr>
                <w:rFonts w:ascii="Times New Roman" w:hAnsi="Times New Roman" w:eastAsia="宋体"/>
                <w:b w:val="0"/>
                <w:i w:val="0"/>
                <w:color w:val="000000"/>
                <w:sz w:val="17"/>
              </w:rPr>
              <w:t>10.65</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0.00</w:t>
            </w:r>
          </w:p>
        </w:tc>
      </w:tr>
      <w:tr>
        <w:tc>
          <w:tcPr>
            <w:tcW w:type="dxa" w:w="2160"/>
          </w:tcPr>
          <w:p>
            <w:pPr>
              <w:spacing w:line="276" w:lineRule="auto"/>
              <w:jc w:val="left"/>
            </w:pPr>
            <w:r>
              <w:rPr>
                <w:rFonts w:ascii="Times New Roman" w:hAnsi="Times New Roman" w:eastAsia="宋体"/>
                <w:b w:val="0"/>
                <w:i w:val="0"/>
                <w:color w:val="000000"/>
                <w:sz w:val="17"/>
              </w:rPr>
              <w:t>MPC</w:t>
            </w:r>
          </w:p>
        </w:tc>
        <w:tc>
          <w:tcPr>
            <w:tcW w:type="dxa" w:w="1368"/>
          </w:tcPr>
          <w:p>
            <w:pPr>
              <w:spacing w:line="276" w:lineRule="auto"/>
              <w:jc w:val="center"/>
            </w:pPr>
            <w:r>
              <w:rPr>
                <w:rFonts w:ascii="Times New Roman" w:hAnsi="Times New Roman" w:eastAsia="宋体"/>
                <w:b w:val="0"/>
                <w:i w:val="0"/>
                <w:color w:val="000000"/>
                <w:sz w:val="17"/>
              </w:rPr>
              <w:t>0.071</w:t>
            </w:r>
          </w:p>
        </w:tc>
        <w:tc>
          <w:tcPr>
            <w:tcW w:type="dxa" w:w="1368"/>
          </w:tcPr>
          <w:p>
            <w:pPr>
              <w:spacing w:line="276" w:lineRule="auto"/>
              <w:jc w:val="center"/>
            </w:pPr>
            <w:r>
              <w:rPr>
                <w:rFonts w:ascii="Times New Roman" w:hAnsi="Times New Roman" w:eastAsia="宋体"/>
                <w:b w:val="0"/>
                <w:i w:val="0"/>
                <w:color w:val="000000"/>
                <w:sz w:val="17"/>
              </w:rPr>
              <w:t>0.221</w:t>
            </w:r>
          </w:p>
        </w:tc>
        <w:tc>
          <w:tcPr>
            <w:tcW w:type="dxa" w:w="1584"/>
          </w:tcPr>
          <w:p>
            <w:pPr>
              <w:spacing w:line="276" w:lineRule="auto"/>
              <w:jc w:val="center"/>
            </w:pPr>
            <w:r>
              <w:rPr>
                <w:rFonts w:ascii="Times New Roman" w:hAnsi="Times New Roman" w:eastAsia="宋体"/>
                <w:b w:val="0"/>
                <w:i w:val="0"/>
                <w:color w:val="000000"/>
                <w:sz w:val="17"/>
              </w:rPr>
              <w:t>0.575</w:t>
            </w:r>
          </w:p>
        </w:tc>
        <w:tc>
          <w:tcPr>
            <w:tcW w:type="dxa" w:w="1368"/>
          </w:tcPr>
          <w:p>
            <w:pPr>
              <w:spacing w:line="276" w:lineRule="auto"/>
              <w:jc w:val="center"/>
            </w:pPr>
            <w:r>
              <w:rPr>
                <w:rFonts w:ascii="Times New Roman" w:hAnsi="Times New Roman" w:eastAsia="宋体"/>
                <w:b w:val="0"/>
                <w:i w:val="0"/>
                <w:color w:val="000000"/>
                <w:sz w:val="17"/>
              </w:rPr>
              <w:t>9.46</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1.00</w:t>
            </w:r>
          </w:p>
        </w:tc>
      </w:tr>
      <w:tr>
        <w:tc>
          <w:tcPr>
            <w:tcW w:type="dxa" w:w="2160"/>
          </w:tcPr>
          <w:p>
            <w:pPr>
              <w:spacing w:line="276" w:lineRule="auto"/>
              <w:jc w:val="left"/>
            </w:pPr>
            <w:r>
              <w:rPr>
                <w:rFonts w:ascii="Times New Roman" w:hAnsi="Times New Roman" w:eastAsia="宋体"/>
                <w:b w:val="0"/>
                <w:i w:val="0"/>
                <w:color w:val="000000"/>
                <w:sz w:val="17"/>
              </w:rPr>
              <w:t>固定混合 α=0.5</w:t>
            </w:r>
          </w:p>
        </w:tc>
        <w:tc>
          <w:tcPr>
            <w:tcW w:type="dxa" w:w="1368"/>
          </w:tcPr>
          <w:p>
            <w:pPr>
              <w:spacing w:line="276" w:lineRule="auto"/>
              <w:jc w:val="center"/>
            </w:pPr>
            <w:r>
              <w:rPr>
                <w:rFonts w:ascii="Times New Roman" w:hAnsi="Times New Roman" w:eastAsia="宋体"/>
                <w:b w:val="0"/>
                <w:i w:val="0"/>
                <w:color w:val="000000"/>
                <w:sz w:val="17"/>
              </w:rPr>
              <w:t>0.066</w:t>
            </w:r>
          </w:p>
        </w:tc>
        <w:tc>
          <w:tcPr>
            <w:tcW w:type="dxa" w:w="1368"/>
          </w:tcPr>
          <w:p>
            <w:pPr>
              <w:spacing w:line="276" w:lineRule="auto"/>
              <w:jc w:val="center"/>
            </w:pPr>
            <w:r>
              <w:rPr>
                <w:rFonts w:ascii="Times New Roman" w:hAnsi="Times New Roman" w:eastAsia="宋体"/>
                <w:b w:val="0"/>
                <w:i w:val="0"/>
                <w:color w:val="000000"/>
                <w:sz w:val="17"/>
              </w:rPr>
              <w:t>0.120</w:t>
            </w:r>
          </w:p>
        </w:tc>
        <w:tc>
          <w:tcPr>
            <w:tcW w:type="dxa" w:w="1584"/>
          </w:tcPr>
          <w:p>
            <w:pPr>
              <w:spacing w:line="276" w:lineRule="auto"/>
              <w:jc w:val="center"/>
            </w:pPr>
            <w:r>
              <w:rPr>
                <w:rFonts w:ascii="Times New Roman" w:hAnsi="Times New Roman" w:eastAsia="宋体"/>
                <w:b w:val="0"/>
                <w:i w:val="0"/>
                <w:color w:val="000000"/>
                <w:sz w:val="17"/>
              </w:rPr>
              <w:t>0.412</w:t>
            </w:r>
          </w:p>
        </w:tc>
        <w:tc>
          <w:tcPr>
            <w:tcW w:type="dxa" w:w="1368"/>
          </w:tcPr>
          <w:p>
            <w:pPr>
              <w:spacing w:line="276" w:lineRule="auto"/>
              <w:jc w:val="center"/>
            </w:pPr>
            <w:r>
              <w:rPr>
                <w:rFonts w:ascii="Times New Roman" w:hAnsi="Times New Roman" w:eastAsia="宋体"/>
                <w:b w:val="0"/>
                <w:i w:val="0"/>
                <w:color w:val="000000"/>
                <w:sz w:val="17"/>
              </w:rPr>
              <w:t>8.66</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0.59</w:t>
            </w:r>
          </w:p>
        </w:tc>
      </w:tr>
      <w:tr>
        <w:tc>
          <w:tcPr>
            <w:tcW w:type="dxa" w:w="2160"/>
          </w:tcPr>
          <w:p>
            <w:pPr>
              <w:spacing w:line="276" w:lineRule="auto"/>
              <w:jc w:val="left"/>
            </w:pPr>
            <w:r>
              <w:rPr>
                <w:rFonts w:ascii="Times New Roman" w:hAnsi="Times New Roman" w:eastAsia="宋体"/>
                <w:b w:val="0"/>
                <w:i w:val="0"/>
                <w:color w:val="000000"/>
                <w:sz w:val="17"/>
              </w:rPr>
              <w:t>SSPO</w:t>
            </w:r>
          </w:p>
        </w:tc>
        <w:tc>
          <w:tcPr>
            <w:tcW w:type="dxa" w:w="1368"/>
          </w:tcPr>
          <w:p>
            <w:pPr>
              <w:spacing w:line="276" w:lineRule="auto"/>
              <w:jc w:val="center"/>
            </w:pPr>
            <w:r>
              <w:rPr>
                <w:rFonts w:ascii="Times New Roman" w:hAnsi="Times New Roman" w:eastAsia="宋体"/>
                <w:b w:val="0"/>
                <w:i w:val="0"/>
                <w:color w:val="000000"/>
                <w:sz w:val="17"/>
              </w:rPr>
              <w:t>0.062</w:t>
            </w:r>
          </w:p>
        </w:tc>
        <w:tc>
          <w:tcPr>
            <w:tcW w:type="dxa" w:w="1368"/>
          </w:tcPr>
          <w:p>
            <w:pPr>
              <w:spacing w:line="276" w:lineRule="auto"/>
              <w:jc w:val="center"/>
            </w:pPr>
            <w:r>
              <w:rPr>
                <w:rFonts w:ascii="Times New Roman" w:hAnsi="Times New Roman" w:eastAsia="宋体"/>
                <w:b w:val="0"/>
                <w:i w:val="0"/>
                <w:color w:val="000000"/>
                <w:sz w:val="17"/>
              </w:rPr>
              <w:t>0.136</w:t>
            </w:r>
          </w:p>
        </w:tc>
        <w:tc>
          <w:tcPr>
            <w:tcW w:type="dxa" w:w="1584"/>
          </w:tcPr>
          <w:p>
            <w:pPr>
              <w:spacing w:line="276" w:lineRule="auto"/>
              <w:jc w:val="center"/>
            </w:pPr>
            <w:r>
              <w:rPr>
                <w:rFonts w:ascii="Times New Roman" w:hAnsi="Times New Roman" w:eastAsia="宋体"/>
                <w:b w:val="0"/>
                <w:i w:val="0"/>
                <w:color w:val="000000"/>
                <w:sz w:val="17"/>
              </w:rPr>
              <w:t>0.448</w:t>
            </w:r>
          </w:p>
        </w:tc>
        <w:tc>
          <w:tcPr>
            <w:tcW w:type="dxa" w:w="1368"/>
          </w:tcPr>
          <w:p>
            <w:pPr>
              <w:spacing w:line="276" w:lineRule="auto"/>
              <w:jc w:val="center"/>
            </w:pPr>
            <w:r>
              <w:rPr>
                <w:rFonts w:ascii="Times New Roman" w:hAnsi="Times New Roman" w:eastAsia="宋体"/>
                <w:b w:val="0"/>
                <w:i w:val="0"/>
                <w:color w:val="000000"/>
                <w:sz w:val="17"/>
              </w:rPr>
              <w:t>9.11</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0.87</w:t>
            </w:r>
          </w:p>
        </w:tc>
      </w:tr>
      <w:tr>
        <w:tc>
          <w:tcPr>
            <w:tcW w:type="dxa" w:w="2160"/>
          </w:tcPr>
          <w:p>
            <w:pPr>
              <w:spacing w:line="276" w:lineRule="auto"/>
              <w:jc w:val="left"/>
            </w:pPr>
            <w:r>
              <w:rPr>
                <w:rFonts w:ascii="Times New Roman" w:hAnsi="Times New Roman" w:eastAsia="宋体"/>
                <w:b w:val="0"/>
                <w:i w:val="0"/>
                <w:color w:val="000000"/>
                <w:sz w:val="17"/>
              </w:rPr>
              <w:t>PAC-S</w:t>
            </w:r>
          </w:p>
        </w:tc>
        <w:tc>
          <w:tcPr>
            <w:tcW w:type="dxa" w:w="1368"/>
          </w:tcPr>
          <w:p>
            <w:pPr>
              <w:spacing w:line="276" w:lineRule="auto"/>
              <w:jc w:val="center"/>
            </w:pPr>
            <w:r>
              <w:rPr>
                <w:rFonts w:ascii="Times New Roman" w:hAnsi="Times New Roman" w:eastAsia="宋体"/>
                <w:b w:val="0"/>
                <w:i w:val="0"/>
                <w:color w:val="000000"/>
                <w:sz w:val="17"/>
              </w:rPr>
              <w:t>0.064</w:t>
            </w:r>
          </w:p>
        </w:tc>
        <w:tc>
          <w:tcPr>
            <w:tcW w:type="dxa" w:w="1368"/>
          </w:tcPr>
          <w:p>
            <w:pPr>
              <w:spacing w:line="276" w:lineRule="auto"/>
              <w:jc w:val="center"/>
            </w:pPr>
            <w:r>
              <w:rPr>
                <w:rFonts w:ascii="Times New Roman" w:hAnsi="Times New Roman" w:eastAsia="宋体"/>
                <w:b w:val="0"/>
                <w:i w:val="0"/>
                <w:color w:val="000000"/>
                <w:sz w:val="17"/>
              </w:rPr>
              <w:t>0.160</w:t>
            </w:r>
          </w:p>
        </w:tc>
        <w:tc>
          <w:tcPr>
            <w:tcW w:type="dxa" w:w="1584"/>
          </w:tcPr>
          <w:p>
            <w:pPr>
              <w:spacing w:line="276" w:lineRule="auto"/>
              <w:jc w:val="center"/>
            </w:pPr>
            <w:r>
              <w:rPr>
                <w:rFonts w:ascii="Times New Roman" w:hAnsi="Times New Roman" w:eastAsia="宋体"/>
                <w:b w:val="0"/>
                <w:i w:val="0"/>
                <w:color w:val="000000"/>
                <w:sz w:val="17"/>
              </w:rPr>
              <w:t>0.495</w:t>
            </w:r>
          </w:p>
        </w:tc>
        <w:tc>
          <w:tcPr>
            <w:tcW w:type="dxa" w:w="1368"/>
          </w:tcPr>
          <w:p>
            <w:pPr>
              <w:spacing w:line="276" w:lineRule="auto"/>
              <w:jc w:val="center"/>
            </w:pPr>
            <w:r>
              <w:rPr>
                <w:rFonts w:ascii="Times New Roman" w:hAnsi="Times New Roman" w:eastAsia="宋体"/>
                <w:b w:val="0"/>
                <w:i w:val="0"/>
                <w:color w:val="000000"/>
                <w:sz w:val="17"/>
              </w:rPr>
              <w:t>9.20</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0.82</w:t>
            </w:r>
          </w:p>
        </w:tc>
      </w:tr>
      <w:tr>
        <w:tc>
          <w:tcPr>
            <w:tcW w:type="dxa" w:w="2160"/>
          </w:tcPr>
          <w:p>
            <w:pPr>
              <w:spacing w:line="276" w:lineRule="auto"/>
              <w:jc w:val="left"/>
            </w:pPr>
            <w:r>
              <w:rPr>
                <w:rFonts w:ascii="Times New Roman" w:hAnsi="Times New Roman" w:eastAsia="宋体"/>
                <w:b w:val="0"/>
                <w:i w:val="0"/>
                <w:color w:val="000000"/>
                <w:sz w:val="17"/>
              </w:rPr>
              <w:t>PAC-RL</w:t>
            </w:r>
          </w:p>
        </w:tc>
        <w:tc>
          <w:tcPr>
            <w:tcW w:type="dxa" w:w="1368"/>
          </w:tcPr>
          <w:p>
            <w:pPr>
              <w:spacing w:line="276" w:lineRule="auto"/>
              <w:jc w:val="center"/>
            </w:pPr>
            <w:r>
              <w:rPr>
                <w:rFonts w:ascii="Times New Roman" w:hAnsi="Times New Roman" w:eastAsia="宋体"/>
                <w:b w:val="0"/>
                <w:i w:val="0"/>
                <w:color w:val="000000"/>
                <w:sz w:val="17"/>
              </w:rPr>
              <w:t>0.066</w:t>
            </w:r>
          </w:p>
        </w:tc>
        <w:tc>
          <w:tcPr>
            <w:tcW w:type="dxa" w:w="1368"/>
          </w:tcPr>
          <w:p>
            <w:pPr>
              <w:spacing w:line="276" w:lineRule="auto"/>
              <w:jc w:val="center"/>
            </w:pPr>
            <w:r>
              <w:rPr>
                <w:rFonts w:ascii="Times New Roman" w:hAnsi="Times New Roman" w:eastAsia="宋体"/>
                <w:b w:val="0"/>
                <w:i w:val="0"/>
                <w:color w:val="000000"/>
                <w:sz w:val="17"/>
              </w:rPr>
              <w:t>0.116</w:t>
            </w:r>
          </w:p>
        </w:tc>
        <w:tc>
          <w:tcPr>
            <w:tcW w:type="dxa" w:w="1584"/>
          </w:tcPr>
          <w:p>
            <w:pPr>
              <w:spacing w:line="276" w:lineRule="auto"/>
              <w:jc w:val="center"/>
            </w:pPr>
            <w:r>
              <w:rPr>
                <w:rFonts w:ascii="Times New Roman" w:hAnsi="Times New Roman" w:eastAsia="宋体"/>
                <w:b w:val="0"/>
                <w:i w:val="0"/>
                <w:color w:val="000000"/>
                <w:sz w:val="17"/>
              </w:rPr>
              <w:t>0.414</w:t>
            </w:r>
          </w:p>
        </w:tc>
        <w:tc>
          <w:tcPr>
            <w:tcW w:type="dxa" w:w="1368"/>
          </w:tcPr>
          <w:p>
            <w:pPr>
              <w:spacing w:line="276" w:lineRule="auto"/>
              <w:jc w:val="center"/>
            </w:pPr>
            <w:r>
              <w:rPr>
                <w:rFonts w:ascii="Times New Roman" w:hAnsi="Times New Roman" w:eastAsia="宋体"/>
                <w:b w:val="0"/>
                <w:i w:val="0"/>
                <w:color w:val="000000"/>
                <w:sz w:val="17"/>
              </w:rPr>
              <w:t>8.46</w:t>
            </w:r>
          </w:p>
        </w:tc>
        <w:tc>
          <w:tcPr>
            <w:tcW w:type="dxa" w:w="1296"/>
          </w:tcPr>
          <w:p>
            <w:pPr>
              <w:spacing w:line="276" w:lineRule="auto"/>
              <w:jc w:val="center"/>
            </w:pPr>
            <w:r>
              <w:rPr>
                <w:rFonts w:ascii="Times New Roman" w:hAnsi="Times New Roman" w:eastAsia="宋体"/>
                <w:b w:val="0"/>
                <w:i w:val="0"/>
                <w:color w:val="000000"/>
                <w:sz w:val="17"/>
              </w:rPr>
              <w:t>0.80</w:t>
            </w:r>
          </w:p>
        </w:tc>
        <w:tc>
          <w:tcPr>
            <w:tcW w:type="dxa" w:w="1224"/>
          </w:tcPr>
          <w:p>
            <w:pPr>
              <w:spacing w:line="276" w:lineRule="auto"/>
              <w:jc w:val="center"/>
            </w:pPr>
            <w:r>
              <w:rPr>
                <w:rFonts w:ascii="Times New Roman" w:hAnsi="Times New Roman" w:eastAsia="宋体"/>
                <w:b w:val="0"/>
                <w:i w:val="0"/>
                <w:color w:val="000000"/>
                <w:sz w:val="17"/>
              </w:rPr>
              <w:t>0.54</w:t>
            </w:r>
          </w:p>
        </w:tc>
      </w:tr>
    </w:tbl>
    <w:p>
      <w:pPr>
        <w:spacing w:after="40"/>
      </w:pPr>
    </w:p>
    <w:p>
      <w:pPr>
        <w:spacing w:line="312" w:lineRule="auto" w:before="200" w:after="80"/>
      </w:pPr>
      <w:r>
        <w:rPr>
          <w:rFonts w:ascii="Times New Roman" w:hAnsi="Times New Roman" w:eastAsia="黑体"/>
          <w:b/>
          <w:i w:val="0"/>
          <w:color w:val="000000"/>
          <w:sz w:val="23"/>
        </w:rPr>
        <w:t>6.2  残差的价值在哪里</w:t>
      </w:r>
    </w:p>
    <w:p>
      <w:pPr>
        <w:spacing w:line="312" w:lineRule="auto" w:after="120"/>
        <w:ind w:firstLine="420"/>
        <w:jc w:val="both"/>
      </w:pPr>
      <w:r>
        <w:rPr>
          <w:rFonts w:ascii="Times New Roman" w:hAnsi="Times New Roman" w:eastAsia="宋体"/>
          <w:b w:val="0"/>
          <w:i w:val="0"/>
          <w:color w:val="000000"/>
          <w:sz w:val="21"/>
        </w:rPr>
        <w:t>在 OOD 块上，PAC-RL 将跟踪 RMSE 由 0.161 m（PAC-S）降至 0.116 m。预注册的模型种子级配对效应为 −0.0445 m，自由度 4 的 95% t 区间 [−0.0737, −0.0154] m（相对降低 28%）；35 个 OOD 回合的回合级自助法区间为 [−0.0759, −0.0167] m，与种子级分析一致。最大误差由 0.495 m 降至 0.414 m（五种子均值），OOD 艏向误差改善 0.73°。</w:t>
      </w:r>
    </w:p>
    <w:p>
      <w:pPr>
        <w:spacing w:line="312" w:lineRule="auto" w:after="120"/>
        <w:ind w:firstLine="420"/>
        <w:jc w:val="both"/>
      </w:pPr>
      <w:r>
        <w:rPr>
          <w:rFonts w:ascii="Times New Roman" w:hAnsi="Times New Roman" w:eastAsia="宋体"/>
          <w:b w:val="0"/>
          <w:i w:val="0"/>
          <w:color w:val="000000"/>
          <w:sz w:val="21"/>
        </w:rPr>
        <w:t>表 1 最尖锐的读法对我们不利：固定 α=0.5 的 OOD 误差 0.120 m，与 PAC-RL 相差不足 3%。该比较未经预注册，本文不做显著性主张；诚实的概括是——残差方法相对“从不自适应”的总体优势很小，其价值集中在最需要自适应处（执行器退化族较固定混合再降 28%，见表 2）。分布内效应为 +0.0028 m [+0.0009, +0.0047]（+0.4%），分布内艏向误差上升 0.32° [+0.29, +0.35]（+4.3%）。</w:t>
      </w:r>
    </w:p>
    <w:p>
      <w:pPr>
        <w:spacing w:line="312" w:lineRule="auto" w:after="120"/>
        <w:ind w:firstLine="420"/>
        <w:jc w:val="both"/>
      </w:pPr>
      <w:r>
        <w:rPr>
          <w:rFonts w:ascii="Times New Roman" w:hAnsi="Times New Roman" w:eastAsia="宋体"/>
          <w:b w:val="0"/>
          <w:i w:val="0"/>
          <w:color w:val="000000"/>
          <w:sz w:val="21"/>
        </w:rPr>
        <w:t>图 4b 的族分解定位增益，图 4a 的预注册配对效应量化增益。SSPO 对 PAC-RL 的比较不在归档的配对效应汇总中，以同一种子级程序由原始回合指标补算：OOD −0.0198 m [−0.0211, −0.0185] 利好 PAC-RL，ID +0.0043 m [+0.0033, +0.0053] 利好 SSPO。</w:t>
      </w:r>
    </w:p>
    <w:p>
      <w:pPr>
        <w:keepNext/>
        <w:spacing w:before="160"/>
        <w:jc w:val="center"/>
      </w:pPr>
      <w:r>
        <w:drawing>
          <wp:inline xmlns:a="http://schemas.openxmlformats.org/drawingml/2006/main" xmlns:pic="http://schemas.openxmlformats.org/drawingml/2006/picture">
            <wp:extent cx="5760720" cy="2835672"/>
            <wp:docPr id="4" name="Picture 4"/>
            <wp:cNvGraphicFramePr>
              <a:graphicFrameLocks noChangeAspect="1"/>
            </wp:cNvGraphicFramePr>
            <a:graphic>
              <a:graphicData uri="http://schemas.openxmlformats.org/drawingml/2006/picture">
                <pic:pic>
                  <pic:nvPicPr>
                    <pic:cNvPr id="0" name="fig4_closed_loop_results.png"/>
                    <pic:cNvPicPr/>
                  </pic:nvPicPr>
                  <pic:blipFill>
                    <a:blip r:embed="rId14"/>
                    <a:stretch>
                      <a:fillRect/>
                    </a:stretch>
                  </pic:blipFill>
                  <pic:spPr>
                    <a:xfrm>
                      <a:off x="0" y="0"/>
                      <a:ext cx="5760720" cy="2835672"/>
                    </a:xfrm>
                    <a:prstGeom prst="rect"/>
                  </pic:spPr>
                </pic:pic>
              </a:graphicData>
            </a:graphic>
          </wp:inline>
        </w:drawing>
      </w:r>
    </w:p>
    <w:p>
      <w:pPr>
        <w:spacing w:after="200"/>
        <w:jc w:val="both"/>
      </w:pPr>
      <w:r>
        <w:rPr>
          <w:rFonts w:ascii="Times New Roman" w:hAnsi="Times New Roman" w:eastAsia="宋体"/>
          <w:b/>
          <w:i w:val="0"/>
          <w:color w:val="000000"/>
          <w:sz w:val="18"/>
        </w:rPr>
        <w:t xml:space="preserve">图 4  </w:t>
      </w:r>
      <w:r>
        <w:rPr>
          <w:rFonts w:ascii="Times New Roman" w:hAnsi="Times New Roman" w:eastAsia="宋体"/>
          <w:b w:val="0"/>
          <w:i w:val="0"/>
          <w:color w:val="000000"/>
          <w:sz w:val="18"/>
        </w:rPr>
        <w:t>预注册配对效应与族分解。(a) RMSE 配对效应与模型种子 t(4) 95% 区间，按块（OOD、ID）分组；PAC-RL 对 PAC-S 为归档值，SSPO 对比由原始回合指标补算；实心标记为区间不含零。(b) 各扰动族×方法的 OOD RMSE。增益集中于执行器退化族；温和随机与估计延迟族上监督策略与 SSPO 略优。本面板不支持“全面占优”的解读。</w:t>
      </w:r>
    </w:p>
    <w:p>
      <w:pPr>
        <w:keepNext/>
        <w:spacing w:before="160"/>
        <w:jc w:val="both"/>
      </w:pPr>
      <w:r>
        <w:rPr>
          <w:rFonts w:ascii="Times New Roman" w:hAnsi="Times New Roman" w:eastAsia="宋体"/>
          <w:b/>
          <w:i w:val="0"/>
          <w:color w:val="000000"/>
          <w:sz w:val="18"/>
        </w:rPr>
        <w:t xml:space="preserve">表 2  </w:t>
      </w:r>
      <w:r>
        <w:rPr>
          <w:rFonts w:ascii="Times New Roman" w:hAnsi="Times New Roman" w:eastAsia="宋体"/>
          <w:b/>
          <w:i w:val="0"/>
          <w:color w:val="000000"/>
          <w:sz w:val="18"/>
        </w:rPr>
        <w:t>执行器退化族（响应延迟叠加测量噪声）：配对族均值。</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448"/>
            <w:shd w:val="clear" w:fill="F2F2F2"/>
          </w:tcPr>
          <w:p>
            <w:pPr>
              <w:spacing w:line="276" w:lineRule="auto"/>
              <w:jc w:val="center"/>
            </w:pPr>
            <w:r>
              <w:rPr>
                <w:rFonts w:ascii="Times New Roman" w:hAnsi="Times New Roman" w:eastAsia="宋体"/>
                <w:b/>
                <w:i w:val="0"/>
                <w:color w:val="000000"/>
                <w:sz w:val="17"/>
              </w:rPr>
              <w:t>方法</w:t>
            </w:r>
          </w:p>
        </w:tc>
        <w:tc>
          <w:tcPr>
            <w:tcW w:type="dxa" w:w="1800"/>
            <w:shd w:val="clear" w:fill="F2F2F2"/>
          </w:tcPr>
          <w:p>
            <w:pPr>
              <w:spacing w:line="276" w:lineRule="auto"/>
              <w:jc w:val="center"/>
            </w:pPr>
            <w:r>
              <w:rPr>
                <w:rFonts w:ascii="Times New Roman" w:hAnsi="Times New Roman" w:eastAsia="宋体"/>
                <w:b/>
                <w:i w:val="0"/>
                <w:color w:val="000000"/>
                <w:sz w:val="17"/>
              </w:rPr>
              <w:t>ID RMSE (m)</w:t>
            </w:r>
          </w:p>
        </w:tc>
        <w:tc>
          <w:tcPr>
            <w:tcW w:type="dxa" w:w="1800"/>
            <w:shd w:val="clear" w:fill="F2F2F2"/>
          </w:tcPr>
          <w:p>
            <w:pPr>
              <w:spacing w:line="276" w:lineRule="auto"/>
              <w:jc w:val="center"/>
            </w:pPr>
            <w:r>
              <w:rPr>
                <w:rFonts w:ascii="Times New Roman" w:hAnsi="Times New Roman" w:eastAsia="宋体"/>
                <w:b/>
                <w:i w:val="0"/>
                <w:color w:val="000000"/>
                <w:sz w:val="17"/>
              </w:rPr>
              <w:t>OOD RMSE (m)</w:t>
            </w:r>
          </w:p>
        </w:tc>
        <w:tc>
          <w:tcPr>
            <w:tcW w:type="dxa" w:w="1584"/>
            <w:shd w:val="clear" w:fill="F2F2F2"/>
          </w:tcPr>
          <w:p>
            <w:pPr>
              <w:spacing w:line="276" w:lineRule="auto"/>
              <w:jc w:val="center"/>
            </w:pPr>
            <w:r>
              <w:rPr>
                <w:rFonts w:ascii="Times New Roman" w:hAnsi="Times New Roman" w:eastAsia="宋体"/>
                <w:b/>
                <w:i w:val="0"/>
                <w:color w:val="000000"/>
                <w:sz w:val="17"/>
              </w:rPr>
              <w:t>相对 PAC-S</w:t>
            </w:r>
          </w:p>
        </w:tc>
      </w:tr>
      <w:tr>
        <w:tc>
          <w:tcPr>
            <w:tcW w:type="dxa" w:w="2448"/>
          </w:tcPr>
          <w:p>
            <w:pPr>
              <w:spacing w:line="276" w:lineRule="auto"/>
              <w:jc w:val="left"/>
            </w:pPr>
            <w:r>
              <w:rPr>
                <w:rFonts w:ascii="Times New Roman" w:hAnsi="Times New Roman" w:eastAsia="宋体"/>
                <w:b w:val="0"/>
                <w:i w:val="0"/>
                <w:color w:val="000000"/>
                <w:sz w:val="17"/>
              </w:rPr>
              <w:t>SMC</w:t>
            </w:r>
          </w:p>
        </w:tc>
        <w:tc>
          <w:tcPr>
            <w:tcW w:type="dxa" w:w="1800"/>
          </w:tcPr>
          <w:p>
            <w:pPr>
              <w:spacing w:line="276" w:lineRule="auto"/>
              <w:jc w:val="center"/>
            </w:pPr>
            <w:r>
              <w:rPr>
                <w:rFonts w:ascii="Times New Roman" w:hAnsi="Times New Roman" w:eastAsia="宋体"/>
                <w:b w:val="0"/>
                <w:i w:val="0"/>
                <w:color w:val="000000"/>
                <w:sz w:val="17"/>
              </w:rPr>
              <w:t>0.142</w:t>
            </w:r>
          </w:p>
        </w:tc>
        <w:tc>
          <w:tcPr>
            <w:tcW w:type="dxa" w:w="1800"/>
          </w:tcPr>
          <w:p>
            <w:pPr>
              <w:spacing w:line="276" w:lineRule="auto"/>
              <w:jc w:val="center"/>
            </w:pPr>
            <w:r>
              <w:rPr>
                <w:rFonts w:ascii="Times New Roman" w:hAnsi="Times New Roman" w:eastAsia="宋体"/>
                <w:b w:val="0"/>
                <w:i w:val="0"/>
                <w:color w:val="000000"/>
                <w:sz w:val="17"/>
              </w:rPr>
              <w:t>0.156</w:t>
            </w:r>
          </w:p>
        </w:tc>
        <w:tc>
          <w:tcPr>
            <w:tcW w:type="dxa" w:w="1584"/>
          </w:tcPr>
          <w:p>
            <w:pPr>
              <w:spacing w:line="276" w:lineRule="auto"/>
              <w:jc w:val="center"/>
            </w:pPr>
            <w:r>
              <w:rPr>
                <w:rFonts w:ascii="Times New Roman" w:hAnsi="Times New Roman" w:eastAsia="宋体"/>
                <w:b w:val="0"/>
                <w:i w:val="0"/>
                <w:color w:val="000000"/>
                <w:sz w:val="17"/>
              </w:rPr>
              <w:t>-47%</w:t>
            </w:r>
          </w:p>
        </w:tc>
      </w:tr>
      <w:tr>
        <w:tc>
          <w:tcPr>
            <w:tcW w:type="dxa" w:w="2448"/>
          </w:tcPr>
          <w:p>
            <w:pPr>
              <w:spacing w:line="276" w:lineRule="auto"/>
              <w:jc w:val="left"/>
            </w:pPr>
            <w:r>
              <w:rPr>
                <w:rFonts w:ascii="Times New Roman" w:hAnsi="Times New Roman" w:eastAsia="宋体"/>
                <w:b w:val="0"/>
                <w:i w:val="0"/>
                <w:color w:val="000000"/>
                <w:sz w:val="17"/>
              </w:rPr>
              <w:t>MPC</w:t>
            </w:r>
          </w:p>
        </w:tc>
        <w:tc>
          <w:tcPr>
            <w:tcW w:type="dxa" w:w="1800"/>
          </w:tcPr>
          <w:p>
            <w:pPr>
              <w:spacing w:line="276" w:lineRule="auto"/>
              <w:jc w:val="center"/>
            </w:pPr>
            <w:r>
              <w:rPr>
                <w:rFonts w:ascii="Times New Roman" w:hAnsi="Times New Roman" w:eastAsia="宋体"/>
                <w:b w:val="0"/>
                <w:i w:val="0"/>
                <w:color w:val="000000"/>
                <w:sz w:val="17"/>
              </w:rPr>
              <w:t>0.089</w:t>
            </w:r>
          </w:p>
        </w:tc>
        <w:tc>
          <w:tcPr>
            <w:tcW w:type="dxa" w:w="1800"/>
          </w:tcPr>
          <w:p>
            <w:pPr>
              <w:spacing w:line="276" w:lineRule="auto"/>
              <w:jc w:val="center"/>
            </w:pPr>
            <w:r>
              <w:rPr>
                <w:rFonts w:ascii="Times New Roman" w:hAnsi="Times New Roman" w:eastAsia="宋体"/>
                <w:b w:val="0"/>
                <w:i w:val="0"/>
                <w:color w:val="000000"/>
                <w:sz w:val="17"/>
              </w:rPr>
              <w:t>0.822</w:t>
            </w:r>
          </w:p>
        </w:tc>
        <w:tc>
          <w:tcPr>
            <w:tcW w:type="dxa" w:w="1584"/>
          </w:tcPr>
          <w:p>
            <w:pPr>
              <w:spacing w:line="276" w:lineRule="auto"/>
              <w:jc w:val="center"/>
            </w:pPr>
            <w:r>
              <w:rPr>
                <w:rFonts w:ascii="Times New Roman" w:hAnsi="Times New Roman" w:eastAsia="宋体"/>
                <w:b w:val="0"/>
                <w:i w:val="0"/>
                <w:color w:val="000000"/>
                <w:sz w:val="17"/>
              </w:rPr>
              <w:t>+179%</w:t>
            </w:r>
          </w:p>
        </w:tc>
      </w:tr>
      <w:tr>
        <w:tc>
          <w:tcPr>
            <w:tcW w:type="dxa" w:w="2448"/>
          </w:tcPr>
          <w:p>
            <w:pPr>
              <w:spacing w:line="276" w:lineRule="auto"/>
              <w:jc w:val="left"/>
            </w:pPr>
            <w:r>
              <w:rPr>
                <w:rFonts w:ascii="Times New Roman" w:hAnsi="Times New Roman" w:eastAsia="宋体"/>
                <w:b w:val="0"/>
                <w:i w:val="0"/>
                <w:color w:val="000000"/>
                <w:sz w:val="17"/>
              </w:rPr>
              <w:t>固定混合 α=0.5</w:t>
            </w:r>
          </w:p>
        </w:tc>
        <w:tc>
          <w:tcPr>
            <w:tcW w:type="dxa" w:w="1800"/>
          </w:tcPr>
          <w:p>
            <w:pPr>
              <w:spacing w:line="276" w:lineRule="auto"/>
              <w:jc w:val="center"/>
            </w:pPr>
            <w:r>
              <w:rPr>
                <w:rFonts w:ascii="Times New Roman" w:hAnsi="Times New Roman" w:eastAsia="宋体"/>
                <w:b w:val="0"/>
                <w:i w:val="0"/>
                <w:color w:val="000000"/>
                <w:sz w:val="17"/>
              </w:rPr>
              <w:t>0.056</w:t>
            </w:r>
          </w:p>
        </w:tc>
        <w:tc>
          <w:tcPr>
            <w:tcW w:type="dxa" w:w="1800"/>
          </w:tcPr>
          <w:p>
            <w:pPr>
              <w:spacing w:line="276" w:lineRule="auto"/>
              <w:jc w:val="center"/>
            </w:pPr>
            <w:r>
              <w:rPr>
                <w:rFonts w:ascii="Times New Roman" w:hAnsi="Times New Roman" w:eastAsia="宋体"/>
                <w:b w:val="0"/>
                <w:i w:val="0"/>
                <w:color w:val="000000"/>
                <w:sz w:val="17"/>
              </w:rPr>
              <w:t>0.125</w:t>
            </w:r>
          </w:p>
        </w:tc>
        <w:tc>
          <w:tcPr>
            <w:tcW w:type="dxa" w:w="1584"/>
          </w:tcPr>
          <w:p>
            <w:pPr>
              <w:spacing w:line="276" w:lineRule="auto"/>
              <w:jc w:val="center"/>
            </w:pPr>
            <w:r>
              <w:rPr>
                <w:rFonts w:ascii="Times New Roman" w:hAnsi="Times New Roman" w:eastAsia="宋体"/>
                <w:b w:val="0"/>
                <w:i w:val="0"/>
                <w:color w:val="000000"/>
                <w:sz w:val="17"/>
              </w:rPr>
              <w:t>-58%</w:t>
            </w:r>
          </w:p>
        </w:tc>
      </w:tr>
      <w:tr>
        <w:tc>
          <w:tcPr>
            <w:tcW w:type="dxa" w:w="2448"/>
          </w:tcPr>
          <w:p>
            <w:pPr>
              <w:spacing w:line="276" w:lineRule="auto"/>
              <w:jc w:val="left"/>
            </w:pPr>
            <w:r>
              <w:rPr>
                <w:rFonts w:ascii="Times New Roman" w:hAnsi="Times New Roman" w:eastAsia="宋体"/>
                <w:b w:val="0"/>
                <w:i w:val="0"/>
                <w:color w:val="000000"/>
                <w:sz w:val="17"/>
              </w:rPr>
              <w:t>SSPO</w:t>
            </w:r>
          </w:p>
        </w:tc>
        <w:tc>
          <w:tcPr>
            <w:tcW w:type="dxa" w:w="1800"/>
          </w:tcPr>
          <w:p>
            <w:pPr>
              <w:spacing w:line="276" w:lineRule="auto"/>
              <w:jc w:val="center"/>
            </w:pPr>
            <w:r>
              <w:rPr>
                <w:rFonts w:ascii="Times New Roman" w:hAnsi="Times New Roman" w:eastAsia="宋体"/>
                <w:b w:val="0"/>
                <w:i w:val="0"/>
                <w:color w:val="000000"/>
                <w:sz w:val="17"/>
              </w:rPr>
              <w:t>0.074</w:t>
            </w:r>
          </w:p>
        </w:tc>
        <w:tc>
          <w:tcPr>
            <w:tcW w:type="dxa" w:w="1800"/>
          </w:tcPr>
          <w:p>
            <w:pPr>
              <w:spacing w:line="276" w:lineRule="auto"/>
              <w:jc w:val="center"/>
            </w:pPr>
            <w:r>
              <w:rPr>
                <w:rFonts w:ascii="Times New Roman" w:hAnsi="Times New Roman" w:eastAsia="宋体"/>
                <w:b w:val="0"/>
                <w:i w:val="0"/>
                <w:color w:val="000000"/>
                <w:sz w:val="17"/>
              </w:rPr>
              <w:t>0.252</w:t>
            </w:r>
          </w:p>
        </w:tc>
        <w:tc>
          <w:tcPr>
            <w:tcW w:type="dxa" w:w="1584"/>
          </w:tcPr>
          <w:p>
            <w:pPr>
              <w:spacing w:line="276" w:lineRule="auto"/>
              <w:jc w:val="center"/>
            </w:pPr>
            <w:r>
              <w:rPr>
                <w:rFonts w:ascii="Times New Roman" w:hAnsi="Times New Roman" w:eastAsia="宋体"/>
                <w:b w:val="0"/>
                <w:i w:val="0"/>
                <w:color w:val="000000"/>
                <w:sz w:val="17"/>
              </w:rPr>
              <w:t>-15%</w:t>
            </w:r>
          </w:p>
        </w:tc>
      </w:tr>
      <w:tr>
        <w:tc>
          <w:tcPr>
            <w:tcW w:type="dxa" w:w="2448"/>
          </w:tcPr>
          <w:p>
            <w:pPr>
              <w:spacing w:line="276" w:lineRule="auto"/>
              <w:jc w:val="left"/>
            </w:pPr>
            <w:r>
              <w:rPr>
                <w:rFonts w:ascii="Times New Roman" w:hAnsi="Times New Roman" w:eastAsia="宋体"/>
                <w:b w:val="0"/>
                <w:i w:val="0"/>
                <w:color w:val="000000"/>
                <w:sz w:val="17"/>
              </w:rPr>
              <w:t>PAC-S</w:t>
            </w:r>
          </w:p>
        </w:tc>
        <w:tc>
          <w:tcPr>
            <w:tcW w:type="dxa" w:w="1800"/>
          </w:tcPr>
          <w:p>
            <w:pPr>
              <w:spacing w:line="276" w:lineRule="auto"/>
              <w:jc w:val="center"/>
            </w:pPr>
            <w:r>
              <w:rPr>
                <w:rFonts w:ascii="Times New Roman" w:hAnsi="Times New Roman" w:eastAsia="宋体"/>
                <w:b w:val="0"/>
                <w:i w:val="0"/>
                <w:color w:val="000000"/>
                <w:sz w:val="17"/>
              </w:rPr>
              <w:t>0.069</w:t>
            </w:r>
          </w:p>
        </w:tc>
        <w:tc>
          <w:tcPr>
            <w:tcW w:type="dxa" w:w="1800"/>
          </w:tcPr>
          <w:p>
            <w:pPr>
              <w:spacing w:line="276" w:lineRule="auto"/>
              <w:jc w:val="center"/>
            </w:pPr>
            <w:r>
              <w:rPr>
                <w:rFonts w:ascii="Times New Roman" w:hAnsi="Times New Roman" w:eastAsia="宋体"/>
                <w:b w:val="0"/>
                <w:i w:val="0"/>
                <w:color w:val="000000"/>
                <w:sz w:val="17"/>
              </w:rPr>
              <w:t>0.295</w:t>
            </w:r>
          </w:p>
        </w:tc>
        <w:tc>
          <w:tcPr>
            <w:tcW w:type="dxa" w:w="1584"/>
          </w:tcPr>
          <w:p>
            <w:pPr>
              <w:spacing w:line="276" w:lineRule="auto"/>
              <w:jc w:val="center"/>
            </w:pPr>
            <w:r>
              <w:rPr>
                <w:rFonts w:ascii="Times New Roman" w:hAnsi="Times New Roman" w:eastAsia="宋体"/>
                <w:b w:val="0"/>
                <w:i w:val="0"/>
                <w:color w:val="000000"/>
                <w:sz w:val="17"/>
              </w:rPr>
              <w:t>—</w:t>
            </w:r>
          </w:p>
        </w:tc>
      </w:tr>
      <w:tr>
        <w:tc>
          <w:tcPr>
            <w:tcW w:type="dxa" w:w="2448"/>
          </w:tcPr>
          <w:p>
            <w:pPr>
              <w:spacing w:line="276" w:lineRule="auto"/>
              <w:jc w:val="left"/>
            </w:pPr>
            <w:r>
              <w:rPr>
                <w:rFonts w:ascii="Times New Roman" w:hAnsi="Times New Roman" w:eastAsia="宋体"/>
                <w:b w:val="0"/>
                <w:i w:val="0"/>
                <w:color w:val="000000"/>
                <w:sz w:val="17"/>
              </w:rPr>
              <w:t>PAC-RL</w:t>
            </w:r>
          </w:p>
        </w:tc>
        <w:tc>
          <w:tcPr>
            <w:tcW w:type="dxa" w:w="1800"/>
          </w:tcPr>
          <w:p>
            <w:pPr>
              <w:spacing w:line="276" w:lineRule="auto"/>
              <w:jc w:val="center"/>
            </w:pPr>
            <w:r>
              <w:rPr>
                <w:rFonts w:ascii="Times New Roman" w:hAnsi="Times New Roman" w:eastAsia="宋体"/>
                <w:b w:val="0"/>
                <w:i w:val="0"/>
                <w:color w:val="000000"/>
                <w:sz w:val="17"/>
              </w:rPr>
              <w:t>0.056</w:t>
            </w:r>
          </w:p>
        </w:tc>
        <w:tc>
          <w:tcPr>
            <w:tcW w:type="dxa" w:w="1800"/>
          </w:tcPr>
          <w:p>
            <w:pPr>
              <w:spacing w:line="276" w:lineRule="auto"/>
              <w:jc w:val="center"/>
            </w:pPr>
            <w:r>
              <w:rPr>
                <w:rFonts w:ascii="Times New Roman" w:hAnsi="Times New Roman" w:eastAsia="宋体"/>
                <w:b w:val="0"/>
                <w:i w:val="0"/>
                <w:color w:val="000000"/>
                <w:sz w:val="17"/>
              </w:rPr>
              <w:t>0.090</w:t>
            </w:r>
          </w:p>
        </w:tc>
        <w:tc>
          <w:tcPr>
            <w:tcW w:type="dxa" w:w="1584"/>
          </w:tcPr>
          <w:p>
            <w:pPr>
              <w:spacing w:line="276" w:lineRule="auto"/>
              <w:jc w:val="center"/>
            </w:pPr>
            <w:r>
              <w:rPr>
                <w:rFonts w:ascii="Times New Roman" w:hAnsi="Times New Roman" w:eastAsia="宋体"/>
                <w:b w:val="0"/>
                <w:i w:val="0"/>
                <w:color w:val="000000"/>
                <w:sz w:val="17"/>
              </w:rPr>
              <w:t>-69%</w:t>
            </w:r>
          </w:p>
        </w:tc>
      </w:tr>
    </w:tbl>
    <w:p>
      <w:pPr>
        <w:spacing w:after="40"/>
      </w:pPr>
    </w:p>
    <w:p>
      <w:pPr>
        <w:spacing w:line="312" w:lineRule="auto" w:before="200" w:after="80"/>
      </w:pPr>
      <w:r>
        <w:rPr>
          <w:rFonts w:ascii="Times New Roman" w:hAnsi="Times New Roman" w:eastAsia="黑体"/>
          <w:b/>
          <w:i w:val="0"/>
          <w:color w:val="000000"/>
          <w:sz w:val="23"/>
        </w:rPr>
        <w:t>6.3  残差如何起作用？</w:t>
      </w:r>
    </w:p>
    <w:p>
      <w:pPr>
        <w:spacing w:line="312" w:lineRule="auto" w:after="120"/>
        <w:ind w:firstLine="420"/>
        <w:jc w:val="both"/>
      </w:pPr>
      <w:r>
        <w:rPr>
          <w:rFonts w:ascii="Times New Roman" w:hAnsi="Times New Roman" w:eastAsia="宋体"/>
          <w:b w:val="0"/>
          <w:i w:val="0"/>
          <w:color w:val="000000"/>
          <w:sz w:val="21"/>
        </w:rPr>
        <w:t>机制在图 5b 中可见。推进器退化发生后数秒内，监督策略将 α 推过 0.9 并在回合大部分时间里于该处振荡（31.2% 的步数高于 0.9；标准差 0.331）；残差策略从未超过 0.69，且在 97.0% 的步数内保持于 [0.4, 0.6]。残差学到的不是一套新的调度——它学到的是否决监督策略的越界。我们将其解读为分布偏移下的保守化，这是单一家族的观察，我们不外推。</w:t>
      </w:r>
    </w:p>
    <w:p>
      <w:pPr>
        <w:keepNext/>
        <w:spacing w:before="160"/>
        <w:jc w:val="center"/>
      </w:pPr>
      <w:r>
        <w:drawing>
          <wp:inline xmlns:a="http://schemas.openxmlformats.org/drawingml/2006/main" xmlns:pic="http://schemas.openxmlformats.org/drawingml/2006/picture">
            <wp:extent cx="5760720" cy="3144438"/>
            <wp:docPr id="5" name="Picture 5"/>
            <wp:cNvGraphicFramePr>
              <a:graphicFrameLocks noChangeAspect="1"/>
            </wp:cNvGraphicFramePr>
            <a:graphic>
              <a:graphicData uri="http://schemas.openxmlformats.org/drawingml/2006/picture">
                <pic:pic>
                  <pic:nvPicPr>
                    <pic:cNvPr id="0" name="fig5_actuator_case.png"/>
                    <pic:cNvPicPr/>
                  </pic:nvPicPr>
                  <pic:blipFill>
                    <a:blip r:embed="rId15"/>
                    <a:stretch>
                      <a:fillRect/>
                    </a:stretch>
                  </pic:blipFill>
                  <pic:spPr>
                    <a:xfrm>
                      <a:off x="0" y="0"/>
                      <a:ext cx="5760720" cy="3144438"/>
                    </a:xfrm>
                    <a:prstGeom prst="rect"/>
                  </pic:spPr>
                </pic:pic>
              </a:graphicData>
            </a:graphic>
          </wp:inline>
        </w:drawing>
      </w:r>
    </w:p>
    <w:p>
      <w:pPr>
        <w:spacing w:after="200"/>
        <w:jc w:val="both"/>
      </w:pPr>
      <w:r>
        <w:rPr>
          <w:rFonts w:ascii="Times New Roman" w:hAnsi="Times New Roman" w:eastAsia="宋体"/>
          <w:b/>
          <w:i w:val="0"/>
          <w:color w:val="000000"/>
          <w:sz w:val="18"/>
        </w:rPr>
        <w:t xml:space="preserve">图 5  </w:t>
      </w:r>
      <w:r>
        <w:rPr>
          <w:rFonts w:ascii="Times New Roman" w:hAnsi="Times New Roman" w:eastAsia="宋体"/>
          <w:b w:val="0"/>
          <w:i w:val="0"/>
          <w:color w:val="000000"/>
          <w:sz w:val="18"/>
        </w:rPr>
        <w:t>执行器退化回合（保留种子 43000，检查前固定；族均值以文字并置）。(a) 位置误差。(b) 权限系数。族均值系数：PAC-S 0.63，PAC-RL 0.50。</w:t>
      </w:r>
    </w:p>
    <w:p>
      <w:pPr>
        <w:spacing w:line="312" w:lineRule="auto" w:before="200" w:after="80"/>
      </w:pPr>
      <w:r>
        <w:rPr>
          <w:rFonts w:ascii="Times New Roman" w:hAnsi="Times New Roman" w:eastAsia="黑体"/>
          <w:b/>
          <w:i w:val="0"/>
          <w:color w:val="000000"/>
          <w:sz w:val="23"/>
        </w:rPr>
        <w:t>6.4  增益的代价</w:t>
      </w:r>
    </w:p>
    <w:p>
      <w:pPr>
        <w:spacing w:line="312" w:lineRule="auto" w:after="120"/>
        <w:ind w:firstLine="420"/>
        <w:jc w:val="both"/>
      </w:pPr>
      <w:r>
        <w:rPr>
          <w:rFonts w:ascii="Times New Roman" w:hAnsi="Times New Roman" w:eastAsia="宋体"/>
          <w:b w:val="0"/>
          <w:i w:val="0"/>
          <w:color w:val="000000"/>
          <w:sz w:val="21"/>
        </w:rPr>
        <w:t>两项代价伴随 OOD 增益。分布内位置与艏向误差如上量化地增加。求解器超时率——评估框架中 MPC 实例墙钟超过 10 ms 控制周期的步数占比，对所有方法同口径测量——在 PAC-RL 下由共同的 0.69 基线升至 0.80（OOD +0.107 [+0.094, +0.120]；ID +0.028 [+0.010, +0.047]）。固定混合使该指标不变，故系数取值本身并非原因；候选解释是依赖轨迹的求解器条件数，作为假设而非结论标注。部署侧保障不受影响：回退上一拍指令的触发率全方法为 0.3–0.5%，一米阈值任务成功率不变（ID 0.988 / OOD 0.943），OOD 最大误差反而改善。</w:t>
      </w:r>
    </w:p>
    <w:p>
      <w:pPr>
        <w:keepNext/>
        <w:spacing w:before="160"/>
        <w:jc w:val="center"/>
      </w:pPr>
      <w:r>
        <w:drawing>
          <wp:inline xmlns:a="http://schemas.openxmlformats.org/drawingml/2006/main" xmlns:pic="http://schemas.openxmlformats.org/drawingml/2006/picture">
            <wp:extent cx="5760720" cy="2206662"/>
            <wp:docPr id="6" name="Picture 6"/>
            <wp:cNvGraphicFramePr>
              <a:graphicFrameLocks noChangeAspect="1"/>
            </wp:cNvGraphicFramePr>
            <a:graphic>
              <a:graphicData uri="http://schemas.openxmlformats.org/drawingml/2006/picture">
                <pic:pic>
                  <pic:nvPicPr>
                    <pic:cNvPr id="0" name="fig6_cost_tradeoff.png"/>
                    <pic:cNvPicPr/>
                  </pic:nvPicPr>
                  <pic:blipFill>
                    <a:blip r:embed="rId16"/>
                    <a:stretch>
                      <a:fillRect/>
                    </a:stretch>
                  </pic:blipFill>
                  <pic:spPr>
                    <a:xfrm>
                      <a:off x="0" y="0"/>
                      <a:ext cx="5760720" cy="2206662"/>
                    </a:xfrm>
                    <a:prstGeom prst="rect"/>
                  </pic:spPr>
                </pic:pic>
              </a:graphicData>
            </a:graphic>
          </wp:inline>
        </w:drawing>
      </w:r>
    </w:p>
    <w:p>
      <w:pPr>
        <w:spacing w:after="200"/>
        <w:jc w:val="both"/>
      </w:pPr>
      <w:r>
        <w:rPr>
          <w:rFonts w:ascii="Times New Roman" w:hAnsi="Times New Roman" w:eastAsia="宋体"/>
          <w:b/>
          <w:i w:val="0"/>
          <w:color w:val="000000"/>
          <w:sz w:val="18"/>
        </w:rPr>
        <w:t xml:space="preserve">图 6  </w:t>
      </w:r>
      <w:r>
        <w:rPr>
          <w:rFonts w:ascii="Times New Roman" w:hAnsi="Times New Roman" w:eastAsia="宋体"/>
          <w:b w:val="0"/>
          <w:i w:val="0"/>
          <w:color w:val="000000"/>
          <w:sz w:val="18"/>
        </w:rPr>
        <w:t>代价核算。各方法-种子组合的 OOD RMSE 对求解器超时率散点；该指标统计共享评估框架中 MPC 实例超过 10 ms 控制周期的步数，对所有方法同口径采集。阴影带：共同基线水平（0.69：SMC / MPC / 固定 α / SSPO）。</w:t>
      </w:r>
    </w:p>
    <w:p>
      <w:pPr>
        <w:spacing w:line="312" w:lineRule="auto" w:after="120"/>
        <w:ind w:firstLine="420"/>
        <w:jc w:val="both"/>
      </w:pPr>
      <w:r>
        <w:rPr>
          <w:rFonts w:ascii="Times New Roman" w:hAnsi="Times New Roman" w:eastAsia="宋体"/>
          <w:b w:val="0"/>
          <w:i w:val="0"/>
          <w:color w:val="000000"/>
          <w:sz w:val="21"/>
        </w:rPr>
        <w:t>对照与残差阶段相关的六项预注册验收准则：三项通过（增益未以艏向、饱和或约束违反换取；消融可分离；五种子方向稳定）；两项未通过（整体非劣性——经由分布内 +0.4% 效应；超时率不恶化）；一项——部署推理时间满足控制周期——未评估，且为硬件阶段的第一道门槛。</w:t>
      </w:r>
    </w:p>
    <w:p>
      <w:pPr>
        <w:spacing w:line="312" w:lineRule="auto" w:before="280" w:after="120"/>
      </w:pPr>
      <w:r>
        <w:rPr>
          <w:rFonts w:ascii="Times New Roman" w:hAnsi="Times New Roman" w:eastAsia="黑体"/>
          <w:b/>
          <w:i w:val="0"/>
          <w:color w:val="000000"/>
          <w:sz w:val="26"/>
        </w:rPr>
        <w:t>7  局限与讨论</w:t>
      </w:r>
    </w:p>
    <w:p>
      <w:pPr>
        <w:spacing w:line="312" w:lineRule="auto" w:after="120"/>
        <w:ind w:firstLine="420"/>
        <w:jc w:val="both"/>
      </w:pPr>
      <w:r>
        <w:rPr>
          <w:rFonts w:ascii="Times New Roman" w:hAnsi="Times New Roman" w:eastAsia="宋体"/>
          <w:b w:val="0"/>
          <w:i w:val="0"/>
          <w:color w:val="000000"/>
          <w:sz w:val="21"/>
        </w:rPr>
        <w:t>核心结果是：两千参数量级的残差，仅作用于有界权限系数，将在分布偏移下失效的监督仲裁策略，改造为总体上匹配强常数混合、并在最需要自适应处显著占优的策略。安全论证是架构性的：零初始化保证部署起点与已部署基线数值一致，有界输出限制此后每次扰动，固定回退将最坏情形界定为基线本身。这界定了本文相对残差强化学习[5]（扰动执行器指令）与学习型安全滤波[11]（在学习路径中放置学习组件）的位置。</w:t>
      </w:r>
    </w:p>
    <w:p>
      <w:pPr>
        <w:spacing w:line="312" w:lineRule="auto" w:after="120"/>
        <w:ind w:firstLine="420"/>
        <w:jc w:val="both"/>
      </w:pPr>
      <w:r>
        <w:rPr>
          <w:rFonts w:ascii="Times New Roman" w:hAnsi="Times New Roman" w:eastAsia="宋体"/>
          <w:b w:val="0"/>
          <w:i w:val="0"/>
          <w:color w:val="000000"/>
          <w:sz w:val="21"/>
        </w:rPr>
        <w:t>六条边界限定本文主张。第一，全部证据为仿真级别。第二，特征集接收精确海流信息，硬件上必须估计。第三，分布外指相对扰动族采样，不指任意现场条件。第四，分布内非劣性未通过（位置 +0.4%、艏向 +4.3%）。第五，超时率上升（+0.107）原因未确立。第六，组合策略的部署延迟未测量。</w:t>
      </w:r>
    </w:p>
    <w:p>
      <w:pPr>
        <w:spacing w:line="312" w:lineRule="auto" w:after="120"/>
        <w:ind w:firstLine="420"/>
        <w:jc w:val="both"/>
      </w:pPr>
      <w:r>
        <w:rPr>
          <w:rFonts w:ascii="Times New Roman" w:hAnsi="Times New Roman" w:eastAsia="宋体"/>
          <w:b w:val="0"/>
          <w:i w:val="0"/>
          <w:color w:val="000000"/>
          <w:sz w:val="21"/>
        </w:rPr>
        <w:t>这些边界定义了下一步实验：在预注册规则下解冻最后一个编码器块、针对分布内效应的残差第二轮训练；隔离超时机制；以及第 8 节的硬件协议。</w:t>
      </w:r>
    </w:p>
    <w:p>
      <w:pPr>
        <w:spacing w:line="312" w:lineRule="auto" w:before="280" w:after="120"/>
      </w:pPr>
      <w:r>
        <w:rPr>
          <w:rFonts w:ascii="Times New Roman" w:hAnsi="Times New Roman" w:eastAsia="黑体"/>
          <w:b/>
          <w:i w:val="0"/>
          <w:color w:val="000000"/>
          <w:sz w:val="26"/>
        </w:rPr>
        <w:t>8  计划中的硬件验证</w:t>
      </w:r>
    </w:p>
    <w:p>
      <w:pPr>
        <w:spacing w:line="312" w:lineRule="auto" w:after="120"/>
        <w:ind w:firstLine="420"/>
        <w:jc w:val="both"/>
      </w:pPr>
      <w:r>
        <w:rPr>
          <w:rFonts w:ascii="Times New Roman" w:hAnsi="Times New Roman" w:eastAsia="宋体"/>
          <w:b w:val="0"/>
          <w:i w:val="0"/>
          <w:color w:val="000000"/>
          <w:sz w:val="21"/>
        </w:rPr>
        <w:t>没有物理实验，本文不具备投稿条件。计划在同一台 10 kg 六推进器航行器上部署相同的 SMC、MPC 专家、PAC-S 与 PAC-RL 检查点。协议包括每方法每扰动条件至少十次独立试验、控制器次序随机化、固定的电池电压接受窗、相同的轨迹与执行器限制。扰动从静水逐步推进到稳态横流、由系留牵引或标定流源产生的可复现阶跃式扰动，以及——针对本文主张——注入的执行器退化条件：在部分推进器上施加经标定的一阶指令滞后加噪声。</w:t>
      </w:r>
    </w:p>
    <w:p>
      <w:pPr>
        <w:spacing w:line="312" w:lineRule="auto" w:after="120"/>
        <w:ind w:firstLine="420"/>
        <w:jc w:val="both"/>
      </w:pPr>
      <w:r>
        <w:rPr>
          <w:rFonts w:ascii="Times New Roman" w:hAnsi="Times New Roman" w:eastAsia="宋体"/>
          <w:b w:val="0"/>
          <w:i w:val="0"/>
          <w:color w:val="000000"/>
          <w:sz w:val="21"/>
        </w:rPr>
        <w:t>机载估计器须由 IMU、深度、DVL 与定位信息提供位姿、体速度与因果海流估计；不得暴露仿真器的精确海流。除位置与姿态 RMSE 外，硬件部分报告最大误差、成功率、实测电能耗、逐步推理时延、端到端控制回路时延（即未评估的那项准则）、饱和时长与紧急干预。占位项（平台尺寸、传感器套件、试验点标定、试验数）只能以实测值填充，不得以仿真或预期数据顶替。</w:t>
      </w:r>
    </w:p>
    <w:p>
      <w:pPr>
        <w:spacing w:line="312" w:lineRule="auto" w:before="280" w:after="120"/>
      </w:pPr>
      <w:r>
        <w:rPr>
          <w:rFonts w:ascii="Times New Roman" w:hAnsi="Times New Roman" w:eastAsia="黑体"/>
          <w:b/>
          <w:i w:val="0"/>
          <w:color w:val="000000"/>
          <w:sz w:val="26"/>
        </w:rPr>
        <w:t>9  结论</w:t>
      </w:r>
    </w:p>
    <w:p>
      <w:pPr>
        <w:spacing w:line="312" w:lineRule="auto" w:after="120"/>
        <w:ind w:firstLine="420"/>
        <w:jc w:val="both"/>
      </w:pPr>
      <w:r>
        <w:rPr>
          <w:rFonts w:ascii="Times New Roman" w:hAnsi="Times New Roman" w:eastAsia="宋体"/>
          <w:b w:val="0"/>
          <w:i w:val="0"/>
          <w:color w:val="000000"/>
          <w:sz w:val="21"/>
        </w:rPr>
        <w:t>PAC 将学习型水下控制重构为结构化控制器之间的信任问题，残差阶段在分布偏移下修复这种信任：OOD 跟踪误差降低 28%，种子级与回合级的置信区间均不含零；优化器的退化失效被约束至 0.090 m；每一项代价都与训练前固定的准则对照测量。学习组件保持有界、可作为单条系数轨迹审计、最坏情形等价于已部署基线。硬件验证、因果海流估计、时延测量与时变混合的稳定性分析，是任何面向真实环境的鲁棒性主张之前提。</w:t>
      </w:r>
    </w:p>
    <w:p>
      <w:pPr>
        <w:spacing w:line="312" w:lineRule="auto" w:before="280" w:after="120"/>
      </w:pPr>
      <w:r>
        <w:rPr>
          <w:rFonts w:ascii="Times New Roman" w:hAnsi="Times New Roman" w:eastAsia="黑体"/>
          <w:b/>
          <w:i w:val="0"/>
          <w:color w:val="000000"/>
          <w:sz w:val="26"/>
        </w:rPr>
        <w:t>数据可用性</w:t>
      </w:r>
    </w:p>
    <w:p>
      <w:pPr>
        <w:spacing w:line="312" w:lineRule="auto" w:after="120"/>
        <w:ind w:firstLine="420"/>
        <w:jc w:val="both"/>
      </w:pPr>
      <w:r>
        <w:rPr>
          <w:rFonts w:ascii="Times New Roman" w:hAnsi="Times New Roman" w:eastAsia="宋体"/>
          <w:b w:val="0"/>
          <w:i w:val="0"/>
          <w:color w:val="000000"/>
          <w:sz w:val="21"/>
        </w:rPr>
        <w:t>本文全部数值来自哈希冻结的归档（配置、数据集与检查点摘要及逐文件校验和），覆盖监督与残差两个训练阶段与配对评估。每幅图与每张表的源数据均可由代码库构建脚本从这些归档重新生成；轨迹图由冻结检查点对归档回合做确定性重放。</w:t>
      </w:r>
    </w:p>
    <w:p>
      <w:pPr>
        <w:spacing w:line="312" w:lineRule="auto" w:before="280" w:after="120"/>
      </w:pPr>
      <w:r>
        <w:rPr>
          <w:rFonts w:ascii="Times New Roman" w:hAnsi="Times New Roman" w:eastAsia="黑体"/>
          <w:b/>
          <w:i w:val="0"/>
          <w:color w:val="000000"/>
          <w:sz w:val="26"/>
        </w:rPr>
        <w:t>参考文献</w:t>
      </w:r>
    </w:p>
    <w:p>
      <w:pPr>
        <w:spacing w:line="312" w:lineRule="auto" w:after="60"/>
        <w:ind w:left="425" w:hanging="425"/>
      </w:pPr>
      <w:r>
        <w:rPr>
          <w:rFonts w:ascii="Times New Roman" w:hAnsi="Times New Roman" w:eastAsia="宋体"/>
          <w:b w:val="0"/>
          <w:i w:val="0"/>
          <w:color w:val="000000"/>
          <w:sz w:val="19"/>
        </w:rPr>
        <w:t>[1]  T. I. Fossen. Handbook of Marine Craft Hydrodynamics and Motion Control[M]. 2nd ed. Wiley, 2021.</w:t>
      </w:r>
    </w:p>
    <w:p>
      <w:pPr>
        <w:spacing w:line="312" w:lineRule="auto" w:after="60"/>
        <w:ind w:left="425" w:hanging="425"/>
      </w:pPr>
      <w:r>
        <w:rPr>
          <w:rFonts w:ascii="Times New Roman" w:hAnsi="Times New Roman" w:eastAsia="宋体"/>
          <w:b w:val="0"/>
          <w:i w:val="0"/>
          <w:color w:val="000000"/>
          <w:sz w:val="19"/>
        </w:rPr>
        <w:t>[2]  G. Antonelli. Underwater Robots: Motion and Force Control of Vehicle-Manipulator Systems[M]. 3rd ed. Springer, 2014.</w:t>
      </w:r>
    </w:p>
    <w:p>
      <w:pPr>
        <w:spacing w:line="312" w:lineRule="auto" w:after="60"/>
        <w:ind w:left="425" w:hanging="425"/>
      </w:pPr>
      <w:r>
        <w:rPr>
          <w:rFonts w:ascii="Times New Roman" w:hAnsi="Times New Roman" w:eastAsia="宋体"/>
          <w:b w:val="0"/>
          <w:i w:val="0"/>
          <w:color w:val="000000"/>
          <w:sz w:val="19"/>
        </w:rPr>
        <w:t>[3]  E. F. Camacho, C. Bordons Alba. Model Predictive Control[M]. 2nd ed. Springer, 2013.</w:t>
      </w:r>
    </w:p>
    <w:p>
      <w:pPr>
        <w:spacing w:line="312" w:lineRule="auto" w:after="60"/>
        <w:ind w:left="425" w:hanging="425"/>
      </w:pPr>
      <w:r>
        <w:rPr>
          <w:rFonts w:ascii="Times New Roman" w:hAnsi="Times New Roman" w:eastAsia="宋体"/>
          <w:b w:val="0"/>
          <w:i w:val="0"/>
          <w:color w:val="000000"/>
          <w:sz w:val="19"/>
        </w:rPr>
        <w:t>[4]  L. Hewing, K. P. Wabersich, M. Menner, M. N. Zeilinger. Learning-based model predictive control: Toward safe learning in control[J]. Annual Review of Control, Robotics, and Autonomous Systems, 2020, 3: 269–296.</w:t>
      </w:r>
    </w:p>
    <w:p>
      <w:pPr>
        <w:spacing w:line="312" w:lineRule="auto" w:after="60"/>
        <w:ind w:left="425" w:hanging="425"/>
      </w:pPr>
      <w:r>
        <w:rPr>
          <w:rFonts w:ascii="Times New Roman" w:hAnsi="Times New Roman" w:eastAsia="宋体"/>
          <w:b w:val="0"/>
          <w:i w:val="0"/>
          <w:color w:val="000000"/>
          <w:sz w:val="19"/>
        </w:rPr>
        <w:t>[5]  T. Johannink, et al. Residual reinforcement learning for robot control[C]//Proc. IEEE ICRA, 2019: 6023–6029.</w:t>
      </w:r>
    </w:p>
    <w:p>
      <w:pPr>
        <w:spacing w:line="312" w:lineRule="auto" w:after="60"/>
        <w:ind w:left="425" w:hanging="425"/>
      </w:pPr>
      <w:r>
        <w:rPr>
          <w:rFonts w:ascii="Times New Roman" w:hAnsi="Times New Roman" w:eastAsia="宋体"/>
          <w:b w:val="0"/>
          <w:i w:val="0"/>
          <w:color w:val="000000"/>
          <w:sz w:val="19"/>
        </w:rPr>
        <w:t>[6]  A. Romero, Y. Song, D. Scaramuzza. Actor-critic model predictive control[C]//Proc. IEEE ICRA, 2024: 14777–14784.</w:t>
      </w:r>
    </w:p>
    <w:p>
      <w:pPr>
        <w:spacing w:line="312" w:lineRule="auto" w:after="60"/>
        <w:ind w:left="425" w:hanging="425"/>
      </w:pPr>
      <w:r>
        <w:rPr>
          <w:rFonts w:ascii="Times New Roman" w:hAnsi="Times New Roman" w:eastAsia="宋体"/>
          <w:b w:val="0"/>
          <w:i w:val="0"/>
          <w:color w:val="000000"/>
          <w:sz w:val="19"/>
        </w:rPr>
        <w:t>[7]  K. Nguyen, S. Schoedel, A. Alavilli, B. Plancher, Z. Manchester. TinyMPC: Model-predictive control on resource-constrained microcontrollers[C]//Proc. IEEE ICRA, 2024.</w:t>
      </w:r>
    </w:p>
    <w:p>
      <w:pPr>
        <w:spacing w:line="312" w:lineRule="auto" w:after="60"/>
        <w:ind w:left="425" w:hanging="425"/>
      </w:pPr>
      <w:r>
        <w:rPr>
          <w:rFonts w:ascii="Times New Roman" w:hAnsi="Times New Roman" w:eastAsia="宋体"/>
          <w:b w:val="0"/>
          <w:i w:val="0"/>
          <w:color w:val="000000"/>
          <w:sz w:val="19"/>
        </w:rPr>
        <w:t>[8]  L. Cai, K. Chang, Y. Girdhar. Learning to swim: Reinforcement learning for 6-DOF control of thruster-driven autonomous underwater vehicles[C]//Proc. IEEE ICRA, 2025: 11286–11293.</w:t>
      </w:r>
    </w:p>
    <w:p>
      <w:pPr>
        <w:spacing w:line="312" w:lineRule="auto" w:after="60"/>
        <w:ind w:left="425" w:hanging="425"/>
      </w:pPr>
      <w:r>
        <w:rPr>
          <w:rFonts w:ascii="Times New Roman" w:hAnsi="Times New Roman" w:eastAsia="宋体"/>
          <w:b w:val="0"/>
          <w:i w:val="0"/>
          <w:color w:val="000000"/>
          <w:sz w:val="19"/>
        </w:rPr>
        <w:t>[9]  X. Lin, et al. UIVNAV: Underwater information-driven vision-based navigation via imitation learning[C]//Proc. IEEE ICRA, 2024: 5250–5256.</w:t>
      </w:r>
    </w:p>
    <w:p>
      <w:pPr>
        <w:spacing w:line="312" w:lineRule="auto" w:after="60"/>
        <w:ind w:left="425" w:hanging="425"/>
      </w:pPr>
      <w:r>
        <w:rPr>
          <w:rFonts w:ascii="Times New Roman" w:hAnsi="Times New Roman" w:eastAsia="宋体"/>
          <w:b w:val="0"/>
          <w:i w:val="0"/>
          <w:color w:val="000000"/>
          <w:sz w:val="19"/>
        </w:rPr>
        <w:t>[10]  Y. Fan, H. Dong, X. Zhao, P. Denissenko. Path-following control of unmanned underwater vehicle based on an improved TD3 deep reinforcement learning[J]. IEEE Transactions on Control Systems Technology, 2024, 32(5): 1904–1919.</w:t>
      </w:r>
    </w:p>
    <w:p>
      <w:pPr>
        <w:spacing w:line="312" w:lineRule="auto" w:after="60"/>
        <w:ind w:left="425" w:hanging="425"/>
      </w:pPr>
      <w:r>
        <w:rPr>
          <w:rFonts w:ascii="Times New Roman" w:hAnsi="Times New Roman" w:eastAsia="宋体"/>
          <w:b w:val="0"/>
          <w:i w:val="0"/>
          <w:color w:val="000000"/>
          <w:sz w:val="19"/>
        </w:rPr>
        <w:t>[11]  O. So, et al. How to train your neural control barrier function: Learning safety filters for complex input-constrained systems[C]//Proc. IEEE ICRA, 2024: 11532–11539.</w:t>
      </w:r>
    </w:p>
    <w:p>
      <w:pPr>
        <w:spacing w:line="312" w:lineRule="auto" w:after="60"/>
        <w:ind w:left="425" w:hanging="425"/>
      </w:pPr>
      <w:r>
        <w:rPr>
          <w:rFonts w:ascii="Times New Roman" w:hAnsi="Times New Roman" w:eastAsia="宋体"/>
          <w:b w:val="0"/>
          <w:i w:val="0"/>
          <w:color w:val="000000"/>
          <w:sz w:val="19"/>
        </w:rPr>
        <w:t>[12]  A. Vaswani, et al. Attention is all you need[C]//Advances in Neural Information Processing Systems, 2017, 30: 5998–6008.</w:t>
      </w:r>
    </w:p>
    <w:p>
      <w:pPr>
        <w:spacing w:line="312" w:lineRule="auto" w:after="60"/>
        <w:ind w:left="425" w:hanging="425"/>
      </w:pPr>
      <w:r>
        <w:rPr>
          <w:rFonts w:ascii="Times New Roman" w:hAnsi="Times New Roman" w:eastAsia="宋体"/>
          <w:b w:val="0"/>
          <w:i w:val="0"/>
          <w:color w:val="000000"/>
          <w:sz w:val="19"/>
        </w:rPr>
        <w:t>[13]  L. Chen, et al. Decision Transformer: Reinforcement learning via sequence modeling[C]//Advances in Neural Information Processing Systems, 2021, 34: 15084–15097.</w:t>
      </w:r>
    </w:p>
    <w:p>
      <w:pPr>
        <w:spacing w:line="312" w:lineRule="auto" w:after="60"/>
        <w:ind w:left="425" w:hanging="425"/>
      </w:pPr>
      <w:r>
        <w:rPr>
          <w:rFonts w:ascii="Times New Roman" w:hAnsi="Times New Roman" w:eastAsia="宋体"/>
          <w:b w:val="0"/>
          <w:i w:val="0"/>
          <w:color w:val="000000"/>
          <w:sz w:val="19"/>
        </w:rPr>
        <w:t>[14]  M. Janner, Q. Li, S. Levine. Offline reinforcement learning as one big sequence modeling problem[C]//Advances in Neural Information Processing Systems, 2021, 34: 1273–1286.</w:t>
      </w:r>
    </w:p>
    <w:p>
      <w:pPr>
        <w:spacing w:line="312" w:lineRule="auto" w:after="60"/>
        <w:ind w:left="425" w:hanging="425"/>
      </w:pPr>
      <w:r>
        <w:rPr>
          <w:rFonts w:ascii="Times New Roman" w:hAnsi="Times New Roman" w:eastAsia="宋体"/>
          <w:b w:val="0"/>
          <w:i w:val="0"/>
          <w:color w:val="000000"/>
          <w:sz w:val="19"/>
        </w:rPr>
        <w:t>[15]  C. Chi, et al. Diffusion policy: Visuomotor policy learning via action diffusion[C]//Robotics: Science and Systems, 2023.</w:t>
      </w:r>
    </w:p>
    <w:p>
      <w:pPr>
        <w:spacing w:line="312" w:lineRule="auto" w:after="60"/>
        <w:ind w:left="425" w:hanging="425"/>
      </w:pPr>
      <w:r>
        <w:rPr>
          <w:rFonts w:ascii="Times New Roman" w:hAnsi="Times New Roman" w:eastAsia="宋体"/>
          <w:b w:val="0"/>
          <w:i w:val="0"/>
          <w:color w:val="000000"/>
          <w:sz w:val="19"/>
        </w:rPr>
        <w:t>[16]  D. Liberzon. Switching in Systems and Control[M]. Birkhäuser, 2003.</w:t>
      </w:r>
    </w:p>
    <w:p>
      <w:pPr>
        <w:spacing w:line="312" w:lineRule="auto" w:after="60"/>
        <w:ind w:left="425" w:hanging="425"/>
      </w:pPr>
      <w:r>
        <w:rPr>
          <w:rFonts w:ascii="Times New Roman" w:hAnsi="Times New Roman" w:eastAsia="宋体"/>
          <w:b w:val="0"/>
          <w:i w:val="0"/>
          <w:color w:val="000000"/>
          <w:sz w:val="19"/>
        </w:rPr>
        <w:t>[17]  Z. Zhao, X. Liu, T. Wang, Z. Zhou, M. Zhang. Hybrid control scheme of nonlinear model prediction and adaptive terminal sliding mode for underwater vehicles based on threshold switching[J]. ISA Transactions, 2026, 176: 580–590.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r>
        <w:rPr>
          <w:sz w:val="18"/>
          <w:color w:val="80808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606060"/>
        <w:sz w:val="18"/>
      </w:rPr>
      <w:t>预测权限控制用于自主水下航行器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