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12" w:lineRule="auto" w:after="200"/>
        <w:jc w:val="center"/>
      </w:pPr>
      <w:r>
        <w:rPr>
          <w:rFonts w:ascii="Times New Roman" w:hAnsi="Times New Roman" w:eastAsia="Times New Roman"/>
          <w:b/>
          <w:i w:val="0"/>
          <w:color w:val="000000"/>
          <w:sz w:val="30"/>
        </w:rPr>
        <w:t>Predictive Authority Control: Learning How Much to Trust Each Controller, and Repairing That Trust Under Distribution Shift*</w:t>
      </w:r>
    </w:p>
    <w:p>
      <w:pPr>
        <w:spacing w:line="312" w:lineRule="auto" w:after="40"/>
        <w:jc w:val="center"/>
      </w:pPr>
      <w:r>
        <w:rPr>
          <w:rFonts w:ascii="Times New Roman" w:hAnsi="Times New Roman" w:eastAsia="Times New Roman"/>
          <w:b w:val="0"/>
          <w:i/>
          <w:color w:val="000000"/>
          <w:sz w:val="22"/>
        </w:rPr>
        <w:t>[Author names]</w:t>
      </w:r>
    </w:p>
    <w:p>
      <w:pPr>
        <w:spacing w:line="312" w:lineRule="auto" w:after="40"/>
        <w:jc w:val="center"/>
      </w:pPr>
      <w:r>
        <w:rPr>
          <w:rFonts w:ascii="Times New Roman" w:hAnsi="Times New Roman" w:eastAsia="Times New Roman"/>
          <w:b w:val="0"/>
          <w:i/>
          <w:color w:val="000000"/>
          <w:sz w:val="20"/>
        </w:rPr>
        <w:t>[Affiliations]</w:t>
      </w:r>
    </w:p>
    <w:p>
      <w:pPr>
        <w:spacing w:line="312" w:lineRule="auto" w:after="240"/>
        <w:jc w:val="center"/>
      </w:pPr>
      <w:r>
        <w:rPr>
          <w:rFonts w:ascii="Times New Roman" w:hAnsi="Times New Roman" w:eastAsia="Times New Roman"/>
          <w:b w:val="0"/>
          <w:i/>
          <w:color w:val="606060"/>
          <w:sz w:val="18"/>
        </w:rPr>
        <w:t>* The abbreviation PAC is unrelated to probably approximately correct learning.</w:t>
      </w:r>
    </w:p>
    <w:p>
      <w:pPr>
        <w:spacing w:line="312" w:lineRule="auto" w:before="280" w:after="120"/>
      </w:pPr>
      <w:r>
        <w:rPr>
          <w:rFonts w:ascii="Times New Roman" w:hAnsi="Times New Roman" w:eastAsia="Times New Roman"/>
          <w:b/>
          <w:i w:val="0"/>
          <w:color w:val="000000"/>
          <w:sz w:val="26"/>
        </w:rPr>
        <w:t>Abstract</w:t>
      </w:r>
    </w:p>
    <w:p>
      <w:pPr>
        <w:spacing w:line="312" w:lineRule="auto" w:after="120"/>
        <w:jc w:val="both"/>
      </w:pPr>
      <w:r>
        <w:rPr>
          <w:rFonts w:ascii="Times New Roman" w:hAnsi="Times New Roman" w:eastAsia="Times New Roman"/>
          <w:b w:val="0"/>
          <w:i w:val="0"/>
          <w:color w:val="000000"/>
          <w:sz w:val="22"/>
        </w:rPr>
        <w:t>Classical underwater controllers fail in complementary ways: sliding-mode control (SMC) is robust but coarse, and constrained model predictive control (MPC) is precise but collapses under actuator degradation, where our simulation shows a tracking error of 0.822 m, nine times the nominal level. Predictive authority control (PAC) does not replace these controllers; a compact temporal encoder predicts a bounded authority coefficient that convexly blends their commands, so no thruster command is ever produced by the network. We extend the supervised policy (PAC-S) with a constrained residual stage (PAC-RL): the supervisor is frozen, and a zero-initialized 2,177-parameter head outputs a correction bounded by 0.1, so the deployed system is numerically identical to the baseline at initialization. In a paired, registered evaluation of 1,680 simulation rollouts over in-distribution and out-of-distribution disturbance families, PAC-RL reduces out-of-distribution tracking RMSE by 28% (0.161 m to 0.116 m; 95% CI [−0.074, −0.015] m), confines the degradation failure to 0.090 m, and pays a measured price: in-distribution error +0.4%, heading error +4.3%, and a solver deadline-miss increase. A constant blend α = 0.5 comes within 3% overall, so the residual's value is concentrated where adaptation is hardest, not in the average. Of the six registered criteria concerning the residual stage, three pass, two fail, and one is unevaluated; all are reported.</w:t>
      </w:r>
    </w:p>
    <w:p>
      <w:pPr>
        <w:spacing w:line="312" w:lineRule="auto" w:after="240"/>
        <w:jc w:val="both"/>
      </w:pPr>
      <w:r>
        <w:rPr>
          <w:rFonts w:ascii="Times New Roman" w:hAnsi="Times New Roman" w:eastAsia="Times New Roman"/>
          <w:b/>
          <w:i w:val="0"/>
          <w:color w:val="000000"/>
          <w:sz w:val="22"/>
        </w:rPr>
        <w:t>All evidence is simulation-level; the hardware protocol of Section 8 remains to be executed.</w:t>
      </w:r>
    </w:p>
    <w:p>
      <w:pPr>
        <w:spacing w:line="312" w:lineRule="auto" w:before="280" w:after="120"/>
      </w:pPr>
      <w:r>
        <w:rPr>
          <w:rFonts w:ascii="Times New Roman" w:hAnsi="Times New Roman" w:eastAsia="Times New Roman"/>
          <w:b/>
          <w:i w:val="0"/>
          <w:color w:val="000000"/>
          <w:sz w:val="26"/>
        </w:rPr>
        <w:t>1  Introduction</w:t>
      </w:r>
    </w:p>
    <w:p>
      <w:pPr>
        <w:spacing w:line="312" w:lineRule="auto" w:after="120"/>
        <w:jc w:val="both"/>
      </w:pPr>
      <w:r>
        <w:rPr>
          <w:rFonts w:ascii="Times New Roman" w:hAnsi="Times New Roman" w:eastAsia="Times New Roman"/>
          <w:b w:val="0"/>
          <w:i w:val="0"/>
          <w:color w:val="000000"/>
          <w:sz w:val="22"/>
        </w:rPr>
        <w:t>Accurate trajectory tracking is central to autonomous underwater vehicle (AUV) inspection, intervention, and sampling. The task remains difficult because hydrodynamic coefficients are uncertain, environmental currents vary across regions, and thrusters age with response lag and noise [1,2]. SMC rejects bounded disturbances through a transparent feedback structure but pays in conservative gains and chattering. MPC incorporates prediction and constraints [3], yet its performance depends on model fidelity: under actuator degradation the internal model misrepresents the plant, and the optimizer acts confidently on false premises.</w:t>
      </w:r>
    </w:p>
    <w:p>
      <w:pPr>
        <w:spacing w:line="312" w:lineRule="auto" w:after="120"/>
        <w:jc w:val="both"/>
      </w:pPr>
      <w:r>
        <w:rPr>
          <w:rFonts w:ascii="Times New Roman" w:hAnsi="Times New Roman" w:eastAsia="Times New Roman"/>
          <w:b w:val="0"/>
          <w:i w:val="0"/>
          <w:color w:val="000000"/>
          <w:sz w:val="22"/>
        </w:rPr>
        <w:t>This paper asks one question: given two complete and complementary controllers, when should the vehicle trust each one, and by how much? The answer varies continuously with the disturbance regime and cannot be enumerated by hand-designed switching rules [16].</w:t>
      </w:r>
    </w:p>
    <w:p>
      <w:pPr>
        <w:spacing w:line="312" w:lineRule="auto" w:after="120"/>
        <w:jc w:val="both"/>
      </w:pPr>
      <w:r>
        <w:rPr>
          <w:rFonts w:ascii="Times New Roman" w:hAnsi="Times New Roman" w:eastAsia="Times New Roman"/>
          <w:b w:val="0"/>
          <w:i w:val="0"/>
          <w:color w:val="000000"/>
          <w:sz w:val="22"/>
        </w:rPr>
        <w:t>We study this question through authority allocation. Rather than learning a six-dimensional thruster command, the PAC policy predicts one scalar αₜ ∈ [0, 1] and applies</w:t>
      </w:r>
    </w:p>
    <w:p>
      <w:pPr>
        <w:spacing w:line="312" w:lineRule="auto" w:before="80" w:after="120"/>
        <w:jc w:val="center"/>
      </w:pPr>
      <w:r>
        <w:rPr>
          <w:rFonts w:ascii="Times New Roman" w:hAnsi="Times New Roman" w:eastAsia="Times New Roman"/>
          <w:b w:val="0"/>
          <w:i/>
          <w:color w:val="000000"/>
          <w:sz w:val="22"/>
        </w:rPr>
        <w:t>uₜ = (1 − αₜ) uₜᴴᴹᶜ + αₜ uₜᴹᴳᶜ ,   αₜ ∈ [0, 1],   (1)</w:t>
      </w:r>
    </w:p>
    <w:p>
      <w:pPr>
        <w:spacing w:line="312" w:lineRule="auto" w:after="120"/>
        <w:jc w:val="both"/>
      </w:pPr>
      <w:r>
        <w:rPr>
          <w:rFonts w:ascii="Times New Roman" w:hAnsi="Times New Roman" w:eastAsia="Times New Roman"/>
          <w:b w:val="0"/>
          <w:i w:val="0"/>
          <w:color w:val="000000"/>
          <w:sz w:val="22"/>
        </w:rPr>
        <w:t>where uᴴᴹᶜ and uᴹᴳᶜ are the SMC and MPC commands. The two controllers remain explicit, the learned output is bounded and interpretable, and a rate limiter prevents abrupt authority transfer. A Transformer encodes a short history because controller preference depends not only on instantaneous error but on whether that error is growing, recovering, or coincident with actuator saturation.</w:t>
      </w:r>
    </w:p>
    <w:p>
      <w:pPr>
        <w:spacing w:line="312" w:lineRule="auto" w:after="120"/>
        <w:jc w:val="both"/>
      </w:pPr>
      <w:r>
        <w:rPr>
          <w:rFonts w:ascii="Times New Roman" w:hAnsi="Times New Roman" w:eastAsia="Times New Roman"/>
          <w:b w:val="0"/>
          <w:i w:val="0"/>
          <w:color w:val="000000"/>
          <w:sz w:val="22"/>
        </w:rPr>
        <w:t>Our earlier experiments established the supervised variant of this idea and exposed its weakness: under disturbance families never seen in training, the learned coefficient degrades below a non-adaptive constant blend and oscillates over its full range. This paper answers that weakness with a constrained residual and makes three contributions, each responding to the question above:</w:t>
      </w:r>
    </w:p>
    <w:p>
      <w:pPr>
        <w:spacing w:line="312" w:lineRule="auto" w:after="120"/>
        <w:jc w:val="both"/>
      </w:pPr>
      <w:r>
        <w:rPr>
          <w:rFonts w:ascii="Times New Roman" w:hAnsi="Times New Roman" w:eastAsia="Times New Roman"/>
          <w:b/>
          <w:i w:val="0"/>
          <w:color w:val="000000"/>
          <w:sz w:val="22"/>
        </w:rPr>
        <w:t xml:space="preserve">Bounded residual learning over a frozen supervisor. </w:t>
      </w:r>
      <w:r>
        <w:rPr>
          <w:rFonts w:ascii="Times New Roman" w:hAnsi="Times New Roman" w:eastAsia="Times New Roman"/>
          <w:b w:val="0"/>
          <w:i w:val="0"/>
          <w:color w:val="000000"/>
          <w:sz w:val="22"/>
        </w:rPr>
        <w:t>A reinforcement-learning head perturbs the supervised answer to the trust question by at most 0.1 per step and is zero-initialized, so the composite policy is numerically identical to the deployed baseline before training and can only revise trust within a bounded envelope afterwards.</w:t>
      </w:r>
    </w:p>
    <w:p>
      <w:pPr>
        <w:spacing w:line="312" w:lineRule="auto" w:after="120"/>
        <w:jc w:val="both"/>
      </w:pPr>
      <w:r>
        <w:rPr>
          <w:rFonts w:ascii="Times New Roman" w:hAnsi="Times New Roman" w:eastAsia="Times New Roman"/>
          <w:b/>
          <w:i w:val="0"/>
          <w:color w:val="000000"/>
          <w:sz w:val="22"/>
        </w:rPr>
        <w:t xml:space="preserve">Motion-level evidence under distribution shift. </w:t>
      </w:r>
      <w:r>
        <w:rPr>
          <w:rFonts w:ascii="Times New Roman" w:hAnsi="Times New Roman" w:eastAsia="Times New Roman"/>
          <w:b w:val="0"/>
          <w:i w:val="0"/>
          <w:color w:val="000000"/>
          <w:sz w:val="22"/>
        </w:rPr>
        <w:t>Trajectories, attitude, and error time series—not only aggregate metrics—show where the residual earns its value: the supervised policy transfers trust to a failing optimizer, and the residual learns to veto that transfer.</w:t>
      </w:r>
    </w:p>
    <w:p>
      <w:pPr>
        <w:spacing w:line="312" w:lineRule="auto" w:after="120"/>
        <w:jc w:val="both"/>
      </w:pPr>
      <w:r>
        <w:rPr>
          <w:rFonts w:ascii="Times New Roman" w:hAnsi="Times New Roman" w:eastAsia="Times New Roman"/>
          <w:b/>
          <w:i w:val="0"/>
          <w:color w:val="000000"/>
          <w:sz w:val="22"/>
        </w:rPr>
        <w:t xml:space="preserve">A registered evaluation that reports its failures. </w:t>
      </w:r>
      <w:r>
        <w:rPr>
          <w:rFonts w:ascii="Times New Roman" w:hAnsi="Times New Roman" w:eastAsia="Times New Roman"/>
          <w:b w:val="0"/>
          <w:i w:val="0"/>
          <w:color w:val="000000"/>
          <w:sz w:val="22"/>
        </w:rPr>
        <w:t>Eight methods are compared over 120 paired episodes per method-seed combination with model-seed confidence intervals and no post-hoc selection; two failed criteria and one unevaluated criterion are reported alongside the passes.</w:t>
      </w:r>
    </w:p>
    <w:p>
      <w:pPr>
        <w:spacing w:line="312" w:lineRule="auto" w:after="120"/>
        <w:jc w:val="both"/>
      </w:pPr>
      <w:r>
        <w:rPr>
          <w:rFonts w:ascii="Times New Roman" w:hAnsi="Times New Roman" w:eastAsia="Times New Roman"/>
          <w:b w:val="0"/>
          <w:i w:val="0"/>
          <w:color w:val="000000"/>
          <w:sz w:val="22"/>
        </w:rPr>
        <w:t>The remainder of the paper describes the framework (Section 3), the learning stages (Section 4), the experimental protocol (Section 5), results at the motion and mechanism levels (Section 6), limitations (Section 7), and the planned hardware validation (Section 8).</w:t>
      </w:r>
    </w:p>
    <w:p>
      <w:pPr>
        <w:spacing w:line="312" w:lineRule="auto" w:before="280" w:after="120"/>
      </w:pPr>
      <w:r>
        <w:rPr>
          <w:rFonts w:ascii="Times New Roman" w:hAnsi="Times New Roman" w:eastAsia="Times New Roman"/>
          <w:b/>
          <w:i w:val="0"/>
          <w:color w:val="000000"/>
          <w:sz w:val="26"/>
        </w:rPr>
        <w:t>2  Related Work</w:t>
      </w:r>
    </w:p>
    <w:p>
      <w:pPr>
        <w:spacing w:line="312" w:lineRule="auto" w:before="200" w:after="80"/>
      </w:pPr>
      <w:r>
        <w:rPr>
          <w:rFonts w:ascii="Times New Roman" w:hAnsi="Times New Roman" w:eastAsia="Times New Roman"/>
          <w:b/>
          <w:i w:val="0"/>
          <w:color w:val="000000"/>
          <w:sz w:val="23"/>
        </w:rPr>
        <w:t>2.1  Underwater vehicle control</w:t>
      </w:r>
    </w:p>
    <w:p>
      <w:pPr>
        <w:spacing w:line="312" w:lineRule="auto" w:after="120"/>
        <w:jc w:val="both"/>
      </w:pPr>
      <w:r>
        <w:rPr>
          <w:rFonts w:ascii="Times New Roman" w:hAnsi="Times New Roman" w:eastAsia="Times New Roman"/>
          <w:b w:val="0"/>
          <w:i w:val="0"/>
          <w:color w:val="000000"/>
          <w:sz w:val="22"/>
        </w:rPr>
        <w:t>Marine vehicle control is developed from rigid-body dynamics with added mass, damping, and restoring forces [1,2]. Hybrid schemes combine nonlinear MPC with sliding-mode terms under threshold switching, retaining each expert in its favorable regime [17]; such switching surfaces are fixed at design time, whereas PAC answers the trust question online and continuously. Learning-based AUV control has advanced rapidly: improved TD3 path following [10] and six-degree-of-freedom control trained in parallel simulators with zero-shot transfer [8] learn commands directly. PAC instead learns a one-dimensional arbitration variable over complete structured controllers.</w:t>
      </w:r>
    </w:p>
    <w:p>
      <w:pPr>
        <w:spacing w:line="312" w:lineRule="auto" w:before="200" w:after="80"/>
      </w:pPr>
      <w:r>
        <w:rPr>
          <w:rFonts w:ascii="Times New Roman" w:hAnsi="Times New Roman" w:eastAsia="Times New Roman"/>
          <w:b/>
          <w:i w:val="0"/>
          <w:color w:val="000000"/>
          <w:sz w:val="23"/>
        </w:rPr>
        <w:t>2.2  Learning with structured controllers</w:t>
      </w:r>
    </w:p>
    <w:p>
      <w:pPr>
        <w:spacing w:line="312" w:lineRule="auto" w:after="120"/>
        <w:jc w:val="both"/>
      </w:pPr>
      <w:r>
        <w:rPr>
          <w:rFonts w:ascii="Times New Roman" w:hAnsi="Times New Roman" w:eastAsia="Times New Roman"/>
          <w:b w:val="0"/>
          <w:i w:val="0"/>
          <w:color w:val="000000"/>
          <w:sz w:val="22"/>
        </w:rPr>
        <w:t>Residual reinforcement learning superposes a learned correction on a hand-designed base policy [5]. Actor-critic MPC embeds a differentiable optimizer in the actor [6], and learning-based MPC surveys data-driven refinement with safety considerations [4]. PAC differs in the interface: the residual applies to a bounded scalar authority rather than actuator commands, the supervisor is frozen rather than jointly trained, and zero initialization yields exact initial equivalence to the deployed system. Learned safety filters train barrier-like corrections [11]; the PAC safety filter instead composes fixed bounds with structured fallbacks and contains no learned component in the safety path. Embedded solvers such as TinyMPC [7] constrain what an onboard arbitration layer may assume computationally.</w:t>
      </w:r>
    </w:p>
    <w:p>
      <w:pPr>
        <w:spacing w:line="312" w:lineRule="auto" w:before="200" w:after="80"/>
      </w:pPr>
      <w:r>
        <w:rPr>
          <w:rFonts w:ascii="Times New Roman" w:hAnsi="Times New Roman" w:eastAsia="Times New Roman"/>
          <w:b/>
          <w:i w:val="0"/>
          <w:color w:val="000000"/>
          <w:sz w:val="23"/>
        </w:rPr>
        <w:t>2.3  Temporal encoders for sequential decisions</w:t>
      </w:r>
    </w:p>
    <w:p>
      <w:pPr>
        <w:spacing w:line="312" w:lineRule="auto" w:after="120"/>
        <w:jc w:val="both"/>
      </w:pPr>
      <w:r>
        <w:rPr>
          <w:rFonts w:ascii="Times New Roman" w:hAnsi="Times New Roman" w:eastAsia="Times New Roman"/>
          <w:b w:val="0"/>
          <w:i w:val="0"/>
          <w:color w:val="000000"/>
          <w:sz w:val="22"/>
        </w:rPr>
        <w:t>Self-attention [12] and sequence-modeling formulations of control [13,14] scale with data and width. The PAC encoder deliberately occupies the opposite regime: one encoder layer over a 16-step history mapping to a single coefficient, which suffices for the arbitration interface and keeps edge deployment plausible. Diffusion policies [15] and imitation navigation [9] address different output spaces and are complementary.</w:t>
      </w:r>
    </w:p>
    <w:p>
      <w:pPr>
        <w:spacing w:line="312" w:lineRule="auto" w:before="280" w:after="120"/>
      </w:pPr>
      <w:r>
        <w:rPr>
          <w:rFonts w:ascii="Times New Roman" w:hAnsi="Times New Roman" w:eastAsia="Times New Roman"/>
          <w:b/>
          <w:i w:val="0"/>
          <w:color w:val="000000"/>
          <w:sz w:val="26"/>
        </w:rPr>
        <w:t>3  Predictive Authority Control</w:t>
      </w:r>
    </w:p>
    <w:p>
      <w:pPr>
        <w:spacing w:line="312" w:lineRule="auto" w:before="200" w:after="80"/>
      </w:pPr>
      <w:r>
        <w:rPr>
          <w:rFonts w:ascii="Times New Roman" w:hAnsi="Times New Roman" w:eastAsia="Times New Roman"/>
          <w:b/>
          <w:i w:val="0"/>
          <w:color w:val="000000"/>
          <w:sz w:val="23"/>
        </w:rPr>
        <w:t>3.1  Vehicle model and tracking objective</w:t>
      </w:r>
    </w:p>
    <w:p>
      <w:pPr>
        <w:spacing w:line="312" w:lineRule="auto" w:after="120"/>
        <w:jc w:val="both"/>
      </w:pPr>
      <w:r>
        <w:rPr>
          <w:rFonts w:ascii="Times New Roman" w:hAnsi="Times New Roman" w:eastAsia="Times New Roman"/>
          <w:b w:val="0"/>
          <w:i w:val="0"/>
          <w:color w:val="000000"/>
          <w:sz w:val="22"/>
        </w:rPr>
        <w:t>The vehicle pose and body velocity are η = [x, y, z, φ, θ, ψ]ᵀ and ν = [u, v, w, p, q, r]ᵀ. The simulator integrates the diagonalized six-degree-of-freedom model with added mass, linear and quadratic damping, and restoring stiffness by fourth-order Runge–Kutta at 100 Hz for 2,100 steps (21 s) per episode. Six thrusters in an X layout are limited to 35 N with magnitude and slew-rate constraints. The reference is a three-dimensional Lissajous path with desired yaw aligned to the horizontal tangent; initial pose and velocity are perturbed with standard deviations 0.03 m and 0.01 m/s.</w:t>
      </w:r>
    </w:p>
    <w:p>
      <w:pPr>
        <w:spacing w:line="312" w:lineRule="auto" w:before="200" w:after="80"/>
      </w:pPr>
      <w:r>
        <w:rPr>
          <w:rFonts w:ascii="Times New Roman" w:hAnsi="Times New Roman" w:eastAsia="Times New Roman"/>
          <w:b/>
          <w:i w:val="0"/>
          <w:color w:val="000000"/>
          <w:sz w:val="23"/>
        </w:rPr>
        <w:t>3.2  Structured controller experts</w:t>
      </w:r>
    </w:p>
    <w:p>
      <w:pPr>
        <w:spacing w:line="312" w:lineRule="auto" w:after="120"/>
        <w:jc w:val="both"/>
      </w:pPr>
      <w:r>
        <w:rPr>
          <w:rFonts w:ascii="Times New Roman" w:hAnsi="Times New Roman" w:eastAsia="Times New Roman"/>
          <w:b w:val="0"/>
          <w:i w:val="0"/>
          <w:color w:val="000000"/>
          <w:sz w:val="22"/>
        </w:rPr>
        <w:t>The primary expert is an equivalent-control SMC whose translational sliding surface combines velocity error and pose error, with feedforward acceleration, damping compensation, and a bounded reaching term. The second expert is a receding-horizon linear-time-varying constrained MPC with a 20-step horizon (0.2 s), normalized thruster limits, warm-start smoothing, and an online solve-time limit of 7.5 ms with fallback to the previous plan. This expert replaces the one-step quadratic tracking law used in an earlier implementation of this framework; all results here use the constrained MPC.</w:t>
      </w:r>
    </w:p>
    <w:p>
      <w:pPr>
        <w:spacing w:line="312" w:lineRule="auto" w:before="200" w:after="80"/>
      </w:pPr>
      <w:r>
        <w:rPr>
          <w:rFonts w:ascii="Times New Roman" w:hAnsi="Times New Roman" w:eastAsia="Times New Roman"/>
          <w:b/>
          <w:i w:val="0"/>
          <w:color w:val="000000"/>
          <w:sz w:val="23"/>
        </w:rPr>
        <w:t>3.3  History features and temporal encoder</w:t>
      </w:r>
    </w:p>
    <w:p>
      <w:pPr>
        <w:spacing w:line="312" w:lineRule="auto" w:after="120"/>
        <w:jc w:val="both"/>
      </w:pPr>
      <w:r>
        <w:rPr>
          <w:rFonts w:ascii="Times New Roman" w:hAnsi="Times New Roman" w:eastAsia="Times New Roman"/>
          <w:b w:val="0"/>
          <w:i w:val="0"/>
          <w:color w:val="000000"/>
          <w:sz w:val="22"/>
        </w:rPr>
        <w:t>At each step a 24-dimensional feature vector summarizes pose errors, body velocities, per-controller command statistics and disagreement, near-saturation fraction, horizontal current components, and trajectory phase. The most recent 16 vectors form the encoder input; one Transformer encoder layer (four heads, 128-unit feed-forward, 14,113 trainable parameters) maps the final token to α̂ₜ through a sigmoid head. At inference the prediction is scaled by 1.2, clipped, smoothed with coefficient 0.5, and rate-limited to 0.0125 per step.</w:t>
      </w:r>
    </w:p>
    <w:p>
      <w:pPr>
        <w:spacing w:line="312" w:lineRule="auto" w:before="200" w:after="80"/>
      </w:pPr>
      <w:r>
        <w:rPr>
          <w:rFonts w:ascii="Times New Roman" w:hAnsi="Times New Roman" w:eastAsia="Times New Roman"/>
          <w:b/>
          <w:i w:val="0"/>
          <w:color w:val="000000"/>
          <w:sz w:val="23"/>
        </w:rPr>
        <w:t>3.4  Layered safety filter</w:t>
      </w:r>
    </w:p>
    <w:p>
      <w:pPr>
        <w:spacing w:line="312" w:lineRule="auto" w:after="120"/>
        <w:jc w:val="both"/>
      </w:pPr>
      <w:r>
        <w:rPr>
          <w:rFonts w:ascii="Times New Roman" w:hAnsi="Times New Roman" w:eastAsia="Times New Roman"/>
          <w:b w:val="0"/>
          <w:i w:val="0"/>
          <w:color w:val="000000"/>
          <w:sz w:val="22"/>
        </w:rPr>
        <w:t>Every learned contribution passes a fixed filter stack, in execution order: (i) the residual is bounded; (ii) the blended coefficient is clipped, smoothed, and rate-limited; (iii) expert failure forces primary control; and (iv) non-finite values fall back to the frozen supervised prediction. Because the residual head is zero-initialized, the composite policy reproduces the deployed baseline numerically at initialization, enforced by a unit test comparing full-episode rollouts to tight numerical tolerances. The worst case of the learning components is therefore the baseline policy itself.</w:t>
      </w:r>
    </w:p>
    <w:p>
      <w:pPr>
        <w:keepNext/>
        <w:spacing w:before="160"/>
        <w:jc w:val="center"/>
      </w:pPr>
      <w:r>
        <w:drawing>
          <wp:inline xmlns:a="http://schemas.openxmlformats.org/drawingml/2006/main" xmlns:pic="http://schemas.openxmlformats.org/drawingml/2006/picture">
            <wp:extent cx="5760720" cy="2867738"/>
            <wp:docPr id="1" name="Picture 1"/>
            <wp:cNvGraphicFramePr>
              <a:graphicFrameLocks noChangeAspect="1"/>
            </wp:cNvGraphicFramePr>
            <a:graphic>
              <a:graphicData uri="http://schemas.openxmlformats.org/drawingml/2006/picture">
                <pic:pic>
                  <pic:nvPicPr>
                    <pic:cNvPr id="0" name="fig1_system_architecture.png"/>
                    <pic:cNvPicPr/>
                  </pic:nvPicPr>
                  <pic:blipFill>
                    <a:blip r:embed="rId11"/>
                    <a:stretch>
                      <a:fillRect/>
                    </a:stretch>
                  </pic:blipFill>
                  <pic:spPr>
                    <a:xfrm>
                      <a:off x="0" y="0"/>
                      <a:ext cx="5760720" cy="286773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1. </w:t>
      </w:r>
      <w:r>
        <w:rPr>
          <w:rFonts w:ascii="Times New Roman" w:hAnsi="Times New Roman" w:eastAsia="Times New Roman"/>
          <w:b w:val="0"/>
          <w:i w:val="0"/>
          <w:color w:val="000000"/>
          <w:sz w:val="18"/>
        </w:rPr>
        <w:t>Predictive authority control architecture. (a) Closed loop: the experts generate commands blended by α; a frozen temporal encoder predicts the supervised coefficient and a bounded, zero-initialized residual head revises it. (b) Layered safety filter in execution order. (c) Two-phase training.</w:t>
      </w:r>
    </w:p>
    <w:p>
      <w:pPr>
        <w:spacing w:line="312" w:lineRule="auto" w:before="280" w:after="120"/>
      </w:pPr>
      <w:r>
        <w:rPr>
          <w:rFonts w:ascii="Times New Roman" w:hAnsi="Times New Roman" w:eastAsia="Times New Roman"/>
          <w:b/>
          <w:i w:val="0"/>
          <w:color w:val="000000"/>
          <w:sz w:val="26"/>
        </w:rPr>
        <w:t>4  Learning the Authority Residual</w:t>
      </w:r>
    </w:p>
    <w:p>
      <w:pPr>
        <w:spacing w:line="312" w:lineRule="auto" w:before="200" w:after="80"/>
      </w:pPr>
      <w:r>
        <w:rPr>
          <w:rFonts w:ascii="Times New Roman" w:hAnsi="Times New Roman" w:eastAsia="Times New Roman"/>
          <w:b/>
          <w:i w:val="0"/>
          <w:color w:val="000000"/>
          <w:sz w:val="23"/>
        </w:rPr>
        <w:t>4.1  Supervised initialization</w:t>
      </w:r>
    </w:p>
    <w:p>
      <w:pPr>
        <w:spacing w:line="312" w:lineRule="auto" w:after="120"/>
        <w:jc w:val="both"/>
      </w:pPr>
      <w:r>
        <w:rPr>
          <w:rFonts w:ascii="Times New Roman" w:hAnsi="Times New Roman" w:eastAsia="Times New Roman"/>
          <w:b w:val="0"/>
          <w:i w:val="0"/>
          <w:color w:val="000000"/>
          <w:sz w:val="22"/>
        </w:rPr>
        <w:t>The supervised policy (PAC-S) is trained by imitation of a short-horizon oracle: for each training state, candidate coefficients from a five-point grid are held for ten steps with the current frozen, and the label minimizes</w:t>
      </w:r>
    </w:p>
    <w:p>
      <w:pPr>
        <w:spacing w:line="312" w:lineRule="auto" w:before="80" w:after="120"/>
        <w:jc w:val="center"/>
      </w:pPr>
      <w:r>
        <w:rPr>
          <w:rFonts w:ascii="Times New Roman" w:hAnsi="Times New Roman" w:eastAsia="Times New Roman"/>
          <w:b w:val="0"/>
          <w:i/>
          <w:color w:val="000000"/>
          <w:sz w:val="22"/>
        </w:rPr>
        <w:t>J(α) = ‖eₓᵧ‖² + 0.7 eᵣ² + 0.08 eψ² + 0.02 mean([|u| − 0.92]₊²) + 0.01 mean((u − uₜ₋₁)²),   (2)</w:t>
      </w:r>
    </w:p>
    <w:p>
      <w:pPr>
        <w:spacing w:line="312" w:lineRule="auto" w:after="120"/>
        <w:jc w:val="both"/>
      </w:pPr>
      <w:r>
        <w:rPr>
          <w:rFonts w:ascii="Times New Roman" w:hAnsi="Times New Roman" w:eastAsia="Times New Roman"/>
          <w:b w:val="0"/>
          <w:i w:val="0"/>
          <w:color w:val="000000"/>
          <w:sz w:val="22"/>
        </w:rPr>
        <w:t>a cost combining horizontal and vertical position error, heading error, near-saturation magnitude, and command change. Training uses 18,900 labeled samples, AdamW for 180 epochs, and a weighted squared loss. Five model seeds are trained independently; these frozen policies supervise all later stages and are never retrained.</w:t>
      </w:r>
    </w:p>
    <w:p>
      <w:pPr>
        <w:spacing w:line="312" w:lineRule="auto" w:before="200" w:after="80"/>
      </w:pPr>
      <w:r>
        <w:rPr>
          <w:rFonts w:ascii="Times New Roman" w:hAnsi="Times New Roman" w:eastAsia="Times New Roman"/>
          <w:b/>
          <w:i w:val="0"/>
          <w:color w:val="000000"/>
          <w:sz w:val="23"/>
        </w:rPr>
        <w:t>4.2  Constrained residual stage</w:t>
      </w:r>
    </w:p>
    <w:p>
      <w:pPr>
        <w:spacing w:line="312" w:lineRule="auto" w:after="120"/>
        <w:jc w:val="both"/>
      </w:pPr>
      <w:r>
        <w:rPr>
          <w:rFonts w:ascii="Times New Roman" w:hAnsi="Times New Roman" w:eastAsia="Times New Roman"/>
          <w:b w:val="0"/>
          <w:i w:val="0"/>
          <w:color w:val="000000"/>
          <w:sz w:val="22"/>
        </w:rPr>
        <w:t>The residual policy (PAC-RL) appends a two-layer head with 2,177 parameters to each frozen supervisor. The applied coefficient is</w:t>
      </w:r>
    </w:p>
    <w:p>
      <w:pPr>
        <w:spacing w:line="312" w:lineRule="auto" w:before="80" w:after="120"/>
        <w:jc w:val="center"/>
      </w:pPr>
      <w:r>
        <w:rPr>
          <w:rFonts w:ascii="Times New Roman" w:hAnsi="Times New Roman" w:eastAsia="Times New Roman"/>
          <w:b w:val="0"/>
          <w:i/>
          <w:color w:val="000000"/>
          <w:sz w:val="22"/>
        </w:rPr>
        <w:t>αₜ = clip[0,1]( α̂ₜ + Δαₜ ),   Δαₜ = 0.1 tanh(zₜ),   (3)</w:t>
      </w:r>
    </w:p>
    <w:p>
      <w:pPr>
        <w:spacing w:line="312" w:lineRule="auto" w:after="120"/>
        <w:jc w:val="both"/>
      </w:pPr>
      <w:r>
        <w:rPr>
          <w:rFonts w:ascii="Times New Roman" w:hAnsi="Times New Roman" w:eastAsia="Times New Roman"/>
          <w:b w:val="0"/>
          <w:i w:val="0"/>
          <w:color w:val="000000"/>
          <w:sz w:val="22"/>
        </w:rPr>
        <w:t>where zₜ is the head output and the final layer is zero-initialized, so Δα ≡ 0 before training. Training uses TD3 (twin critics, target smoothing, delayed policy updates) over closed-loop episodes with environment seeds disjoint from all evaluation seeds, warm-started with 2×10⁵ offline transitions collected under PAC-S, with a behavior-regularization term penalizing deviation from the supervisor. The reward combines position and heading error, command magnitude and rate, saturation, deadline flags, and constraint violations; all weights are frozen in a manifest before training. The learner emits Δα only: it cannot command thrusters and cannot alter the MPC schedule or solver budget.</w:t>
      </w:r>
    </w:p>
    <w:p>
      <w:pPr>
        <w:spacing w:line="312" w:lineRule="auto" w:before="280" w:after="120"/>
      </w:pPr>
      <w:r>
        <w:rPr>
          <w:rFonts w:ascii="Times New Roman" w:hAnsi="Times New Roman" w:eastAsia="Times New Roman"/>
          <w:b/>
          <w:i w:val="0"/>
          <w:color w:val="000000"/>
          <w:sz w:val="26"/>
        </w:rPr>
        <w:t>5  Experimental Design</w:t>
      </w:r>
    </w:p>
    <w:p>
      <w:pPr>
        <w:spacing w:line="312" w:lineRule="auto" w:before="200" w:after="80"/>
      </w:pPr>
      <w:r>
        <w:rPr>
          <w:rFonts w:ascii="Times New Roman" w:hAnsi="Times New Roman" w:eastAsia="Times New Roman"/>
          <w:b/>
          <w:i w:val="0"/>
          <w:color w:val="000000"/>
          <w:sz w:val="23"/>
        </w:rPr>
        <w:t>5.1  Registered protocol</w:t>
      </w:r>
    </w:p>
    <w:p>
      <w:pPr>
        <w:spacing w:line="312" w:lineRule="auto" w:after="120"/>
        <w:jc w:val="both"/>
      </w:pPr>
      <w:r>
        <w:rPr>
          <w:rFonts w:ascii="Times New Roman" w:hAnsi="Times New Roman" w:eastAsia="Times New Roman"/>
          <w:b w:val="0"/>
          <w:i w:val="0"/>
          <w:color w:val="000000"/>
          <w:sz w:val="22"/>
        </w:rPr>
        <w:t>All comparisons, seed partitions, and acceptance criteria were fixed and archived before residual training began. The evaluation grid comprises 120 paired episodes: 85 in-distribution (60 structured-current episodes under 20 held-out environment seeds, plus 25 episodes from five training-range disturbance families) and 35 out-of-distribution with respect to disturbance-family sampling (five test-range families, plus a fast time-scale current family and an estimation-delay family with sensor lag and noise). Each episode is shared across all methods: the same vehicle, current, and reference realization under every method and seed.</w:t>
      </w:r>
    </w:p>
    <w:p>
      <w:pPr>
        <w:spacing w:line="312" w:lineRule="auto" w:before="200" w:after="80"/>
      </w:pPr>
      <w:r>
        <w:rPr>
          <w:rFonts w:ascii="Times New Roman" w:hAnsi="Times New Roman" w:eastAsia="Times New Roman"/>
          <w:b/>
          <w:i w:val="0"/>
          <w:color w:val="000000"/>
          <w:sz w:val="23"/>
        </w:rPr>
        <w:t>5.2  Methods and statistics</w:t>
      </w:r>
    </w:p>
    <w:p>
      <w:pPr>
        <w:spacing w:line="312" w:lineRule="auto" w:after="120"/>
        <w:jc w:val="both"/>
      </w:pPr>
      <w:r>
        <w:rPr>
          <w:rFonts w:ascii="Times New Roman" w:hAnsi="Times New Roman" w:eastAsia="Times New Roman"/>
          <w:b w:val="0"/>
          <w:i w:val="0"/>
          <w:color w:val="000000"/>
          <w:sz w:val="22"/>
        </w:rPr>
        <w:t>Eight methods are compared: the experts alone (SMC, MPC), a constant blend (Fixed α = 0.5), a non-learning adaptive baseline searching window-level bias schedules by coordinate descent (SSPO), and the two PAC variants (PAC-S, PAC-RL) each instantiated with the same five frozen supervised seeds. Fixed methods contribute one combination each, giving 14 method-seed combinations and 1,680 rollouts (about 3.53 million control steps).</w:t>
      </w:r>
    </w:p>
    <w:p>
      <w:pPr>
        <w:spacing w:line="312" w:lineRule="auto" w:after="120"/>
        <w:jc w:val="both"/>
      </w:pPr>
      <w:r>
        <w:rPr>
          <w:rFonts w:ascii="Times New Roman" w:hAnsi="Times New Roman" w:eastAsia="Times New Roman"/>
          <w:b w:val="0"/>
          <w:i w:val="0"/>
          <w:color w:val="000000"/>
          <w:sz w:val="22"/>
        </w:rPr>
        <w:t>Primary inference is at the model-seed level: per-seed paired effects are summarized with a t-distribution interval with four degrees of freedom. As a supplementary check, episode-level bootstrap intervals (resampling the paired episodes with replacement, 10,000 resamples, generator seed 0) are reported for the headline contrasts. No comparisons beyond the registered set are subjected to significance claims, and no multiple-comparison correction is applied: the registered set is reported in full rather than selected from.</w:t>
      </w:r>
    </w:p>
    <w:p>
      <w:pPr>
        <w:spacing w:line="312" w:lineRule="auto" w:before="280" w:after="120"/>
      </w:pPr>
      <w:r>
        <w:rPr>
          <w:rFonts w:ascii="Times New Roman" w:hAnsi="Times New Roman" w:eastAsia="Times New Roman"/>
          <w:b/>
          <w:i w:val="0"/>
          <w:color w:val="000000"/>
          <w:sz w:val="26"/>
        </w:rPr>
        <w:t>6  Results</w:t>
      </w:r>
    </w:p>
    <w:p>
      <w:pPr>
        <w:spacing w:line="312" w:lineRule="auto" w:before="200" w:after="80"/>
      </w:pPr>
      <w:r>
        <w:rPr>
          <w:rFonts w:ascii="Times New Roman" w:hAnsi="Times New Roman" w:eastAsia="Times New Roman"/>
          <w:b/>
          <w:i w:val="0"/>
          <w:color w:val="000000"/>
          <w:sz w:val="23"/>
        </w:rPr>
        <w:t>6.1  Closed-loop tracking: how the vehicle actually moves</w:t>
      </w:r>
    </w:p>
    <w:p>
      <w:pPr>
        <w:spacing w:line="312" w:lineRule="auto" w:after="120"/>
        <w:jc w:val="both"/>
      </w:pPr>
      <w:r>
        <w:rPr>
          <w:rFonts w:ascii="Times New Roman" w:hAnsi="Times New Roman" w:eastAsia="Times New Roman"/>
          <w:b w:val="0"/>
          <w:i w:val="0"/>
          <w:color w:val="000000"/>
          <w:sz w:val="22"/>
        </w:rPr>
        <w:t>Figure 2 shows representative paired episodes—an in-distribution sinusoidal current and the out-of-distribution actuator-degradation episode—as three-dimensional paths, horizontal projections, and vertical error. In-distribution, all learning and blending methods follow the Lissajous reference closely; SMC lags with a visible offset. Under actuator degradation the character changes: the MPC expert alone distorts the horizontal loop and drifts in depth (0.886 m episode RMSE), PAC-S inherits part of that failure (0.206 m), and PAC-RL stays on the reference (0.088 m), slightly better than the never-adapting constant blend (0.124 m).</w:t>
      </w:r>
    </w:p>
    <w:p>
      <w:pPr>
        <w:keepNext/>
        <w:spacing w:before="160"/>
        <w:jc w:val="center"/>
      </w:pPr>
      <w:r>
        <w:drawing>
          <wp:inline xmlns:a="http://schemas.openxmlformats.org/drawingml/2006/main" xmlns:pic="http://schemas.openxmlformats.org/drawingml/2006/picture">
            <wp:extent cx="5760720" cy="5018096"/>
            <wp:docPr id="2" name="Picture 2"/>
            <wp:cNvGraphicFramePr>
              <a:graphicFrameLocks noChangeAspect="1"/>
            </wp:cNvGraphicFramePr>
            <a:graphic>
              <a:graphicData uri="http://schemas.openxmlformats.org/drawingml/2006/picture">
                <pic:pic>
                  <pic:nvPicPr>
                    <pic:cNvPr id="0" name="fig2_closed_loop_trajectories.png"/>
                    <pic:cNvPicPr/>
                  </pic:nvPicPr>
                  <pic:blipFill>
                    <a:blip r:embed="rId12"/>
                    <a:stretch>
                      <a:fillRect/>
                    </a:stretch>
                  </pic:blipFill>
                  <pic:spPr>
                    <a:xfrm>
                      <a:off x="0" y="0"/>
                      <a:ext cx="5760720" cy="5018096"/>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2. </w:t>
      </w:r>
      <w:r>
        <w:rPr>
          <w:rFonts w:ascii="Times New Roman" w:hAnsi="Times New Roman" w:eastAsia="Times New Roman"/>
          <w:b w:val="0"/>
          <w:i w:val="0"/>
          <w:color w:val="000000"/>
          <w:sz w:val="18"/>
        </w:rPr>
        <w:t>Representative closed-loop trajectories. Columns: in-distribution sinusoidal current and out-of-distribution actuator degradation (the lowest-numbered held-out seed of each block, fixed before inspection); both episodes are shared across methods and regenerated deterministically from the frozen checkpoints. Rows: three-dimensional path, horizontal projection, vertical tracking error (dashed line, zero). The fixed blend is omitted for legibility; its values appear in Table 1.</w:t>
      </w:r>
    </w:p>
    <w:p>
      <w:pPr>
        <w:spacing w:line="312" w:lineRule="auto" w:after="120"/>
        <w:jc w:val="both"/>
      </w:pPr>
      <w:r>
        <w:rPr>
          <w:rFonts w:ascii="Times New Roman" w:hAnsi="Times New Roman" w:eastAsia="Times New Roman"/>
          <w:b w:val="0"/>
          <w:i w:val="0"/>
          <w:color w:val="000000"/>
          <w:sz w:val="22"/>
        </w:rPr>
        <w:t>Figure 3 resolves the same episodes in time. The position-error row shows the MPC divergence under degradation growing through the episode rather than spiking, consistent with a steadily wrong internal model rather than a transient. Heading error and pitch remain small for PAC-RL in both regimes, while the degraded MPC episode carries visible attitude excursions. Table 1 aggregates the full grid.</w:t>
      </w:r>
    </w:p>
    <w:p>
      <w:pPr>
        <w:keepNext/>
        <w:spacing w:before="160"/>
        <w:jc w:val="center"/>
      </w:pPr>
      <w:r>
        <w:drawing>
          <wp:inline xmlns:a="http://schemas.openxmlformats.org/drawingml/2006/main" xmlns:pic="http://schemas.openxmlformats.org/drawingml/2006/picture">
            <wp:extent cx="5760720" cy="4575448"/>
            <wp:docPr id="3" name="Picture 3"/>
            <wp:cNvGraphicFramePr>
              <a:graphicFrameLocks noChangeAspect="1"/>
            </wp:cNvGraphicFramePr>
            <a:graphic>
              <a:graphicData uri="http://schemas.openxmlformats.org/drawingml/2006/picture">
                <pic:pic>
                  <pic:nvPicPr>
                    <pic:cNvPr id="0" name="fig3_error_attitude.png"/>
                    <pic:cNvPicPr/>
                  </pic:nvPicPr>
                  <pic:blipFill>
                    <a:blip r:embed="rId13"/>
                    <a:stretch>
                      <a:fillRect/>
                    </a:stretch>
                  </pic:blipFill>
                  <pic:spPr>
                    <a:xfrm>
                      <a:off x="0" y="0"/>
                      <a:ext cx="5760720" cy="457544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3. </w:t>
      </w:r>
      <w:r>
        <w:rPr>
          <w:rFonts w:ascii="Times New Roman" w:hAnsi="Times New Roman" w:eastAsia="Times New Roman"/>
          <w:b w:val="0"/>
          <w:i w:val="0"/>
          <w:color w:val="000000"/>
          <w:sz w:val="18"/>
        </w:rPr>
        <w:t>Time-resolved motion errors for the two episodes of Fig. 2. Rows: three-dimensional position error, absolute heading error, pitch angle. The MPC divergence under actuator degradation grows through the episode; PAC-RL remains close to the reference in both regimes. Single episodes; block-level aggregates appear in Table 1 and Fig. 5.</w:t>
      </w:r>
    </w:p>
    <w:p>
      <w:pPr>
        <w:keepNext/>
        <w:spacing w:before="160"/>
        <w:jc w:val="both"/>
      </w:pPr>
      <w:r>
        <w:rPr>
          <w:rFonts w:ascii="Times New Roman" w:hAnsi="Times New Roman" w:eastAsia="Times New Roman"/>
          <w:b/>
          <w:i w:val="0"/>
          <w:color w:val="000000"/>
          <w:sz w:val="18"/>
        </w:rPr>
        <w:t xml:space="preserve">Table 1. </w:t>
      </w:r>
      <w:r>
        <w:rPr>
          <w:rFonts w:ascii="Times New Roman" w:hAnsi="Times New Roman" w:eastAsia="Times New Roman"/>
          <w:b/>
          <w:i w:val="0"/>
          <w:color w:val="000000"/>
          <w:sz w:val="18"/>
        </w:rPr>
        <w:t>Paired evaluation over 120 episodes per method-seed combination (means over five model seeds for learned methods; ID, in-distribution; OOD, out-of-distribution with respect to disturbance-family sampling). Five-seed dispersion is reported as confidence intervals in Fig. 4a.</w:t>
      </w:r>
    </w:p>
    <w:tbl>
      <w:tblPr>
        <w:tblStyle w:val="TableGrid"/>
        <w:tblW w:type="auto" w:w="0"/>
        <w:jc w:val="center"/>
        <w:tblLayout w:type="fixed"/>
        <w:tblLook w:firstColumn="1" w:firstRow="1" w:lastColumn="0" w:lastRow="0" w:noHBand="0" w:noVBand="1" w:val="04A0"/>
      </w:tblPr>
      <w:tblGrid>
        <w:gridCol w:w="1337"/>
        <w:gridCol w:w="1337"/>
        <w:gridCol w:w="1337"/>
        <w:gridCol w:w="1337"/>
        <w:gridCol w:w="1337"/>
        <w:gridCol w:w="1337"/>
        <w:gridCol w:w="1337"/>
      </w:tblGrid>
      <w:tr>
        <w:trPr>
          <w:tblHeader/>
        </w:trPr>
        <w:tc>
          <w:tcPr>
            <w:tcW w:type="dxa" w:w="1944"/>
            <w:shd w:val="clear" w:fill="F2F2F2"/>
          </w:tcPr>
          <w:p>
            <w:pPr>
              <w:spacing w:line="276" w:lineRule="auto"/>
              <w:jc w:val="center"/>
            </w:pPr>
            <w:r>
              <w:rPr>
                <w:rFonts w:ascii="Times New Roman" w:hAnsi="Times New Roman" w:eastAsia="Times New Roman"/>
                <w:b/>
                <w:i w:val="0"/>
                <w:color w:val="000000"/>
                <w:sz w:val="17"/>
              </w:rPr>
              <w:t>Method</w:t>
            </w:r>
          </w:p>
        </w:tc>
        <w:tc>
          <w:tcPr>
            <w:tcW w:type="dxa" w:w="1368"/>
            <w:shd w:val="clear" w:fill="F2F2F2"/>
          </w:tcPr>
          <w:p>
            <w:pPr>
              <w:spacing w:line="276" w:lineRule="auto"/>
              <w:jc w:val="center"/>
            </w:pPr>
            <w:r>
              <w:rPr>
                <w:rFonts w:ascii="Times New Roman" w:hAnsi="Times New Roman" w:eastAsia="Times New Roman"/>
                <w:b/>
                <w:i w:val="0"/>
                <w:color w:val="000000"/>
                <w:sz w:val="17"/>
              </w:rPr>
              <w:t>ID RMSE (m)</w:t>
            </w:r>
          </w:p>
        </w:tc>
        <w:tc>
          <w:tcPr>
            <w:tcW w:type="dxa" w:w="1368"/>
            <w:shd w:val="clear" w:fill="F2F2F2"/>
          </w:tcPr>
          <w:p>
            <w:pPr>
              <w:spacing w:line="276" w:lineRule="auto"/>
              <w:jc w:val="center"/>
            </w:pPr>
            <w:r>
              <w:rPr>
                <w:rFonts w:ascii="Times New Roman" w:hAnsi="Times New Roman" w:eastAsia="Times New Roman"/>
                <w:b/>
                <w:i w:val="0"/>
                <w:color w:val="000000"/>
                <w:sz w:val="17"/>
              </w:rPr>
              <w:t>OOD RMSE (m)</w:t>
            </w:r>
          </w:p>
        </w:tc>
        <w:tc>
          <w:tcPr>
            <w:tcW w:type="dxa" w:w="1440"/>
            <w:shd w:val="clear" w:fill="F2F2F2"/>
          </w:tcPr>
          <w:p>
            <w:pPr>
              <w:spacing w:line="276" w:lineRule="auto"/>
              <w:jc w:val="center"/>
            </w:pPr>
            <w:r>
              <w:rPr>
                <w:rFonts w:ascii="Times New Roman" w:hAnsi="Times New Roman" w:eastAsia="Times New Roman"/>
                <w:b/>
                <w:i w:val="0"/>
                <w:color w:val="000000"/>
                <w:sz w:val="17"/>
              </w:rPr>
              <w:t>OOD max err (m)</w:t>
            </w:r>
          </w:p>
        </w:tc>
        <w:tc>
          <w:tcPr>
            <w:tcW w:type="dxa" w:w="1368"/>
            <w:shd w:val="clear" w:fill="F2F2F2"/>
          </w:tcPr>
          <w:p>
            <w:pPr>
              <w:spacing w:line="276" w:lineRule="auto"/>
              <w:jc w:val="center"/>
            </w:pPr>
            <w:r>
              <w:rPr>
                <w:rFonts w:ascii="Times New Roman" w:hAnsi="Times New Roman" w:eastAsia="Times New Roman"/>
                <w:b/>
                <w:i w:val="0"/>
                <w:color w:val="000000"/>
                <w:sz w:val="17"/>
              </w:rPr>
              <w:t>OOD heading (°)</w:t>
            </w:r>
          </w:p>
        </w:tc>
        <w:tc>
          <w:tcPr>
            <w:tcW w:type="dxa" w:w="1440"/>
            <w:shd w:val="clear" w:fill="F2F2F2"/>
          </w:tcPr>
          <w:p>
            <w:pPr>
              <w:spacing w:line="276" w:lineRule="auto"/>
              <w:jc w:val="center"/>
            </w:pPr>
            <w:r>
              <w:rPr>
                <w:rFonts w:ascii="Times New Roman" w:hAnsi="Times New Roman" w:eastAsia="Times New Roman"/>
                <w:b/>
                <w:i w:val="0"/>
                <w:color w:val="000000"/>
                <w:sz w:val="17"/>
              </w:rPr>
              <w:t>OOD deadline miss</w:t>
            </w:r>
          </w:p>
        </w:tc>
        <w:tc>
          <w:tcPr>
            <w:tcW w:type="dxa" w:w="1224"/>
            <w:shd w:val="clear" w:fill="F2F2F2"/>
          </w:tcPr>
          <w:p>
            <w:pPr>
              <w:spacing w:line="276" w:lineRule="auto"/>
              <w:jc w:val="center"/>
            </w:pPr>
            <w:r>
              <w:rPr>
                <w:rFonts w:ascii="Times New Roman" w:hAnsi="Times New Roman" w:eastAsia="Times New Roman"/>
                <w:b/>
                <w:i w:val="0"/>
                <w:color w:val="000000"/>
                <w:sz w:val="17"/>
              </w:rPr>
              <w:t>OOD mean α</w:t>
            </w:r>
          </w:p>
        </w:tc>
      </w:tr>
      <w:tr>
        <w:tc>
          <w:tcPr>
            <w:tcW w:type="dxa" w:w="1944"/>
          </w:tcPr>
          <w:p>
            <w:pPr>
              <w:spacing w:line="276" w:lineRule="auto"/>
              <w:jc w:val="left"/>
            </w:pPr>
            <w:r>
              <w:rPr>
                <w:rFonts w:ascii="Times New Roman" w:hAnsi="Times New Roman" w:eastAsia="Times New Roman"/>
                <w:b w:val="0"/>
                <w:i w:val="0"/>
                <w:color w:val="000000"/>
                <w:sz w:val="17"/>
              </w:rPr>
              <w:t>SMC</w:t>
            </w:r>
          </w:p>
        </w:tc>
        <w:tc>
          <w:tcPr>
            <w:tcW w:type="dxa" w:w="1368"/>
          </w:tcPr>
          <w:p>
            <w:pPr>
              <w:spacing w:line="276" w:lineRule="auto"/>
              <w:jc w:val="center"/>
            </w:pPr>
            <w:r>
              <w:rPr>
                <w:rFonts w:ascii="Times New Roman" w:hAnsi="Times New Roman" w:eastAsia="Times New Roman"/>
                <w:b w:val="0"/>
                <w:i w:val="0"/>
                <w:color w:val="000000"/>
                <w:sz w:val="17"/>
              </w:rPr>
              <w:t>0.162</w:t>
            </w:r>
          </w:p>
        </w:tc>
        <w:tc>
          <w:tcPr>
            <w:tcW w:type="dxa" w:w="1368"/>
          </w:tcPr>
          <w:p>
            <w:pPr>
              <w:spacing w:line="276" w:lineRule="auto"/>
              <w:jc w:val="center"/>
            </w:pPr>
            <w:r>
              <w:rPr>
                <w:rFonts w:ascii="Times New Roman" w:hAnsi="Times New Roman" w:eastAsia="Times New Roman"/>
                <w:b w:val="0"/>
                <w:i w:val="0"/>
                <w:color w:val="000000"/>
                <w:sz w:val="17"/>
              </w:rPr>
              <w:t>0.248</w:t>
            </w:r>
          </w:p>
        </w:tc>
        <w:tc>
          <w:tcPr>
            <w:tcW w:type="dxa" w:w="1440"/>
          </w:tcPr>
          <w:p>
            <w:pPr>
              <w:spacing w:line="276" w:lineRule="auto"/>
              <w:jc w:val="center"/>
            </w:pPr>
            <w:r>
              <w:rPr>
                <w:rFonts w:ascii="Times New Roman" w:hAnsi="Times New Roman" w:eastAsia="Times New Roman"/>
                <w:b w:val="0"/>
                <w:i w:val="0"/>
                <w:color w:val="000000"/>
                <w:sz w:val="17"/>
              </w:rPr>
              <w:t>0.601</w:t>
            </w:r>
          </w:p>
        </w:tc>
        <w:tc>
          <w:tcPr>
            <w:tcW w:type="dxa" w:w="1368"/>
          </w:tcPr>
          <w:p>
            <w:pPr>
              <w:spacing w:line="276" w:lineRule="auto"/>
              <w:jc w:val="center"/>
            </w:pPr>
            <w:r>
              <w:rPr>
                <w:rFonts w:ascii="Times New Roman" w:hAnsi="Times New Roman" w:eastAsia="Times New Roman"/>
                <w:b w:val="0"/>
                <w:i w:val="0"/>
                <w:color w:val="000000"/>
                <w:sz w:val="17"/>
              </w:rPr>
              <w:t>10.65</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0.00</w:t>
            </w:r>
          </w:p>
        </w:tc>
      </w:tr>
      <w:tr>
        <w:tc>
          <w:tcPr>
            <w:tcW w:type="dxa" w:w="1944"/>
          </w:tcPr>
          <w:p>
            <w:pPr>
              <w:spacing w:line="276" w:lineRule="auto"/>
              <w:jc w:val="left"/>
            </w:pPr>
            <w:r>
              <w:rPr>
                <w:rFonts w:ascii="Times New Roman" w:hAnsi="Times New Roman" w:eastAsia="Times New Roman"/>
                <w:b w:val="0"/>
                <w:i w:val="0"/>
                <w:color w:val="000000"/>
                <w:sz w:val="17"/>
              </w:rPr>
              <w:t>MPC</w:t>
            </w:r>
          </w:p>
        </w:tc>
        <w:tc>
          <w:tcPr>
            <w:tcW w:type="dxa" w:w="1368"/>
          </w:tcPr>
          <w:p>
            <w:pPr>
              <w:spacing w:line="276" w:lineRule="auto"/>
              <w:jc w:val="center"/>
            </w:pPr>
            <w:r>
              <w:rPr>
                <w:rFonts w:ascii="Times New Roman" w:hAnsi="Times New Roman" w:eastAsia="Times New Roman"/>
                <w:b w:val="0"/>
                <w:i w:val="0"/>
                <w:color w:val="000000"/>
                <w:sz w:val="17"/>
              </w:rPr>
              <w:t>0.071</w:t>
            </w:r>
          </w:p>
        </w:tc>
        <w:tc>
          <w:tcPr>
            <w:tcW w:type="dxa" w:w="1368"/>
          </w:tcPr>
          <w:p>
            <w:pPr>
              <w:spacing w:line="276" w:lineRule="auto"/>
              <w:jc w:val="center"/>
            </w:pPr>
            <w:r>
              <w:rPr>
                <w:rFonts w:ascii="Times New Roman" w:hAnsi="Times New Roman" w:eastAsia="Times New Roman"/>
                <w:b w:val="0"/>
                <w:i w:val="0"/>
                <w:color w:val="000000"/>
                <w:sz w:val="17"/>
              </w:rPr>
              <w:t>0.221</w:t>
            </w:r>
          </w:p>
        </w:tc>
        <w:tc>
          <w:tcPr>
            <w:tcW w:type="dxa" w:w="1440"/>
          </w:tcPr>
          <w:p>
            <w:pPr>
              <w:spacing w:line="276" w:lineRule="auto"/>
              <w:jc w:val="center"/>
            </w:pPr>
            <w:r>
              <w:rPr>
                <w:rFonts w:ascii="Times New Roman" w:hAnsi="Times New Roman" w:eastAsia="Times New Roman"/>
                <w:b w:val="0"/>
                <w:i w:val="0"/>
                <w:color w:val="000000"/>
                <w:sz w:val="17"/>
              </w:rPr>
              <w:t>0.575</w:t>
            </w:r>
          </w:p>
        </w:tc>
        <w:tc>
          <w:tcPr>
            <w:tcW w:type="dxa" w:w="1368"/>
          </w:tcPr>
          <w:p>
            <w:pPr>
              <w:spacing w:line="276" w:lineRule="auto"/>
              <w:jc w:val="center"/>
            </w:pPr>
            <w:r>
              <w:rPr>
                <w:rFonts w:ascii="Times New Roman" w:hAnsi="Times New Roman" w:eastAsia="Times New Roman"/>
                <w:b w:val="0"/>
                <w:i w:val="0"/>
                <w:color w:val="000000"/>
                <w:sz w:val="17"/>
              </w:rPr>
              <w:t>9.46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1.00</w:t>
            </w:r>
          </w:p>
        </w:tc>
      </w:tr>
      <w:tr>
        <w:tc>
          <w:tcPr>
            <w:tcW w:type="dxa" w:w="1944"/>
          </w:tcPr>
          <w:p>
            <w:pPr>
              <w:spacing w:line="276" w:lineRule="auto"/>
              <w:jc w:val="left"/>
            </w:pPr>
            <w:r>
              <w:rPr>
                <w:rFonts w:ascii="Times New Roman" w:hAnsi="Times New Roman" w:eastAsia="Times New Roman"/>
                <w:b w:val="0"/>
                <w:i w:val="0"/>
                <w:color w:val="000000"/>
                <w:sz w:val="17"/>
              </w:rPr>
              <w:t>Fixed α = 0.5</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0.120</w:t>
            </w:r>
          </w:p>
        </w:tc>
        <w:tc>
          <w:tcPr>
            <w:tcW w:type="dxa" w:w="1440"/>
          </w:tcPr>
          <w:p>
            <w:pPr>
              <w:spacing w:line="276" w:lineRule="auto"/>
              <w:jc w:val="center"/>
            </w:pPr>
            <w:r>
              <w:rPr>
                <w:rFonts w:ascii="Times New Roman" w:hAnsi="Times New Roman" w:eastAsia="Times New Roman"/>
                <w:b w:val="0"/>
                <w:i w:val="0"/>
                <w:color w:val="000000"/>
                <w:sz w:val="17"/>
              </w:rPr>
              <w:t>0.412</w:t>
            </w:r>
          </w:p>
        </w:tc>
        <w:tc>
          <w:tcPr>
            <w:tcW w:type="dxa" w:w="1368"/>
          </w:tcPr>
          <w:p>
            <w:pPr>
              <w:spacing w:line="276" w:lineRule="auto"/>
              <w:jc w:val="center"/>
            </w:pPr>
            <w:r>
              <w:rPr>
                <w:rFonts w:ascii="Times New Roman" w:hAnsi="Times New Roman" w:eastAsia="Times New Roman"/>
                <w:b w:val="0"/>
                <w:i w:val="0"/>
                <w:color w:val="000000"/>
                <w:sz w:val="17"/>
              </w:rPr>
              <w:t>8.66</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0.59</w:t>
            </w:r>
          </w:p>
        </w:tc>
      </w:tr>
      <w:tr>
        <w:tc>
          <w:tcPr>
            <w:tcW w:type="dxa" w:w="1944"/>
          </w:tcPr>
          <w:p>
            <w:pPr>
              <w:spacing w:line="276" w:lineRule="auto"/>
              <w:jc w:val="left"/>
            </w:pPr>
            <w:r>
              <w:rPr>
                <w:rFonts w:ascii="Times New Roman" w:hAnsi="Times New Roman" w:eastAsia="Times New Roman"/>
                <w:b w:val="0"/>
                <w:i w:val="0"/>
                <w:color w:val="000000"/>
                <w:sz w:val="17"/>
              </w:rPr>
              <w:t>SSPO</w:t>
            </w:r>
          </w:p>
        </w:tc>
        <w:tc>
          <w:tcPr>
            <w:tcW w:type="dxa" w:w="1368"/>
          </w:tcPr>
          <w:p>
            <w:pPr>
              <w:spacing w:line="276" w:lineRule="auto"/>
              <w:jc w:val="center"/>
            </w:pPr>
            <w:r>
              <w:rPr>
                <w:rFonts w:ascii="Times New Roman" w:hAnsi="Times New Roman" w:eastAsia="Times New Roman"/>
                <w:b w:val="0"/>
                <w:i w:val="0"/>
                <w:color w:val="000000"/>
                <w:sz w:val="17"/>
              </w:rPr>
              <w:t>0.062</w:t>
            </w:r>
          </w:p>
        </w:tc>
        <w:tc>
          <w:tcPr>
            <w:tcW w:type="dxa" w:w="1368"/>
          </w:tcPr>
          <w:p>
            <w:pPr>
              <w:spacing w:line="276" w:lineRule="auto"/>
              <w:jc w:val="center"/>
            </w:pPr>
            <w:r>
              <w:rPr>
                <w:rFonts w:ascii="Times New Roman" w:hAnsi="Times New Roman" w:eastAsia="Times New Roman"/>
                <w:b w:val="0"/>
                <w:i w:val="0"/>
                <w:color w:val="000000"/>
                <w:sz w:val="17"/>
              </w:rPr>
              <w:t>0.136</w:t>
            </w:r>
          </w:p>
        </w:tc>
        <w:tc>
          <w:tcPr>
            <w:tcW w:type="dxa" w:w="1440"/>
          </w:tcPr>
          <w:p>
            <w:pPr>
              <w:spacing w:line="276" w:lineRule="auto"/>
              <w:jc w:val="center"/>
            </w:pPr>
            <w:r>
              <w:rPr>
                <w:rFonts w:ascii="Times New Roman" w:hAnsi="Times New Roman" w:eastAsia="Times New Roman"/>
                <w:b w:val="0"/>
                <w:i w:val="0"/>
                <w:color w:val="000000"/>
                <w:sz w:val="17"/>
              </w:rPr>
              <w:t>0.448</w:t>
            </w:r>
          </w:p>
        </w:tc>
        <w:tc>
          <w:tcPr>
            <w:tcW w:type="dxa" w:w="1368"/>
          </w:tcPr>
          <w:p>
            <w:pPr>
              <w:spacing w:line="276" w:lineRule="auto"/>
              <w:jc w:val="center"/>
            </w:pPr>
            <w:r>
              <w:rPr>
                <w:rFonts w:ascii="Times New Roman" w:hAnsi="Times New Roman" w:eastAsia="Times New Roman"/>
                <w:b w:val="0"/>
                <w:i w:val="0"/>
                <w:color w:val="000000"/>
                <w:sz w:val="17"/>
              </w:rPr>
              <w:t>9.11</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0.87</w:t>
            </w:r>
          </w:p>
        </w:tc>
      </w:tr>
      <w:tr>
        <w:tc>
          <w:tcPr>
            <w:tcW w:type="dxa" w:w="1944"/>
          </w:tcPr>
          <w:p>
            <w:pPr>
              <w:spacing w:line="276" w:lineRule="auto"/>
              <w:jc w:val="left"/>
            </w:pPr>
            <w:r>
              <w:rPr>
                <w:rFonts w:ascii="Times New Roman" w:hAnsi="Times New Roman" w:eastAsia="Times New Roman"/>
                <w:b w:val="0"/>
                <w:i w:val="0"/>
                <w:color w:val="000000"/>
                <w:sz w:val="17"/>
              </w:rPr>
              <w:t>PAC-S</w:t>
            </w:r>
          </w:p>
        </w:tc>
        <w:tc>
          <w:tcPr>
            <w:tcW w:type="dxa" w:w="1368"/>
          </w:tcPr>
          <w:p>
            <w:pPr>
              <w:spacing w:line="276" w:lineRule="auto"/>
              <w:jc w:val="center"/>
            </w:pPr>
            <w:r>
              <w:rPr>
                <w:rFonts w:ascii="Times New Roman" w:hAnsi="Times New Roman" w:eastAsia="Times New Roman"/>
                <w:b w:val="0"/>
                <w:i w:val="0"/>
                <w:color w:val="000000"/>
                <w:sz w:val="17"/>
              </w:rPr>
              <w:t>0.064</w:t>
            </w:r>
          </w:p>
        </w:tc>
        <w:tc>
          <w:tcPr>
            <w:tcW w:type="dxa" w:w="1368"/>
          </w:tcPr>
          <w:p>
            <w:pPr>
              <w:spacing w:line="276" w:lineRule="auto"/>
              <w:jc w:val="center"/>
            </w:pPr>
            <w:r>
              <w:rPr>
                <w:rFonts w:ascii="Times New Roman" w:hAnsi="Times New Roman" w:eastAsia="Times New Roman"/>
                <w:b w:val="0"/>
                <w:i w:val="0"/>
                <w:color w:val="000000"/>
                <w:sz w:val="17"/>
              </w:rPr>
              <w:t>0.160</w:t>
            </w:r>
          </w:p>
        </w:tc>
        <w:tc>
          <w:tcPr>
            <w:tcW w:type="dxa" w:w="1440"/>
          </w:tcPr>
          <w:p>
            <w:pPr>
              <w:spacing w:line="276" w:lineRule="auto"/>
              <w:jc w:val="center"/>
            </w:pPr>
            <w:r>
              <w:rPr>
                <w:rFonts w:ascii="Times New Roman" w:hAnsi="Times New Roman" w:eastAsia="Times New Roman"/>
                <w:b w:val="0"/>
                <w:i w:val="0"/>
                <w:color w:val="000000"/>
                <w:sz w:val="17"/>
              </w:rPr>
              <w:t>0.495</w:t>
            </w:r>
          </w:p>
        </w:tc>
        <w:tc>
          <w:tcPr>
            <w:tcW w:type="dxa" w:w="1368"/>
          </w:tcPr>
          <w:p>
            <w:pPr>
              <w:spacing w:line="276" w:lineRule="auto"/>
              <w:jc w:val="center"/>
            </w:pPr>
            <w:r>
              <w:rPr>
                <w:rFonts w:ascii="Times New Roman" w:hAnsi="Times New Roman" w:eastAsia="Times New Roman"/>
                <w:b w:val="0"/>
                <w:i w:val="0"/>
                <w:color w:val="000000"/>
                <w:sz w:val="17"/>
              </w:rPr>
              <w:t>9.20</w:t>
            </w:r>
          </w:p>
        </w:tc>
        <w:tc>
          <w:tcPr>
            <w:tcW w:type="dxa" w:w="1440"/>
          </w:tcPr>
          <w:p>
            <w:pPr>
              <w:spacing w:line="276" w:lineRule="auto"/>
              <w:jc w:val="center"/>
            </w:pPr>
            <w:r>
              <w:rPr>
                <w:rFonts w:ascii="Times New Roman" w:hAnsi="Times New Roman" w:eastAsia="Times New Roman"/>
                <w:b w:val="0"/>
                <w:i w:val="0"/>
                <w:color w:val="000000"/>
                <w:sz w:val="17"/>
              </w:rPr>
              <w:t>0.69</w:t>
            </w:r>
          </w:p>
        </w:tc>
        <w:tc>
          <w:tcPr>
            <w:tcW w:type="dxa" w:w="1224"/>
          </w:tcPr>
          <w:p>
            <w:pPr>
              <w:spacing w:line="276" w:lineRule="auto"/>
              <w:jc w:val="center"/>
            </w:pPr>
            <w:r>
              <w:rPr>
                <w:rFonts w:ascii="Times New Roman" w:hAnsi="Times New Roman" w:eastAsia="Times New Roman"/>
                <w:b w:val="0"/>
                <w:i w:val="0"/>
                <w:color w:val="000000"/>
                <w:sz w:val="17"/>
              </w:rPr>
              <w:t>0.82</w:t>
            </w:r>
          </w:p>
        </w:tc>
      </w:tr>
      <w:tr>
        <w:tc>
          <w:tcPr>
            <w:tcW w:type="dxa" w:w="1944"/>
          </w:tcPr>
          <w:p>
            <w:pPr>
              <w:spacing w:line="276" w:lineRule="auto"/>
              <w:jc w:val="left"/>
            </w:pPr>
            <w:r>
              <w:rPr>
                <w:rFonts w:ascii="Times New Roman" w:hAnsi="Times New Roman" w:eastAsia="Times New Roman"/>
                <w:b w:val="0"/>
                <w:i w:val="0"/>
                <w:color w:val="000000"/>
                <w:sz w:val="17"/>
              </w:rPr>
              <w:t>PAC-RL</w:t>
            </w:r>
          </w:p>
        </w:tc>
        <w:tc>
          <w:tcPr>
            <w:tcW w:type="dxa" w:w="1368"/>
          </w:tcPr>
          <w:p>
            <w:pPr>
              <w:spacing w:line="276" w:lineRule="auto"/>
              <w:jc w:val="center"/>
            </w:pPr>
            <w:r>
              <w:rPr>
                <w:rFonts w:ascii="Times New Roman" w:hAnsi="Times New Roman" w:eastAsia="Times New Roman"/>
                <w:b w:val="0"/>
                <w:i w:val="0"/>
                <w:color w:val="000000"/>
                <w:sz w:val="17"/>
              </w:rPr>
              <w:t>0.066</w:t>
            </w:r>
          </w:p>
        </w:tc>
        <w:tc>
          <w:tcPr>
            <w:tcW w:type="dxa" w:w="1368"/>
          </w:tcPr>
          <w:p>
            <w:pPr>
              <w:spacing w:line="276" w:lineRule="auto"/>
              <w:jc w:val="center"/>
            </w:pPr>
            <w:r>
              <w:rPr>
                <w:rFonts w:ascii="Times New Roman" w:hAnsi="Times New Roman" w:eastAsia="Times New Roman"/>
                <w:b w:val="0"/>
                <w:i w:val="0"/>
                <w:color w:val="000000"/>
                <w:sz w:val="17"/>
              </w:rPr>
              <w:t>0.116</w:t>
            </w:r>
          </w:p>
        </w:tc>
        <w:tc>
          <w:tcPr>
            <w:tcW w:type="dxa" w:w="1440"/>
          </w:tcPr>
          <w:p>
            <w:pPr>
              <w:spacing w:line="276" w:lineRule="auto"/>
              <w:jc w:val="center"/>
            </w:pPr>
            <w:r>
              <w:rPr>
                <w:rFonts w:ascii="Times New Roman" w:hAnsi="Times New Roman" w:eastAsia="Times New Roman"/>
                <w:b w:val="0"/>
                <w:i w:val="0"/>
                <w:color w:val="000000"/>
                <w:sz w:val="17"/>
              </w:rPr>
              <w:t>0.414</w:t>
            </w:r>
          </w:p>
        </w:tc>
        <w:tc>
          <w:tcPr>
            <w:tcW w:type="dxa" w:w="1368"/>
          </w:tcPr>
          <w:p>
            <w:pPr>
              <w:spacing w:line="276" w:lineRule="auto"/>
              <w:jc w:val="center"/>
            </w:pPr>
            <w:r>
              <w:rPr>
                <w:rFonts w:ascii="Times New Roman" w:hAnsi="Times New Roman" w:eastAsia="Times New Roman"/>
                <w:b w:val="0"/>
                <w:i w:val="0"/>
                <w:color w:val="000000"/>
                <w:sz w:val="17"/>
              </w:rPr>
              <w:t>8.46</w:t>
            </w:r>
          </w:p>
        </w:tc>
        <w:tc>
          <w:tcPr>
            <w:tcW w:type="dxa" w:w="1440"/>
          </w:tcPr>
          <w:p>
            <w:pPr>
              <w:spacing w:line="276" w:lineRule="auto"/>
              <w:jc w:val="center"/>
            </w:pPr>
            <w:r>
              <w:rPr>
                <w:rFonts w:ascii="Times New Roman" w:hAnsi="Times New Roman" w:eastAsia="Times New Roman"/>
                <w:b w:val="0"/>
                <w:i w:val="0"/>
                <w:color w:val="000000"/>
                <w:sz w:val="17"/>
              </w:rPr>
              <w:t>0.80</w:t>
            </w:r>
          </w:p>
        </w:tc>
        <w:tc>
          <w:tcPr>
            <w:tcW w:type="dxa" w:w="1224"/>
          </w:tcPr>
          <w:p>
            <w:pPr>
              <w:spacing w:line="276" w:lineRule="auto"/>
              <w:jc w:val="center"/>
            </w:pPr>
            <w:r>
              <w:rPr>
                <w:rFonts w:ascii="Times New Roman" w:hAnsi="Times New Roman" w:eastAsia="Times New Roman"/>
                <w:b w:val="0"/>
                <w:i w:val="0"/>
                <w:color w:val="000000"/>
                <w:sz w:val="17"/>
              </w:rPr>
              <w:t>0.54</w:t>
            </w:r>
          </w:p>
        </w:tc>
      </w:tr>
    </w:tbl>
    <w:p>
      <w:pPr>
        <w:spacing w:after="40"/>
      </w:pPr>
    </w:p>
    <w:p>
      <w:pPr>
        <w:spacing w:line="312" w:lineRule="auto" w:before="200" w:after="80"/>
      </w:pPr>
      <w:r>
        <w:rPr>
          <w:rFonts w:ascii="Times New Roman" w:hAnsi="Times New Roman" w:eastAsia="Times New Roman"/>
          <w:b/>
          <w:i w:val="0"/>
          <w:color w:val="000000"/>
          <w:sz w:val="23"/>
        </w:rPr>
        <w:t>6.2  Where the residual earns its value</w:t>
      </w:r>
    </w:p>
    <w:p>
      <w:pPr>
        <w:spacing w:line="312" w:lineRule="auto" w:after="120"/>
        <w:jc w:val="both"/>
      </w:pPr>
      <w:r>
        <w:rPr>
          <w:rFonts w:ascii="Times New Roman" w:hAnsi="Times New Roman" w:eastAsia="Times New Roman"/>
          <w:b w:val="0"/>
          <w:i w:val="0"/>
          <w:color w:val="000000"/>
          <w:sz w:val="22"/>
        </w:rPr>
        <w:t>Across the OOD block, PAC-RL reduces tracking RMSE from 0.161 m (PAC-S) to 0.116 m. The registered model-seed paired effect is −0.0445 m with a 95% t(4) interval of [−0.0737, −0.0154] m (28% relative reduction); the episode-level bootstrap over the 35 OOD episodes is [−0.0759, −0.0167] m, consistent with the seed-level analysis. Maximum error falls from 0.495 m to 0.414 m (five-seed means) and OOD heading error improves by 0.73°.</w:t>
      </w:r>
    </w:p>
    <w:p>
      <w:pPr>
        <w:spacing w:line="312" w:lineRule="auto" w:after="120"/>
        <w:jc w:val="both"/>
      </w:pPr>
      <w:r>
        <w:rPr>
          <w:rFonts w:ascii="Times New Roman" w:hAnsi="Times New Roman" w:eastAsia="Times New Roman"/>
          <w:b w:val="0"/>
          <w:i w:val="0"/>
          <w:color w:val="000000"/>
          <w:sz w:val="22"/>
        </w:rPr>
        <w:t>The sharpest reading of Table 1 is unfavorable to us: a constant α = 0.5 reaches 0.120 m OOD, within 3% of PAC-RL. That comparison was not registered and we make no significance claim; the honest summary is that the residual's overall advantage over never adapting is small, and its value is concentrated where adaptation is hardest (−28% versus the constant blend in the actuator-degradation family, Table 2). The in-distribution effect is +0.0028 m [+0.0009, +0.0047] (+0.4%) and in-distribution heading error rises by 0.32° [+0.29, +0.35] (+4.3%).</w:t>
      </w:r>
    </w:p>
    <w:p>
      <w:pPr>
        <w:spacing w:line="312" w:lineRule="auto" w:after="120"/>
        <w:jc w:val="both"/>
      </w:pPr>
      <w:r>
        <w:rPr>
          <w:rFonts w:ascii="Times New Roman" w:hAnsi="Times New Roman" w:eastAsia="Times New Roman"/>
          <w:b w:val="0"/>
          <w:i w:val="0"/>
          <w:color w:val="000000"/>
          <w:sz w:val="22"/>
        </w:rPr>
        <w:t>The family decomposition in Fig. 4b locates the gain, and the registered paired effects in Fig. 4a quantify it. The SSPO versus PAC-RL contrast is not included in the archived paired-effects summary; it is recomputed from raw episode metrics with the same seed-level procedure: OOD −0.0198 m [−0.0211, −0.0185] in favor of PAC-RL, ID +0.0043 m [+0.0033, +0.0053] in favor of SSPO.</w:t>
      </w:r>
    </w:p>
    <w:p>
      <w:pPr>
        <w:keepNext/>
        <w:spacing w:before="160"/>
        <w:jc w:val="center"/>
      </w:pPr>
      <w:r>
        <w:drawing>
          <wp:inline xmlns:a="http://schemas.openxmlformats.org/drawingml/2006/main" xmlns:pic="http://schemas.openxmlformats.org/drawingml/2006/picture">
            <wp:extent cx="5760720" cy="2835672"/>
            <wp:docPr id="4" name="Picture 4"/>
            <wp:cNvGraphicFramePr>
              <a:graphicFrameLocks noChangeAspect="1"/>
            </wp:cNvGraphicFramePr>
            <a:graphic>
              <a:graphicData uri="http://schemas.openxmlformats.org/drawingml/2006/picture">
                <pic:pic>
                  <pic:nvPicPr>
                    <pic:cNvPr id="0" name="fig4_closed_loop_results.png"/>
                    <pic:cNvPicPr/>
                  </pic:nvPicPr>
                  <pic:blipFill>
                    <a:blip r:embed="rId14"/>
                    <a:stretch>
                      <a:fillRect/>
                    </a:stretch>
                  </pic:blipFill>
                  <pic:spPr>
                    <a:xfrm>
                      <a:off x="0" y="0"/>
                      <a:ext cx="5760720" cy="283567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4. </w:t>
      </w:r>
      <w:r>
        <w:rPr>
          <w:rFonts w:ascii="Times New Roman" w:hAnsi="Times New Roman" w:eastAsia="Times New Roman"/>
          <w:b w:val="0"/>
          <w:i w:val="0"/>
          <w:color w:val="000000"/>
          <w:sz w:val="18"/>
        </w:rPr>
        <w:t>Registered paired effects and family decomposition. (a) RMSE paired effects with model-seed t(4) 95% intervals by block (OOD, ID); filled markers denote intervals excluding zero; the SSPO versus PAC-S contrast is as archived; the SSPO contrast is recomputed from raw episode metrics. (b) OOD RMSE by disturbance family and method. Gains concentrate in the actuator-degradation family; in the mild stochastic and estimation-delay families the supervised policy and SSPO remain marginally better. The panel does not support uniform superiority.</w:t>
      </w:r>
    </w:p>
    <w:p>
      <w:pPr>
        <w:keepNext/>
        <w:spacing w:before="160"/>
        <w:jc w:val="both"/>
      </w:pPr>
      <w:r>
        <w:rPr>
          <w:rFonts w:ascii="Times New Roman" w:hAnsi="Times New Roman" w:eastAsia="Times New Roman"/>
          <w:b/>
          <w:i w:val="0"/>
          <w:color w:val="000000"/>
          <w:sz w:val="18"/>
        </w:rPr>
        <w:t xml:space="preserve">Table 2. </w:t>
      </w:r>
      <w:r>
        <w:rPr>
          <w:rFonts w:ascii="Times New Roman" w:hAnsi="Times New Roman" w:eastAsia="Times New Roman"/>
          <w:b/>
          <w:i w:val="0"/>
          <w:color w:val="000000"/>
          <w:sz w:val="18"/>
        </w:rPr>
        <w:t>Actuator-degradation family (response lag with measurement noise): paired family means.</w:t>
      </w:r>
    </w:p>
    <w:tbl>
      <w:tblPr>
        <w:tblStyle w:val="TableGrid"/>
        <w:tblW w:type="auto" w:w="0"/>
        <w:jc w:val="center"/>
        <w:tblLayout w:type="fixed"/>
        <w:tblLook w:firstColumn="1" w:firstRow="1" w:lastColumn="0" w:lastRow="0" w:noHBand="0" w:noVBand="1" w:val="04A0"/>
      </w:tblPr>
      <w:tblGrid>
        <w:gridCol w:w="2340"/>
        <w:gridCol w:w="2340"/>
        <w:gridCol w:w="2340"/>
        <w:gridCol w:w="2340"/>
      </w:tblGrid>
      <w:tr>
        <w:trPr>
          <w:tblHeader/>
        </w:trPr>
        <w:tc>
          <w:tcPr>
            <w:tcW w:type="dxa" w:w="2304"/>
            <w:shd w:val="clear" w:fill="F2F2F2"/>
          </w:tcPr>
          <w:p>
            <w:pPr>
              <w:spacing w:line="276" w:lineRule="auto"/>
              <w:jc w:val="center"/>
            </w:pPr>
            <w:r>
              <w:rPr>
                <w:rFonts w:ascii="Times New Roman" w:hAnsi="Times New Roman" w:eastAsia="Times New Roman"/>
                <w:b/>
                <w:i w:val="0"/>
                <w:color w:val="000000"/>
                <w:sz w:val="17"/>
              </w:rPr>
              <w:t>Method</w:t>
            </w:r>
          </w:p>
        </w:tc>
        <w:tc>
          <w:tcPr>
            <w:tcW w:type="dxa" w:w="1728"/>
            <w:shd w:val="clear" w:fill="F2F2F2"/>
          </w:tcPr>
          <w:p>
            <w:pPr>
              <w:spacing w:line="276" w:lineRule="auto"/>
              <w:jc w:val="center"/>
            </w:pPr>
            <w:r>
              <w:rPr>
                <w:rFonts w:ascii="Times New Roman" w:hAnsi="Times New Roman" w:eastAsia="Times New Roman"/>
                <w:b/>
                <w:i w:val="0"/>
                <w:color w:val="000000"/>
                <w:sz w:val="17"/>
              </w:rPr>
              <w:t>ID RMSE (m)</w:t>
            </w:r>
          </w:p>
        </w:tc>
        <w:tc>
          <w:tcPr>
            <w:tcW w:type="dxa" w:w="1728"/>
            <w:shd w:val="clear" w:fill="F2F2F2"/>
          </w:tcPr>
          <w:p>
            <w:pPr>
              <w:spacing w:line="276" w:lineRule="auto"/>
              <w:jc w:val="center"/>
            </w:pPr>
            <w:r>
              <w:rPr>
                <w:rFonts w:ascii="Times New Roman" w:hAnsi="Times New Roman" w:eastAsia="Times New Roman"/>
                <w:b/>
                <w:i w:val="0"/>
                <w:color w:val="000000"/>
                <w:sz w:val="17"/>
              </w:rPr>
              <w:t>OOD RMSE (m)</w:t>
            </w:r>
          </w:p>
        </w:tc>
        <w:tc>
          <w:tcPr>
            <w:tcW w:type="dxa" w:w="1584"/>
            <w:shd w:val="clear" w:fill="F2F2F2"/>
          </w:tcPr>
          <w:p>
            <w:pPr>
              <w:spacing w:line="276" w:lineRule="auto"/>
              <w:jc w:val="center"/>
            </w:pPr>
            <w:r>
              <w:rPr>
                <w:rFonts w:ascii="Times New Roman" w:hAnsi="Times New Roman" w:eastAsia="Times New Roman"/>
                <w:b/>
                <w:i w:val="0"/>
                <w:color w:val="000000"/>
                <w:sz w:val="17"/>
              </w:rPr>
              <w:t>vs PAC-S</w:t>
            </w:r>
          </w:p>
        </w:tc>
      </w:tr>
      <w:tr>
        <w:tc>
          <w:tcPr>
            <w:tcW w:type="dxa" w:w="2304"/>
          </w:tcPr>
          <w:p>
            <w:pPr>
              <w:spacing w:line="276" w:lineRule="auto"/>
              <w:jc w:val="left"/>
            </w:pPr>
            <w:r>
              <w:rPr>
                <w:rFonts w:ascii="Times New Roman" w:hAnsi="Times New Roman" w:eastAsia="Times New Roman"/>
                <w:b w:val="0"/>
                <w:i w:val="0"/>
                <w:color w:val="000000"/>
                <w:sz w:val="17"/>
              </w:rPr>
              <w:t>SMC</w:t>
            </w:r>
          </w:p>
        </w:tc>
        <w:tc>
          <w:tcPr>
            <w:tcW w:type="dxa" w:w="1728"/>
          </w:tcPr>
          <w:p>
            <w:pPr>
              <w:spacing w:line="276" w:lineRule="auto"/>
              <w:jc w:val="center"/>
            </w:pPr>
            <w:r>
              <w:rPr>
                <w:rFonts w:ascii="Times New Roman" w:hAnsi="Times New Roman" w:eastAsia="Times New Roman"/>
                <w:b w:val="0"/>
                <w:i w:val="0"/>
                <w:color w:val="000000"/>
                <w:sz w:val="17"/>
              </w:rPr>
              <w:t>0.142</w:t>
            </w:r>
          </w:p>
        </w:tc>
        <w:tc>
          <w:tcPr>
            <w:tcW w:type="dxa" w:w="1728"/>
          </w:tcPr>
          <w:p>
            <w:pPr>
              <w:spacing w:line="276" w:lineRule="auto"/>
              <w:jc w:val="center"/>
            </w:pPr>
            <w:r>
              <w:rPr>
                <w:rFonts w:ascii="Times New Roman" w:hAnsi="Times New Roman" w:eastAsia="Times New Roman"/>
                <w:b w:val="0"/>
                <w:i w:val="0"/>
                <w:color w:val="000000"/>
                <w:sz w:val="17"/>
              </w:rPr>
              <w:t>0.156</w:t>
            </w:r>
          </w:p>
        </w:tc>
        <w:tc>
          <w:tcPr>
            <w:tcW w:type="dxa" w:w="1584"/>
          </w:tcPr>
          <w:p>
            <w:pPr>
              <w:spacing w:line="276" w:lineRule="auto"/>
              <w:jc w:val="center"/>
            </w:pPr>
            <w:r>
              <w:rPr>
                <w:rFonts w:ascii="Times New Roman" w:hAnsi="Times New Roman" w:eastAsia="Times New Roman"/>
                <w:b w:val="0"/>
                <w:i w:val="0"/>
                <w:color w:val="000000"/>
                <w:sz w:val="17"/>
              </w:rPr>
              <w:t>-47%</w:t>
            </w:r>
          </w:p>
        </w:tc>
      </w:tr>
      <w:tr>
        <w:tc>
          <w:tcPr>
            <w:tcW w:type="dxa" w:w="2304"/>
          </w:tcPr>
          <w:p>
            <w:pPr>
              <w:spacing w:line="276" w:lineRule="auto"/>
              <w:jc w:val="left"/>
            </w:pPr>
            <w:r>
              <w:rPr>
                <w:rFonts w:ascii="Times New Roman" w:hAnsi="Times New Roman" w:eastAsia="Times New Roman"/>
                <w:b w:val="0"/>
                <w:i w:val="0"/>
                <w:color w:val="000000"/>
                <w:sz w:val="17"/>
              </w:rPr>
              <w:t>MPC</w:t>
            </w:r>
          </w:p>
        </w:tc>
        <w:tc>
          <w:tcPr>
            <w:tcW w:type="dxa" w:w="1728"/>
          </w:tcPr>
          <w:p>
            <w:pPr>
              <w:spacing w:line="276" w:lineRule="auto"/>
              <w:jc w:val="center"/>
            </w:pPr>
            <w:r>
              <w:rPr>
                <w:rFonts w:ascii="Times New Roman" w:hAnsi="Times New Roman" w:eastAsia="Times New Roman"/>
                <w:b w:val="0"/>
                <w:i w:val="0"/>
                <w:color w:val="000000"/>
                <w:sz w:val="17"/>
              </w:rPr>
              <w:t>0.089</w:t>
            </w:r>
          </w:p>
        </w:tc>
        <w:tc>
          <w:tcPr>
            <w:tcW w:type="dxa" w:w="1728"/>
          </w:tcPr>
          <w:p>
            <w:pPr>
              <w:spacing w:line="276" w:lineRule="auto"/>
              <w:jc w:val="center"/>
            </w:pPr>
            <w:r>
              <w:rPr>
                <w:rFonts w:ascii="Times New Roman" w:hAnsi="Times New Roman" w:eastAsia="Times New Roman"/>
                <w:b w:val="0"/>
                <w:i w:val="0"/>
                <w:color w:val="000000"/>
                <w:sz w:val="17"/>
              </w:rPr>
              <w:t>0.822</w:t>
            </w:r>
          </w:p>
        </w:tc>
        <w:tc>
          <w:tcPr>
            <w:tcW w:type="dxa" w:w="1584"/>
          </w:tcPr>
          <w:p>
            <w:pPr>
              <w:spacing w:line="276" w:lineRule="auto"/>
              <w:jc w:val="center"/>
            </w:pPr>
            <w:r>
              <w:rPr>
                <w:rFonts w:ascii="Times New Roman" w:hAnsi="Times New Roman" w:eastAsia="Times New Roman"/>
                <w:b w:val="0"/>
                <w:i w:val="0"/>
                <w:color w:val="000000"/>
                <w:sz w:val="17"/>
              </w:rPr>
              <w:t>+179%</w:t>
            </w:r>
          </w:p>
        </w:tc>
      </w:tr>
      <w:tr>
        <w:tc>
          <w:tcPr>
            <w:tcW w:type="dxa" w:w="2304"/>
          </w:tcPr>
          <w:p>
            <w:pPr>
              <w:spacing w:line="276" w:lineRule="auto"/>
              <w:jc w:val="left"/>
            </w:pPr>
            <w:r>
              <w:rPr>
                <w:rFonts w:ascii="Times New Roman" w:hAnsi="Times New Roman" w:eastAsia="Times New Roman"/>
                <w:b w:val="0"/>
                <w:i w:val="0"/>
                <w:color w:val="000000"/>
                <w:sz w:val="17"/>
              </w:rPr>
              <w:t>Fixed α = 0.5</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0.125</w:t>
            </w:r>
          </w:p>
        </w:tc>
        <w:tc>
          <w:tcPr>
            <w:tcW w:type="dxa" w:w="1584"/>
          </w:tcPr>
          <w:p>
            <w:pPr>
              <w:spacing w:line="276" w:lineRule="auto"/>
              <w:jc w:val="center"/>
            </w:pPr>
            <w:r>
              <w:rPr>
                <w:rFonts w:ascii="Times New Roman" w:hAnsi="Times New Roman" w:eastAsia="Times New Roman"/>
                <w:b w:val="0"/>
                <w:i w:val="0"/>
                <w:color w:val="000000"/>
                <w:sz w:val="17"/>
              </w:rPr>
              <w:t>-58%</w:t>
            </w:r>
          </w:p>
        </w:tc>
      </w:tr>
      <w:tr>
        <w:tc>
          <w:tcPr>
            <w:tcW w:type="dxa" w:w="2304"/>
          </w:tcPr>
          <w:p>
            <w:pPr>
              <w:spacing w:line="276" w:lineRule="auto"/>
              <w:jc w:val="left"/>
            </w:pPr>
            <w:r>
              <w:rPr>
                <w:rFonts w:ascii="Times New Roman" w:hAnsi="Times New Roman" w:eastAsia="Times New Roman"/>
                <w:b w:val="0"/>
                <w:i w:val="0"/>
                <w:color w:val="000000"/>
                <w:sz w:val="17"/>
              </w:rPr>
              <w:t>SSPO</w:t>
            </w:r>
          </w:p>
        </w:tc>
        <w:tc>
          <w:tcPr>
            <w:tcW w:type="dxa" w:w="1728"/>
          </w:tcPr>
          <w:p>
            <w:pPr>
              <w:spacing w:line="276" w:lineRule="auto"/>
              <w:jc w:val="center"/>
            </w:pPr>
            <w:r>
              <w:rPr>
                <w:rFonts w:ascii="Times New Roman" w:hAnsi="Times New Roman" w:eastAsia="Times New Roman"/>
                <w:b w:val="0"/>
                <w:i w:val="0"/>
                <w:color w:val="000000"/>
                <w:sz w:val="17"/>
              </w:rPr>
              <w:t>0.074</w:t>
            </w:r>
          </w:p>
        </w:tc>
        <w:tc>
          <w:tcPr>
            <w:tcW w:type="dxa" w:w="1728"/>
          </w:tcPr>
          <w:p>
            <w:pPr>
              <w:spacing w:line="276" w:lineRule="auto"/>
              <w:jc w:val="center"/>
            </w:pPr>
            <w:r>
              <w:rPr>
                <w:rFonts w:ascii="Times New Roman" w:hAnsi="Times New Roman" w:eastAsia="Times New Roman"/>
                <w:b w:val="0"/>
                <w:i w:val="0"/>
                <w:color w:val="000000"/>
                <w:sz w:val="17"/>
              </w:rPr>
              <w:t>0.252</w:t>
            </w:r>
          </w:p>
        </w:tc>
        <w:tc>
          <w:tcPr>
            <w:tcW w:type="dxa" w:w="1584"/>
          </w:tcPr>
          <w:p>
            <w:pPr>
              <w:spacing w:line="276" w:lineRule="auto"/>
              <w:jc w:val="center"/>
            </w:pPr>
            <w:r>
              <w:rPr>
                <w:rFonts w:ascii="Times New Roman" w:hAnsi="Times New Roman" w:eastAsia="Times New Roman"/>
                <w:b w:val="0"/>
                <w:i w:val="0"/>
                <w:color w:val="000000"/>
                <w:sz w:val="17"/>
              </w:rPr>
              <w:t>-15%</w:t>
            </w:r>
          </w:p>
        </w:tc>
      </w:tr>
      <w:tr>
        <w:tc>
          <w:tcPr>
            <w:tcW w:type="dxa" w:w="2304"/>
          </w:tcPr>
          <w:p>
            <w:pPr>
              <w:spacing w:line="276" w:lineRule="auto"/>
              <w:jc w:val="left"/>
            </w:pPr>
            <w:r>
              <w:rPr>
                <w:rFonts w:ascii="Times New Roman" w:hAnsi="Times New Roman" w:eastAsia="Times New Roman"/>
                <w:b w:val="0"/>
                <w:i w:val="0"/>
                <w:color w:val="000000"/>
                <w:sz w:val="17"/>
              </w:rPr>
              <w:t>PAC-S</w:t>
            </w:r>
          </w:p>
        </w:tc>
        <w:tc>
          <w:tcPr>
            <w:tcW w:type="dxa" w:w="1728"/>
          </w:tcPr>
          <w:p>
            <w:pPr>
              <w:spacing w:line="276" w:lineRule="auto"/>
              <w:jc w:val="center"/>
            </w:pPr>
            <w:r>
              <w:rPr>
                <w:rFonts w:ascii="Times New Roman" w:hAnsi="Times New Roman" w:eastAsia="Times New Roman"/>
                <w:b w:val="0"/>
                <w:i w:val="0"/>
                <w:color w:val="000000"/>
                <w:sz w:val="17"/>
              </w:rPr>
              <w:t>0.069</w:t>
            </w:r>
          </w:p>
        </w:tc>
        <w:tc>
          <w:tcPr>
            <w:tcW w:type="dxa" w:w="1728"/>
          </w:tcPr>
          <w:p>
            <w:pPr>
              <w:spacing w:line="276" w:lineRule="auto"/>
              <w:jc w:val="center"/>
            </w:pPr>
            <w:r>
              <w:rPr>
                <w:rFonts w:ascii="Times New Roman" w:hAnsi="Times New Roman" w:eastAsia="Times New Roman"/>
                <w:b w:val="0"/>
                <w:i w:val="0"/>
                <w:color w:val="000000"/>
                <w:sz w:val="17"/>
              </w:rPr>
              <w:t>0.295</w:t>
            </w:r>
          </w:p>
        </w:tc>
        <w:tc>
          <w:tcPr>
            <w:tcW w:type="dxa" w:w="1584"/>
          </w:tcPr>
          <w:p>
            <w:pPr>
              <w:spacing w:line="276" w:lineRule="auto"/>
              <w:jc w:val="center"/>
            </w:pPr>
            <w:r>
              <w:rPr>
                <w:rFonts w:ascii="Times New Roman" w:hAnsi="Times New Roman" w:eastAsia="Times New Roman"/>
                <w:b w:val="0"/>
                <w:i w:val="0"/>
                <w:color w:val="000000"/>
                <w:sz w:val="17"/>
              </w:rPr>
              <w:t>—</w:t>
            </w:r>
          </w:p>
        </w:tc>
      </w:tr>
      <w:tr>
        <w:tc>
          <w:tcPr>
            <w:tcW w:type="dxa" w:w="2304"/>
          </w:tcPr>
          <w:p>
            <w:pPr>
              <w:spacing w:line="276" w:lineRule="auto"/>
              <w:jc w:val="left"/>
            </w:pPr>
            <w:r>
              <w:rPr>
                <w:rFonts w:ascii="Times New Roman" w:hAnsi="Times New Roman" w:eastAsia="Times New Roman"/>
                <w:b w:val="0"/>
                <w:i w:val="0"/>
                <w:color w:val="000000"/>
                <w:sz w:val="17"/>
              </w:rPr>
              <w:t>PAC-RL</w:t>
            </w:r>
          </w:p>
        </w:tc>
        <w:tc>
          <w:tcPr>
            <w:tcW w:type="dxa" w:w="1728"/>
          </w:tcPr>
          <w:p>
            <w:pPr>
              <w:spacing w:line="276" w:lineRule="auto"/>
              <w:jc w:val="center"/>
            </w:pPr>
            <w:r>
              <w:rPr>
                <w:rFonts w:ascii="Times New Roman" w:hAnsi="Times New Roman" w:eastAsia="Times New Roman"/>
                <w:b w:val="0"/>
                <w:i w:val="0"/>
                <w:color w:val="000000"/>
                <w:sz w:val="17"/>
              </w:rPr>
              <w:t>0.056</w:t>
            </w:r>
          </w:p>
        </w:tc>
        <w:tc>
          <w:tcPr>
            <w:tcW w:type="dxa" w:w="1728"/>
          </w:tcPr>
          <w:p>
            <w:pPr>
              <w:spacing w:line="276" w:lineRule="auto"/>
              <w:jc w:val="center"/>
            </w:pPr>
            <w:r>
              <w:rPr>
                <w:rFonts w:ascii="Times New Roman" w:hAnsi="Times New Roman" w:eastAsia="Times New Roman"/>
                <w:b w:val="0"/>
                <w:i w:val="0"/>
                <w:color w:val="000000"/>
                <w:sz w:val="17"/>
              </w:rPr>
              <w:t>0.090</w:t>
            </w:r>
          </w:p>
        </w:tc>
        <w:tc>
          <w:tcPr>
            <w:tcW w:type="dxa" w:w="1584"/>
          </w:tcPr>
          <w:p>
            <w:pPr>
              <w:spacing w:line="276" w:lineRule="auto"/>
              <w:jc w:val="center"/>
            </w:pPr>
            <w:r>
              <w:rPr>
                <w:rFonts w:ascii="Times New Roman" w:hAnsi="Times New Roman" w:eastAsia="Times New Roman"/>
                <w:b w:val="0"/>
                <w:i w:val="0"/>
                <w:color w:val="000000"/>
                <w:sz w:val="17"/>
              </w:rPr>
              <w:t>-69%</w:t>
            </w:r>
          </w:p>
        </w:tc>
      </w:tr>
    </w:tbl>
    <w:p>
      <w:pPr>
        <w:spacing w:after="40"/>
      </w:pPr>
    </w:p>
    <w:p>
      <w:pPr>
        <w:spacing w:line="312" w:lineRule="auto" w:before="200" w:after="80"/>
      </w:pPr>
      <w:r>
        <w:rPr>
          <w:rFonts w:ascii="Times New Roman" w:hAnsi="Times New Roman" w:eastAsia="Times New Roman"/>
          <w:b/>
          <w:i w:val="0"/>
          <w:color w:val="000000"/>
          <w:sz w:val="23"/>
        </w:rPr>
        <w:t>6.3  How does the residual act?</w:t>
      </w:r>
    </w:p>
    <w:p>
      <w:pPr>
        <w:spacing w:line="312" w:lineRule="auto" w:after="120"/>
        <w:jc w:val="both"/>
      </w:pPr>
      <w:r>
        <w:rPr>
          <w:rFonts w:ascii="Times New Roman" w:hAnsi="Times New Roman" w:eastAsia="Times New Roman"/>
          <w:b w:val="0"/>
          <w:i w:val="0"/>
          <w:color w:val="000000"/>
          <w:sz w:val="22"/>
        </w:rPr>
        <w:t>The mechanism is visible in Fig. 5b. Within seconds of degraded-thruster onset, the supervised policy drives α above 0.9 and oscillates there for much of the episode (31.2% of steps above 0.9; standard deviation 0.331); the residual policy never exceeds 0.69 and holds [0.4, 0.6] on 97.0% of steps. The residual has not learned a new schedule—it has learned to veto the supervisor's excursions. We read this as conservatism under distribution shift, a single-family observation we do not extrapolate.</w:t>
      </w:r>
    </w:p>
    <w:p>
      <w:pPr>
        <w:keepNext/>
        <w:spacing w:before="160"/>
        <w:jc w:val="center"/>
      </w:pPr>
      <w:r>
        <w:drawing>
          <wp:inline xmlns:a="http://schemas.openxmlformats.org/drawingml/2006/main" xmlns:pic="http://schemas.openxmlformats.org/drawingml/2006/picture">
            <wp:extent cx="5760720" cy="3144438"/>
            <wp:docPr id="5" name="Picture 5"/>
            <wp:cNvGraphicFramePr>
              <a:graphicFrameLocks noChangeAspect="1"/>
            </wp:cNvGraphicFramePr>
            <a:graphic>
              <a:graphicData uri="http://schemas.openxmlformats.org/drawingml/2006/picture">
                <pic:pic>
                  <pic:nvPicPr>
                    <pic:cNvPr id="0" name="fig5_actuator_case.png"/>
                    <pic:cNvPicPr/>
                  </pic:nvPicPr>
                  <pic:blipFill>
                    <a:blip r:embed="rId15"/>
                    <a:stretch>
                      <a:fillRect/>
                    </a:stretch>
                  </pic:blipFill>
                  <pic:spPr>
                    <a:xfrm>
                      <a:off x="0" y="0"/>
                      <a:ext cx="5760720" cy="3144438"/>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5. </w:t>
      </w:r>
      <w:r>
        <w:rPr>
          <w:rFonts w:ascii="Times New Roman" w:hAnsi="Times New Roman" w:eastAsia="Times New Roman"/>
          <w:b w:val="0"/>
          <w:i w:val="0"/>
          <w:color w:val="000000"/>
          <w:sz w:val="18"/>
        </w:rPr>
        <w:t>Actuator-degradation episode (held-out seed 43000, fixed before inspection; family means superposed as text). (a) Position error. (b) Authority coefficient. Family-mean coefficients: 0.63 (PAC-S) versus 0.50 (PAC-RL).</w:t>
      </w:r>
    </w:p>
    <w:p>
      <w:pPr>
        <w:spacing w:line="312" w:lineRule="auto" w:before="200" w:after="80"/>
      </w:pPr>
      <w:r>
        <w:rPr>
          <w:rFonts w:ascii="Times New Roman" w:hAnsi="Times New Roman" w:eastAsia="Times New Roman"/>
          <w:b/>
          <w:i w:val="0"/>
          <w:color w:val="000000"/>
          <w:sz w:val="23"/>
        </w:rPr>
        <w:t>6.4  The price of the gain</w:t>
      </w:r>
    </w:p>
    <w:p>
      <w:pPr>
        <w:spacing w:line="312" w:lineRule="auto" w:after="120"/>
        <w:jc w:val="both"/>
      </w:pPr>
      <w:r>
        <w:rPr>
          <w:rFonts w:ascii="Times New Roman" w:hAnsi="Times New Roman" w:eastAsia="Times New Roman"/>
          <w:b w:val="0"/>
          <w:i w:val="0"/>
          <w:color w:val="000000"/>
          <w:sz w:val="22"/>
        </w:rPr>
        <w:t>Two costs accompany the OOD gain. In-distribution position and heading error increase as quantified above. And the solver deadline-miss fraction—steps on which the harness MPC instance exceeds the 10 ms period, measured identically for every method—rises from a common 0.69 baseline to 0.80 under PAC-RL (+0.107 [+0.094, +0.120] OOD; +0.028 [+0.010, +0.047] ID). The constant blend leaves the metric unchanged, so the coefficient value itself is not the cause; a candidate explanation is trajectory-dependent solver conditioning, flagged as a hypothesis rather than a conclusion. Deployed safeguards are unaffected: fallback to the previous plan triggers on 0.3–0.5% of steps for all methods, success at the one-metre threshold is unchanged (0.988 ID / 0.943 OOD), and OOD maximum error improves.</w:t>
      </w:r>
    </w:p>
    <w:p>
      <w:pPr>
        <w:keepNext/>
        <w:spacing w:before="160"/>
        <w:jc w:val="center"/>
      </w:pPr>
      <w:r>
        <w:drawing>
          <wp:inline xmlns:a="http://schemas.openxmlformats.org/drawingml/2006/main" xmlns:pic="http://schemas.openxmlformats.org/drawingml/2006/picture">
            <wp:extent cx="5760720" cy="2206662"/>
            <wp:docPr id="6" name="Picture 6"/>
            <wp:cNvGraphicFramePr>
              <a:graphicFrameLocks noChangeAspect="1"/>
            </wp:cNvGraphicFramePr>
            <a:graphic>
              <a:graphicData uri="http://schemas.openxmlformats.org/drawingml/2006/picture">
                <pic:pic>
                  <pic:nvPicPr>
                    <pic:cNvPr id="0" name="fig6_cost_tradeoff.png"/>
                    <pic:cNvPicPr/>
                  </pic:nvPicPr>
                  <pic:blipFill>
                    <a:blip r:embed="rId16"/>
                    <a:stretch>
                      <a:fillRect/>
                    </a:stretch>
                  </pic:blipFill>
                  <pic:spPr>
                    <a:xfrm>
                      <a:off x="0" y="0"/>
                      <a:ext cx="5760720" cy="2206662"/>
                    </a:xfrm>
                    <a:prstGeom prst="rect"/>
                  </pic:spPr>
                </pic:pic>
              </a:graphicData>
            </a:graphic>
          </wp:inline>
        </w:drawing>
      </w:r>
    </w:p>
    <w:p>
      <w:pPr>
        <w:spacing w:after="200"/>
        <w:jc w:val="both"/>
      </w:pPr>
      <w:r>
        <w:rPr>
          <w:rFonts w:ascii="Times New Roman" w:hAnsi="Times New Roman" w:eastAsia="Times New Roman"/>
          <w:b/>
          <w:i w:val="0"/>
          <w:color w:val="000000"/>
          <w:sz w:val="18"/>
        </w:rPr>
        <w:t xml:space="preserve">Figure 6. </w:t>
      </w:r>
      <w:r>
        <w:rPr>
          <w:rFonts w:ascii="Times New Roman" w:hAnsi="Times New Roman" w:eastAsia="Times New Roman"/>
          <w:b w:val="0"/>
          <w:i w:val="0"/>
          <w:color w:val="000000"/>
          <w:sz w:val="18"/>
        </w:rPr>
        <w:t>Cost accounting. OOD RMSE versus solver deadline-miss fraction for every method-seed combination; the metric counts steps on which the shared-harness MPC instance exceeds the 10 ms period, collected identically for all methods. Shaded band: common baseline level (0.69; SMC / MPC / Fixed α / SSPO).</w:t>
      </w:r>
    </w:p>
    <w:p>
      <w:pPr>
        <w:spacing w:line="312" w:lineRule="auto" w:after="120"/>
        <w:jc w:val="both"/>
      </w:pPr>
      <w:r>
        <w:rPr>
          <w:rFonts w:ascii="Times New Roman" w:hAnsi="Times New Roman" w:eastAsia="Times New Roman"/>
          <w:b w:val="0"/>
          <w:i w:val="0"/>
          <w:color w:val="000000"/>
          <w:sz w:val="22"/>
        </w:rPr>
        <w:t>Against the six registered criteria concerning the residual stage, three pass (gains not purchased with heading, saturation, or constraint violations; ablation separability; stable direction across five seeds), two fail (overall non-inferiority, through the in-distribution +0.4% effect; deadline-miss non-worsening), and one—deployment inference time within the control period—was not evaluated and is the first gate of the hardware stage. The criteria are translated verbatim from the registered Chinese original.</w:t>
      </w:r>
    </w:p>
    <w:p>
      <w:pPr>
        <w:spacing w:line="312" w:lineRule="auto" w:before="280" w:after="120"/>
      </w:pPr>
      <w:r>
        <w:rPr>
          <w:rFonts w:ascii="Times New Roman" w:hAnsi="Times New Roman" w:eastAsia="Times New Roman"/>
          <w:b/>
          <w:i w:val="0"/>
          <w:color w:val="000000"/>
          <w:sz w:val="26"/>
        </w:rPr>
        <w:t>7  Limitations and Discussion</w:t>
      </w:r>
    </w:p>
    <w:p>
      <w:pPr>
        <w:spacing w:line="312" w:lineRule="auto" w:after="120"/>
        <w:jc w:val="both"/>
      </w:pPr>
      <w:r>
        <w:rPr>
          <w:rFonts w:ascii="Times New Roman" w:hAnsi="Times New Roman" w:eastAsia="Times New Roman"/>
          <w:b w:val="0"/>
          <w:i w:val="0"/>
          <w:color w:val="000000"/>
          <w:sz w:val="22"/>
        </w:rPr>
        <w:t>The central result is that a two-thousand-parameter residual, acting only on a bounded authority coefficient, converts a supervised arbitration policy that fails under distribution shift into one that matches a strong constant blend overall and exceeds it mainly where adaptation is hardest. The safety argument is architectural: zero initialization guarantees numerical equivalence to the deployed baseline at deployment, bounded output limits every perturbation, and fixed fallbacks bound the worst case by the baseline itself. This positions the contribution against residual reinforcement learning [5], which perturbs actuator commands, and learned safety filters [11], which place a learned component in the safety path.</w:t>
      </w:r>
    </w:p>
    <w:p>
      <w:pPr>
        <w:spacing w:line="312" w:lineRule="auto" w:after="120"/>
        <w:jc w:val="both"/>
      </w:pPr>
      <w:r>
        <w:rPr>
          <w:rFonts w:ascii="Times New Roman" w:hAnsi="Times New Roman" w:eastAsia="Times New Roman"/>
          <w:b w:val="0"/>
          <w:i w:val="0"/>
          <w:color w:val="000000"/>
          <w:sz w:val="22"/>
        </w:rPr>
        <w:t>Six boundaries qualify these claims. First, all evidence is simulation-level. Second, the feature set receives exact current information, which hardware must estimate. Third, out-of-distribution means disturbance-family sampling, not arbitrary field conditions. Fourth, in-distribution non-inferiority failed (+0.4% position, +4.3% heading). Fifth, the deadline-miss increase (+0.107) has no established cause. Sixth, deployment latency of the composite policy is unmeasured.</w:t>
      </w:r>
    </w:p>
    <w:p>
      <w:pPr>
        <w:spacing w:line="312" w:lineRule="auto" w:after="120"/>
        <w:jc w:val="both"/>
      </w:pPr>
      <w:r>
        <w:rPr>
          <w:rFonts w:ascii="Times New Roman" w:hAnsi="Times New Roman" w:eastAsia="Times New Roman"/>
          <w:b w:val="0"/>
          <w:i w:val="0"/>
          <w:color w:val="000000"/>
          <w:sz w:val="22"/>
        </w:rPr>
        <w:t>These boundaries define the next experiments: a second residual round with the final encoder block unfrozen under a registered rule targeting the in-distribution effect; isolation of the deadline mechanism; and the hardware protocol of Section 8.</w:t>
      </w:r>
    </w:p>
    <w:p>
      <w:pPr>
        <w:spacing w:line="312" w:lineRule="auto" w:before="280" w:after="120"/>
      </w:pPr>
      <w:r>
        <w:rPr>
          <w:rFonts w:ascii="Times New Roman" w:hAnsi="Times New Roman" w:eastAsia="Times New Roman"/>
          <w:b/>
          <w:i w:val="0"/>
          <w:color w:val="000000"/>
          <w:sz w:val="26"/>
        </w:rPr>
        <w:t>8  Planned Hardware Validation</w:t>
      </w:r>
    </w:p>
    <w:p>
      <w:pPr>
        <w:spacing w:line="312" w:lineRule="auto" w:after="120"/>
        <w:jc w:val="both"/>
      </w:pPr>
      <w:r>
        <w:rPr>
          <w:rFonts w:ascii="Times New Roman" w:hAnsi="Times New Roman" w:eastAsia="Times New Roman"/>
          <w:b w:val="0"/>
          <w:i w:val="0"/>
          <w:color w:val="000000"/>
          <w:sz w:val="22"/>
        </w:rPr>
        <w:t>The paper is not submission-ready without physical experiments. The planned study deploys the same SMC, MPC expert, PAC-S, and PAC-RL checkpoints on the 10-kg six-thruster vehicle. The protocol includes at least ten independent trials per method and disturbance condition, randomized controller order, a fixed battery-voltage acceptance window, and identical trajectory and actuator limits. Disturbances progress from quiescent water to steady cross-flow, a repeatable step-like disturbance from a tethered pull or calibrated flow source, and—specific to this paper's claims—an injected actuator-degradation condition realized by a validated first-order command lag plus noise on a subset of thrusters.</w:t>
      </w:r>
    </w:p>
    <w:p>
      <w:pPr>
        <w:spacing w:line="312" w:lineRule="auto" w:after="120"/>
        <w:jc w:val="both"/>
      </w:pPr>
      <w:r>
        <w:rPr>
          <w:rFonts w:ascii="Times New Roman" w:hAnsi="Times New Roman" w:eastAsia="Times New Roman"/>
          <w:b w:val="0"/>
          <w:i w:val="0"/>
          <w:color w:val="000000"/>
          <w:sz w:val="22"/>
        </w:rPr>
        <w:t>The onboard estimator must provide pose, body velocity, and a causal current estimate from IMU, depth, DVL, and localization; the exact simulator current must not be exposed. Beyond position and attitude RMSE, the hardware section reports maximum error, success rate, measured electrical energy, per-step inference latency, end-to-end control-loop latency (the unevaluated criterion), saturation duration, and emergency interventions. Placeholder items (platform dimensions, sensor suite, test-site calibration, trial counts) must be filled with measured values only; they must not be replaced with simulated or expected data.</w:t>
      </w:r>
    </w:p>
    <w:p>
      <w:pPr>
        <w:spacing w:line="312" w:lineRule="auto" w:before="280" w:after="120"/>
      </w:pPr>
      <w:r>
        <w:rPr>
          <w:rFonts w:ascii="Times New Roman" w:hAnsi="Times New Roman" w:eastAsia="Times New Roman"/>
          <w:b/>
          <w:i w:val="0"/>
          <w:color w:val="000000"/>
          <w:sz w:val="26"/>
        </w:rPr>
        <w:t>9  Conclusion</w:t>
      </w:r>
    </w:p>
    <w:p>
      <w:pPr>
        <w:spacing w:line="312" w:lineRule="auto" w:after="120"/>
        <w:jc w:val="both"/>
      </w:pPr>
      <w:r>
        <w:rPr>
          <w:rFonts w:ascii="Times New Roman" w:hAnsi="Times New Roman" w:eastAsia="Times New Roman"/>
          <w:b w:val="0"/>
          <w:i w:val="0"/>
          <w:color w:val="000000"/>
          <w:sz w:val="22"/>
        </w:rPr>
        <w:t>PAC reframes learned underwater control as a trust question between structured controllers, and the residual stage repairs that trust under distribution shift: the OOD tracking error falls by 28% with intervals excluding zero at both seed and episode level, the degradation failure of the optimizer is confined to 0.090 m, and every cost is measured against criteria fixed before training. The learned component remains bounded, auditable as a single coefficient trajectory, and worst-case equivalent to the deployed baseline. Hardware validation, causal current estimation, latency measurement, and stability analysis of the time-varying blend remain required before any fielded-robustness claim.</w:t>
      </w:r>
    </w:p>
    <w:p>
      <w:pPr>
        <w:spacing w:line="312" w:lineRule="auto" w:before="280" w:after="120"/>
      </w:pPr>
      <w:r>
        <w:rPr>
          <w:rFonts w:ascii="Times New Roman" w:hAnsi="Times New Roman" w:eastAsia="Times New Roman"/>
          <w:b/>
          <w:i w:val="0"/>
          <w:color w:val="000000"/>
          <w:sz w:val="26"/>
        </w:rPr>
        <w:t>Data Availability</w:t>
      </w:r>
    </w:p>
    <w:p>
      <w:pPr>
        <w:spacing w:line="312" w:lineRule="auto" w:after="120"/>
        <w:jc w:val="both"/>
      </w:pPr>
      <w:r>
        <w:rPr>
          <w:rFonts w:ascii="Times New Roman" w:hAnsi="Times New Roman" w:eastAsia="Times New Roman"/>
          <w:b w:val="0"/>
          <w:i w:val="0"/>
          <w:color w:val="000000"/>
          <w:sz w:val="22"/>
        </w:rPr>
        <w:t>All reported quantities derive from hash-frozen archives (configuration, dataset, and checkpoint digests with per-file checksums) covering the supervised and residual training stages and the paired evaluation. Source data for every figure and table are regenerated from these archives by the repository build scripts; the trajectory figures replay the archived episodes deterministically from the frozen checkpoints.</w:t>
      </w:r>
    </w:p>
    <w:p>
      <w:pPr>
        <w:spacing w:line="312" w:lineRule="auto" w:before="280" w:after="120"/>
      </w:pPr>
      <w:r>
        <w:rPr>
          <w:rFonts w:ascii="Times New Roman" w:hAnsi="Times New Roman" w:eastAsia="Times New Roman"/>
          <w:b/>
          <w:i w:val="0"/>
          <w:color w:val="000000"/>
          <w:sz w:val="26"/>
        </w:rPr>
        <w:t>References</w:t>
      </w:r>
    </w:p>
    <w:p>
      <w:pPr>
        <w:spacing w:line="312" w:lineRule="auto" w:after="60"/>
        <w:ind w:left="425" w:hanging="425"/>
      </w:pPr>
      <w:r>
        <w:rPr>
          <w:rFonts w:ascii="Times New Roman" w:hAnsi="Times New Roman" w:eastAsia="Times New Roman"/>
          <w:b w:val="0"/>
          <w:i w:val="0"/>
          <w:color w:val="000000"/>
          <w:sz w:val="19"/>
        </w:rPr>
        <w:t>[1]  T. I. Fossen, Handbook of Marine Craft Hydrodynamics and Motion Control, 2nd ed. Wiley, 2021.</w:t>
      </w:r>
    </w:p>
    <w:p>
      <w:pPr>
        <w:spacing w:line="312" w:lineRule="auto" w:after="60"/>
        <w:ind w:left="425" w:hanging="425"/>
      </w:pPr>
      <w:r>
        <w:rPr>
          <w:rFonts w:ascii="Times New Roman" w:hAnsi="Times New Roman" w:eastAsia="Times New Roman"/>
          <w:b w:val="0"/>
          <w:i w:val="0"/>
          <w:color w:val="000000"/>
          <w:sz w:val="19"/>
        </w:rPr>
        <w:t>[2]  G. Antonelli, Underwater Robots: Motion and Force Control of Vehicle-Manipulator Systems, 3rd ed. Springer, 2014.</w:t>
      </w:r>
    </w:p>
    <w:p>
      <w:pPr>
        <w:spacing w:line="312" w:lineRule="auto" w:after="60"/>
        <w:ind w:left="425" w:hanging="425"/>
      </w:pPr>
      <w:r>
        <w:rPr>
          <w:rFonts w:ascii="Times New Roman" w:hAnsi="Times New Roman" w:eastAsia="Times New Roman"/>
          <w:b w:val="0"/>
          <w:i w:val="0"/>
          <w:color w:val="000000"/>
          <w:sz w:val="19"/>
        </w:rPr>
        <w:t>[3]  E. F. Camacho and C. Bordons Alba, Model Predictive Control, 2nd ed. Springer, 2013.</w:t>
      </w:r>
    </w:p>
    <w:p>
      <w:pPr>
        <w:spacing w:line="312" w:lineRule="auto" w:after="60"/>
        <w:ind w:left="425" w:hanging="425"/>
      </w:pPr>
      <w:r>
        <w:rPr>
          <w:rFonts w:ascii="Times New Roman" w:hAnsi="Times New Roman" w:eastAsia="Times New Roman"/>
          <w:b w:val="0"/>
          <w:i w:val="0"/>
          <w:color w:val="000000"/>
          <w:sz w:val="19"/>
        </w:rPr>
        <w:t>[4]  L. Hewing, K. P. Wabersich, M. Menner, and M. N. Zeilinger, “Learning-based model predictive control: Toward safe learning in control,” Annual Review of Control, Robotics, and Autonomous Systems, vol. 3, pp. 269–296, 2020.</w:t>
      </w:r>
    </w:p>
    <w:p>
      <w:pPr>
        <w:spacing w:line="312" w:lineRule="auto" w:after="60"/>
        <w:ind w:left="425" w:hanging="425"/>
      </w:pPr>
      <w:r>
        <w:rPr>
          <w:rFonts w:ascii="Times New Roman" w:hAnsi="Times New Roman" w:eastAsia="Times New Roman"/>
          <w:b w:val="0"/>
          <w:i w:val="0"/>
          <w:color w:val="000000"/>
          <w:sz w:val="19"/>
        </w:rPr>
        <w:t>[5]  T. Johannink et al., “Residual reinforcement learning for robot control,” in Proc. IEEE ICRA, 2019, pp. 6023–6029.</w:t>
      </w:r>
    </w:p>
    <w:p>
      <w:pPr>
        <w:spacing w:line="312" w:lineRule="auto" w:after="60"/>
        <w:ind w:left="425" w:hanging="425"/>
      </w:pPr>
      <w:r>
        <w:rPr>
          <w:rFonts w:ascii="Times New Roman" w:hAnsi="Times New Roman" w:eastAsia="Times New Roman"/>
          <w:b w:val="0"/>
          <w:i w:val="0"/>
          <w:color w:val="000000"/>
          <w:sz w:val="19"/>
        </w:rPr>
        <w:t>[6]  A. Romero, Y. Song, and D. Scaramuzza, “Actor-critic model predictive control,” in Proc. IEEE ICRA, 2024, pp. 14777–14784.</w:t>
      </w:r>
    </w:p>
    <w:p>
      <w:pPr>
        <w:spacing w:line="312" w:lineRule="auto" w:after="60"/>
        <w:ind w:left="425" w:hanging="425"/>
      </w:pPr>
      <w:r>
        <w:rPr>
          <w:rFonts w:ascii="Times New Roman" w:hAnsi="Times New Roman" w:eastAsia="Times New Roman"/>
          <w:b w:val="0"/>
          <w:i w:val="0"/>
          <w:color w:val="000000"/>
          <w:sz w:val="19"/>
        </w:rPr>
        <w:t>[7]  K. Nguyen, S. Schoedel, A. Alavilli, B. Plancher, and Z. Manchester, “TinyMPC: Model-predictive control on resource-constrained microcontrollers,” in Proc. IEEE ICRA, 2024.</w:t>
      </w:r>
    </w:p>
    <w:p>
      <w:pPr>
        <w:spacing w:line="312" w:lineRule="auto" w:after="60"/>
        <w:ind w:left="425" w:hanging="425"/>
      </w:pPr>
      <w:r>
        <w:rPr>
          <w:rFonts w:ascii="Times New Roman" w:hAnsi="Times New Roman" w:eastAsia="Times New Roman"/>
          <w:b w:val="0"/>
          <w:i w:val="0"/>
          <w:color w:val="000000"/>
          <w:sz w:val="19"/>
        </w:rPr>
        <w:t>[8]  L. Cai, K. Chang, and Y. Girdhar, “Learning to swim: Reinforcement learning for 6-DOF control of thruster-driven autonomous underwater vehicles,” in Proc. IEEE ICRA, 2025, pp. 11286–11293.</w:t>
      </w:r>
    </w:p>
    <w:p>
      <w:pPr>
        <w:spacing w:line="312" w:lineRule="auto" w:after="60"/>
        <w:ind w:left="425" w:hanging="425"/>
      </w:pPr>
      <w:r>
        <w:rPr>
          <w:rFonts w:ascii="Times New Roman" w:hAnsi="Times New Roman" w:eastAsia="Times New Roman"/>
          <w:b w:val="0"/>
          <w:i w:val="0"/>
          <w:color w:val="000000"/>
          <w:sz w:val="19"/>
        </w:rPr>
        <w:t>[9]  X. Lin et al., “UIVNAV: Underwater information-driven vision-based navigation via imitation learning,” in Proc. IEEE ICRA, 2024, pp. 5250–5256.</w:t>
      </w:r>
    </w:p>
    <w:p>
      <w:pPr>
        <w:spacing w:line="312" w:lineRule="auto" w:after="60"/>
        <w:ind w:left="425" w:hanging="425"/>
      </w:pPr>
      <w:r>
        <w:rPr>
          <w:rFonts w:ascii="Times New Roman" w:hAnsi="Times New Roman" w:eastAsia="Times New Roman"/>
          <w:b w:val="0"/>
          <w:i w:val="0"/>
          <w:color w:val="000000"/>
          <w:sz w:val="19"/>
        </w:rPr>
        <w:t>[10]  Y. Fan, H. Dong, X. Zhao, and P. Denissenko, “Path-following control of unmanned underwater vehicle based on an improved TD3 deep reinforcement learning,” IEEE Trans. Control Systems Technology, vol. 32, no. 5, pp. 1904–1919, 2024.</w:t>
      </w:r>
    </w:p>
    <w:p>
      <w:pPr>
        <w:spacing w:line="312" w:lineRule="auto" w:after="60"/>
        <w:ind w:left="425" w:hanging="425"/>
      </w:pPr>
      <w:r>
        <w:rPr>
          <w:rFonts w:ascii="Times New Roman" w:hAnsi="Times New Roman" w:eastAsia="Times New Roman"/>
          <w:b w:val="0"/>
          <w:i w:val="0"/>
          <w:color w:val="000000"/>
          <w:sz w:val="19"/>
        </w:rPr>
        <w:t>[11]  O. So et al., “How to train your neural control barrier function: Learning safety filters for complex input-constrained systems,” in Proc. IEEE ICRA, 2024, pp. 11532–11539.</w:t>
      </w:r>
    </w:p>
    <w:p>
      <w:pPr>
        <w:spacing w:line="312" w:lineRule="auto" w:after="60"/>
        <w:ind w:left="425" w:hanging="425"/>
      </w:pPr>
      <w:r>
        <w:rPr>
          <w:rFonts w:ascii="Times New Roman" w:hAnsi="Times New Roman" w:eastAsia="Times New Roman"/>
          <w:b w:val="0"/>
          <w:i w:val="0"/>
          <w:color w:val="000000"/>
          <w:sz w:val="19"/>
        </w:rPr>
        <w:t>[12]  A. Vaswani et al., “Attention is all you need,” in Advances in Neural Information Processing Systems, vol. 30, 2017, pp. 5998–6008.</w:t>
      </w:r>
    </w:p>
    <w:p>
      <w:pPr>
        <w:spacing w:line="312" w:lineRule="auto" w:after="60"/>
        <w:ind w:left="425" w:hanging="425"/>
      </w:pPr>
      <w:r>
        <w:rPr>
          <w:rFonts w:ascii="Times New Roman" w:hAnsi="Times New Roman" w:eastAsia="Times New Roman"/>
          <w:b w:val="0"/>
          <w:i w:val="0"/>
          <w:color w:val="000000"/>
          <w:sz w:val="19"/>
        </w:rPr>
        <w:t>[13]  L. Chen et al., “Decision Transformer: Reinforcement learning via sequence modeling,” in Advances in Neural Information Processing Systems, vol. 34, 2021, pp. 15084–15097.</w:t>
      </w:r>
    </w:p>
    <w:p>
      <w:pPr>
        <w:spacing w:line="312" w:lineRule="auto" w:after="60"/>
        <w:ind w:left="425" w:hanging="425"/>
      </w:pPr>
      <w:r>
        <w:rPr>
          <w:rFonts w:ascii="Times New Roman" w:hAnsi="Times New Roman" w:eastAsia="Times New Roman"/>
          <w:b w:val="0"/>
          <w:i w:val="0"/>
          <w:color w:val="000000"/>
          <w:sz w:val="19"/>
        </w:rPr>
        <w:t>[14]  M. Janner, Q. Li, and S. Levine, “Offline reinforcement learning as one big sequence modeling problem,” in Advances in Neural Information Processing Systems, vol. 34, 2021, pp. 1273–1286.</w:t>
      </w:r>
    </w:p>
    <w:p>
      <w:pPr>
        <w:spacing w:line="312" w:lineRule="auto" w:after="60"/>
        <w:ind w:left="425" w:hanging="425"/>
      </w:pPr>
      <w:r>
        <w:rPr>
          <w:rFonts w:ascii="Times New Roman" w:hAnsi="Times New Roman" w:eastAsia="Times New Roman"/>
          <w:b w:val="0"/>
          <w:i w:val="0"/>
          <w:color w:val="000000"/>
          <w:sz w:val="19"/>
        </w:rPr>
        <w:t>[15]  C. Chi et al., “Diffusion policy: Visuomotor policy learning via action diffusion,” in Robotics: Science and Systems, 2023.</w:t>
      </w:r>
    </w:p>
    <w:p>
      <w:pPr>
        <w:spacing w:line="312" w:lineRule="auto" w:after="60"/>
        <w:ind w:left="425" w:hanging="425"/>
      </w:pPr>
      <w:r>
        <w:rPr>
          <w:rFonts w:ascii="Times New Roman" w:hAnsi="Times New Roman" w:eastAsia="Times New Roman"/>
          <w:b w:val="0"/>
          <w:i w:val="0"/>
          <w:color w:val="000000"/>
          <w:sz w:val="19"/>
        </w:rPr>
        <w:t>[16]  D. Liberzon, Switching in Systems and Control. Birkhäuser, 2003.</w:t>
      </w:r>
    </w:p>
    <w:p>
      <w:pPr>
        <w:spacing w:line="312" w:lineRule="auto" w:after="60"/>
        <w:ind w:left="425" w:hanging="425"/>
      </w:pPr>
      <w:r>
        <w:rPr>
          <w:rFonts w:ascii="Times New Roman" w:hAnsi="Times New Roman" w:eastAsia="Times New Roman"/>
          <w:b w:val="0"/>
          <w:i w:val="0"/>
          <w:color w:val="000000"/>
          <w:sz w:val="19"/>
        </w:rPr>
        <w:t>[17]  Z. Zhao, X. Liu, T. Wang, Z. Zhou, and M. Zhang, “Hybrid control scheme of nonlinear model prediction and adaptive terminal sliding mode for underwater vehicles based on threshold switching,” ISA Transactions, vol. 176, pp. 580–590, 2026.</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 arabic \* MERGEFORMAT">
      <w:r>
        <w:rPr>
          <w:sz w:val="18"/>
          <w:color w:val="808080"/>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eastAsia="Times New Roman"/>
        <w:b w:val="0"/>
        <w:i w:val="0"/>
        <w:color w:val="606060"/>
        <w:sz w:val="18"/>
      </w:rPr>
      <w:t>Predictive Authority Control for Autonomous Underwater Vehicles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