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黑体"/>
          <w:b/>
          <w:sz w:val="30"/>
        </w:rPr>
        <w:t>机器人 / 人工智能 / 具身智能领域前五期刊会议</w:t>
      </w:r>
    </w:p>
    <w:p>
      <w:pPr>
        <w:spacing w:after="120"/>
        <w:jc w:val="center"/>
      </w:pPr>
      <w:r>
        <w:rPr>
          <w:rFonts w:ascii="Times New Roman" w:hAnsi="Times New Roman" w:eastAsia="黑体"/>
          <w:b/>
          <w:sz w:val="30"/>
        </w:rPr>
        <w:t>20 篇代表性论文阅读记录</w:t>
      </w:r>
    </w:p>
    <w:p>
      <w:pPr>
        <w:spacing w:after="280"/>
        <w:jc w:val="center"/>
      </w:pPr>
      <w:r>
        <w:rPr>
          <w:rFonts w:ascii="Times New Roman" w:hAnsi="Times New Roman" w:eastAsia="楷体"/>
          <w:b w:val="0"/>
          <w:color w:val="606060"/>
          <w:sz w:val="20"/>
        </w:rPr>
        <w:t>建档日期：2026-09-23　｜　用途：开题报告 v2 摘要与综述写作风格校准</w:t>
      </w:r>
    </w:p>
    <w:p>
      <w:pPr>
        <w:spacing w:line="360" w:lineRule="auto"/>
        <w:ind w:firstLine="420"/>
      </w:pPr>
      <w:r>
        <w:rPr>
          <w:rFonts w:ascii="Times New Roman" w:hAnsi="Times New Roman" w:eastAsia="宋体"/>
          <w:b w:val="0"/>
          <w:sz w:val="21"/>
        </w:rPr>
        <w:t>说明：本记录为开题报告摘要修订的配套阅读档案，逐篇给出经检索核实的题录与摘要要点、写作风格提炼，以及与开题报告正文的关联（其中 12 篇即开题报告参考文献）。阅读重点不是技术内容本身，而是顶刊顶会摘要与引言的叙事结构、量化表述与措辞纪律。</w:t>
      </w:r>
    </w:p>
    <w:p>
      <w:pPr>
        <w:spacing w:before="280" w:after="160"/>
      </w:pPr>
      <w:r>
        <w:rPr>
          <w:rFonts w:ascii="Times New Roman" w:hAnsi="Times New Roman" w:eastAsia="黑体"/>
          <w:b/>
          <w:sz w:val="28"/>
        </w:rPr>
        <w:t>一、Science Robotics / Nature（科学级旗舰，5 篇）</w:t>
      </w:r>
    </w:p>
    <w:p>
      <w:pPr>
        <w:spacing w:before="180" w:after="40" w:line="336" w:lineRule="auto"/>
      </w:pPr>
      <w:r>
        <w:rPr>
          <w:rFonts w:ascii="Times New Roman" w:hAnsi="Times New Roman" w:eastAsia="黑体"/>
          <w:b/>
          <w:sz w:val="21"/>
        </w:rPr>
        <w:t>1. Autonomous robotic organizations for marine operations</w:t>
      </w:r>
      <w:r>
        <w:rPr>
          <w:rFonts w:ascii="Times New Roman" w:hAnsi="Times New Roman" w:eastAsia="楷体"/>
          <w:b w:val="0"/>
          <w:color w:val="7F7F7F"/>
          <w:sz w:val="18"/>
        </w:rPr>
        <w:t xml:space="preserve">　（开题报告引用 [1]）</w:t>
      </w:r>
    </w:p>
    <w:p>
      <w:pPr>
        <w:spacing w:line="336" w:lineRule="auto" w:after="20"/>
        <w:ind w:left="420"/>
      </w:pPr>
      <w:r>
        <w:rPr>
          <w:rFonts w:ascii="Times New Roman" w:hAnsi="Times New Roman" w:eastAsia="宋体"/>
          <w:b w:val="0"/>
          <w:sz w:val="19"/>
        </w:rPr>
        <w:t>K. Skaugset, J. Borges de Sousa, A. J. Sørensen｜Science Robotics, Vol.10(100), 2025</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提出「自主机器人组织（ARO）」概念：跨空间、空中、海面与水下域的自组织机器人团队，论述其协同技能、控制能力与韧性需求，展望船舶建造、勘测与海底作业的未来海上自主形态。</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领域综述/展望型摘要以「作业形态演进」开篇，不堆砌文献而直接给出概念定义与能力维度，为工程应用型论文提供了「行业需求→能力缺口」的引言模板。</w:t>
      </w:r>
    </w:p>
    <w:p>
      <w:pPr>
        <w:spacing w:line="312" w:lineRule="auto"/>
        <w:ind w:left="420"/>
      </w:pPr>
      <w:r>
        <w:rPr>
          <w:rFonts w:ascii="Times New Roman" w:hAnsi="Times New Roman" w:eastAsia="宋体"/>
          <w:b w:val="0"/>
          <w:color w:val="606060"/>
          <w:sz w:val="17"/>
        </w:rPr>
        <w:t>https://www.science.org/doi/10.1126/scirobotics.adl2976</w:t>
      </w:r>
    </w:p>
    <w:p>
      <w:pPr>
        <w:spacing w:before="180" w:after="40" w:line="336" w:lineRule="auto"/>
      </w:pPr>
      <w:r>
        <w:rPr>
          <w:rFonts w:ascii="Times New Roman" w:hAnsi="Times New Roman" w:eastAsia="黑体"/>
          <w:b/>
          <w:sz w:val="21"/>
        </w:rPr>
        <w:t>2. Learning agile and dynamic motor skills for legged robots</w:t>
      </w:r>
    </w:p>
    <w:p>
      <w:pPr>
        <w:spacing w:line="336" w:lineRule="auto" w:after="20"/>
        <w:ind w:left="420"/>
      </w:pPr>
      <w:r>
        <w:rPr>
          <w:rFonts w:ascii="Times New Roman" w:hAnsi="Times New Roman" w:eastAsia="宋体"/>
          <w:b w:val="0"/>
          <w:sz w:val="19"/>
        </w:rPr>
        <w:t>J. Hwangbo, J. Lee, A. Dosovitskiy, et al.｜Science Robotics, Vol.4(26), 2019</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提出一套自主学习并迁移敏捷动态运动技能的实用方法学：物理参数辨识、执行器网络建模、仿真强化学习三步，策略在仿真中训练后直接部署到 ANYmal 四足机器人，无需真实世界训练数据。</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「practical methodology」措辞克制；三步流水线一句话讲清；把 sim-to-real 的关键（执行器网络）作为方法卖点而非附带细节。方法学论文的平实文风标杆。</w:t>
      </w:r>
    </w:p>
    <w:p>
      <w:pPr>
        <w:spacing w:line="312" w:lineRule="auto"/>
        <w:ind w:left="420"/>
      </w:pPr>
      <w:r>
        <w:rPr>
          <w:rFonts w:ascii="Times New Roman" w:hAnsi="Times New Roman" w:eastAsia="宋体"/>
          <w:b w:val="0"/>
          <w:color w:val="606060"/>
          <w:sz w:val="17"/>
        </w:rPr>
        <w:t>https://www.science.org/doi/10.1126/scirobotics.aau5872</w:t>
      </w:r>
    </w:p>
    <w:p>
      <w:pPr>
        <w:spacing w:before="180" w:after="40" w:line="336" w:lineRule="auto"/>
      </w:pPr>
      <w:r>
        <w:rPr>
          <w:rFonts w:ascii="Times New Roman" w:hAnsi="Times New Roman" w:eastAsia="黑体"/>
          <w:b/>
          <w:sz w:val="21"/>
        </w:rPr>
        <w:t>3. Learning quadrupedal locomotion over challenging terrain</w:t>
      </w:r>
    </w:p>
    <w:p>
      <w:pPr>
        <w:spacing w:line="336" w:lineRule="auto" w:after="20"/>
        <w:ind w:left="420"/>
      </w:pPr>
      <w:r>
        <w:rPr>
          <w:rFonts w:ascii="Times New Roman" w:hAnsi="Times New Roman" w:eastAsia="宋体"/>
          <w:b w:val="0"/>
          <w:sz w:val="19"/>
        </w:rPr>
        <w:t>J. Lee, J. Hwangbo, L. Wellhausen, V. Koltun, M. Hutter｜Science Robotics, Vol.5(47), 2020</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将基于学习的运动控制与感知模块结合，四足机器人在非结构化陡坡与植被地形上实现敏捷稳健的徒步攀登，报告了真实山地环境（包含泥土、雪、碎石）的系统部署结果。</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以「真实环境部署难度」建立 stakes，结果表述用具体场景（哪些地形、什么坡度）而非抽象指标；对失败的报告直接了当——顶刊不回避局限。</w:t>
      </w:r>
    </w:p>
    <w:p>
      <w:pPr>
        <w:spacing w:line="312" w:lineRule="auto"/>
        <w:ind w:left="420"/>
      </w:pPr>
      <w:r>
        <w:rPr>
          <w:rFonts w:ascii="Times New Roman" w:hAnsi="Times New Roman" w:eastAsia="宋体"/>
          <w:b w:val="0"/>
          <w:color w:val="606060"/>
          <w:sz w:val="17"/>
        </w:rPr>
        <w:t>https://www.science.org/doi/10.1126/scirobotics.abc5986</w:t>
      </w:r>
    </w:p>
    <w:p>
      <w:pPr>
        <w:spacing w:before="180" w:after="40" w:line="336" w:lineRule="auto"/>
      </w:pPr>
      <w:r>
        <w:rPr>
          <w:rFonts w:ascii="Times New Roman" w:hAnsi="Times New Roman" w:eastAsia="黑体"/>
          <w:b/>
          <w:sz w:val="21"/>
        </w:rPr>
        <w:t>4. Learning robust perceptive locomotion for quadrupedal robots in the wild</w:t>
      </w:r>
    </w:p>
    <w:p>
      <w:pPr>
        <w:spacing w:line="336" w:lineRule="auto" w:after="20"/>
        <w:ind w:left="420"/>
      </w:pPr>
      <w:r>
        <w:rPr>
          <w:rFonts w:ascii="Times New Roman" w:hAnsi="Times New Roman" w:eastAsia="宋体"/>
          <w:b w:val="0"/>
          <w:sz w:val="19"/>
        </w:rPr>
        <w:t>T. Miki, J. Lee, J. Hwangbo, L. Wellhausen, V. Koltun, M. Hutter｜Science Robotics, Vol.7(62), 2022</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本体感知历史信息使机器人在感知盲区（遮挡、量程外、传感器退化）下仍能可靠运动；策略学会在感知可用与失效之间平滑回退，登顶海拔约 1200 米的阿尔卑斯步道。</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鲁棒性被写成「退化—回退」叙事（盲区→本体感知兜底）而非平均值比较；这一叙事结构直接适用于执行器退化场景的写作。</w:t>
      </w:r>
    </w:p>
    <w:p>
      <w:pPr>
        <w:spacing w:line="312" w:lineRule="auto"/>
        <w:ind w:left="420"/>
      </w:pPr>
      <w:r>
        <w:rPr>
          <w:rFonts w:ascii="Times New Roman" w:hAnsi="Times New Roman" w:eastAsia="宋体"/>
          <w:b w:val="0"/>
          <w:color w:val="606060"/>
          <w:sz w:val="17"/>
        </w:rPr>
        <w:t>https://www.science.org/doi/10.1126/scirobotics.abk2822</w:t>
      </w:r>
    </w:p>
    <w:p>
      <w:pPr>
        <w:spacing w:before="180" w:after="40" w:line="336" w:lineRule="auto"/>
      </w:pPr>
      <w:r>
        <w:rPr>
          <w:rFonts w:ascii="Times New Roman" w:hAnsi="Times New Roman" w:eastAsia="黑体"/>
          <w:b/>
          <w:sz w:val="21"/>
        </w:rPr>
        <w:t>5. Champion-level drone racing using deep reinforcement learning</w:t>
      </w:r>
    </w:p>
    <w:p>
      <w:pPr>
        <w:spacing w:line="336" w:lineRule="auto" w:after="20"/>
        <w:ind w:left="420"/>
      </w:pPr>
      <w:r>
        <w:rPr>
          <w:rFonts w:ascii="Times New Roman" w:hAnsi="Times New Roman" w:eastAsia="宋体"/>
          <w:b w:val="0"/>
          <w:sz w:val="19"/>
        </w:rPr>
        <w:t>E. Kaufmann, L. Bauersfeld, A. Loquercio, et al.｜Nature, Vol.620, 2023</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Swift 仅凭机载相机与惯性测量单元，在正面竞赛中以 25 局 15 胜击败三位无人机竞速世界冠军，并创造该赛道最快纪录；感知模块 + 仿真训练的策略经噪声模型迁移到真实世界。</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人类冠军作为参照系使量化结果无需解释即有冲击力（15/25 胜、80 km/h 以上）；「仅机载传感器」的约束条件放在能力声明之前——约束即卖点。</w:t>
      </w:r>
    </w:p>
    <w:p>
      <w:pPr>
        <w:spacing w:line="312" w:lineRule="auto"/>
        <w:ind w:left="420"/>
      </w:pPr>
      <w:r>
        <w:rPr>
          <w:rFonts w:ascii="Times New Roman" w:hAnsi="Times New Roman" w:eastAsia="宋体"/>
          <w:b w:val="0"/>
          <w:color w:val="606060"/>
          <w:sz w:val="17"/>
        </w:rPr>
        <w:t>https://www.nature.com/articles/s41586-023-06419-4</w:t>
      </w:r>
    </w:p>
    <w:p>
      <w:pPr>
        <w:spacing w:before="280" w:after="160"/>
      </w:pPr>
      <w:r>
        <w:rPr>
          <w:rFonts w:ascii="Times New Roman" w:hAnsi="Times New Roman" w:eastAsia="黑体"/>
          <w:b/>
          <w:sz w:val="28"/>
        </w:rPr>
        <w:t>二、机器人顶级会议 ICRA / RSS（5 篇）</w:t>
      </w:r>
    </w:p>
    <w:p>
      <w:pPr>
        <w:spacing w:before="180" w:after="40" w:line="336" w:lineRule="auto"/>
      </w:pPr>
      <w:r>
        <w:rPr>
          <w:rFonts w:ascii="Times New Roman" w:hAnsi="Times New Roman" w:eastAsia="黑体"/>
          <w:b/>
          <w:sz w:val="21"/>
        </w:rPr>
        <w:t>6. Diffusion Policy: Visuomotor Policy Learning via Action Diffusion</w:t>
      </w:r>
      <w:r>
        <w:rPr>
          <w:rFonts w:ascii="Times New Roman" w:hAnsi="Times New Roman" w:eastAsia="楷体"/>
          <w:b w:val="0"/>
          <w:color w:val="7F7F7F"/>
          <w:sz w:val="18"/>
        </w:rPr>
        <w:t xml:space="preserve">　（开题报告引用 [19]）</w:t>
      </w:r>
    </w:p>
    <w:p>
      <w:pPr>
        <w:spacing w:line="336" w:lineRule="auto" w:after="20"/>
        <w:ind w:left="420"/>
      </w:pPr>
      <w:r>
        <w:rPr>
          <w:rFonts w:ascii="Times New Roman" w:hAnsi="Times New Roman" w:eastAsia="宋体"/>
          <w:b w:val="0"/>
          <w:sz w:val="19"/>
        </w:rPr>
        <w:t>C. Chi, S. Feng, Y. Du, et al.｜RSS 2023（最佳论文奖）</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将视觉运动策略表示为条件去噪扩散过程，天然处理多模态动作分布、高维动作空间与训练稳定性，在 15 个操作任务基准上取得最优成绩。</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「This paper introduces X, a new way of…」：方法命名 + 一句话机制 + 三条具体优势列举。方法命名即品牌，摘要不过半页读完即可复述贡献。</w:t>
      </w:r>
    </w:p>
    <w:p>
      <w:pPr>
        <w:spacing w:line="312" w:lineRule="auto"/>
        <w:ind w:left="420"/>
      </w:pPr>
      <w:r>
        <w:rPr>
          <w:rFonts w:ascii="Times New Roman" w:hAnsi="Times New Roman" w:eastAsia="宋体"/>
          <w:b w:val="0"/>
          <w:color w:val="606060"/>
          <w:sz w:val="17"/>
        </w:rPr>
        <w:t>https://arxiv.org/abs/2303.04137</w:t>
      </w:r>
    </w:p>
    <w:p>
      <w:pPr>
        <w:spacing w:before="180" w:after="40" w:line="336" w:lineRule="auto"/>
      </w:pPr>
      <w:r>
        <w:rPr>
          <w:rFonts w:ascii="Times New Roman" w:hAnsi="Times New Roman" w:eastAsia="黑体"/>
          <w:b/>
          <w:sz w:val="21"/>
        </w:rPr>
        <w:t>7. TinyMPC: Model-Predictive Control on Resource-Constrained Microcontrollers</w:t>
      </w:r>
      <w:r>
        <w:rPr>
          <w:rFonts w:ascii="Times New Roman" w:hAnsi="Times New Roman" w:eastAsia="楷体"/>
          <w:b w:val="0"/>
          <w:color w:val="7F7F7F"/>
          <w:sz w:val="18"/>
        </w:rPr>
        <w:t xml:space="preserve">　（开题报告引用 [14]）</w:t>
      </w:r>
    </w:p>
    <w:p>
      <w:pPr>
        <w:spacing w:line="336" w:lineRule="auto" w:after="20"/>
        <w:ind w:left="420"/>
      </w:pPr>
      <w:r>
        <w:rPr>
          <w:rFonts w:ascii="Times New Roman" w:hAnsi="Times New Roman" w:eastAsia="宋体"/>
          <w:b w:val="0"/>
          <w:sz w:val="19"/>
        </w:rPr>
        <w:t>K. Nguyen, S. Schoedel, A. Alavilli, et al.｜RSS 2024</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MPC 是控制高动态机器人系统的有力工具，但计算开销限制了其在微控制器上的使用；TinyMPC 利用问题结构实现低内存占用的高速求解，比 OSQP 快近一个数量级。</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「X is powerful, however Y」的限制定式开篇；轻量化贡献用对比数字（快近一个数量级）自证，不使用「极大提升」类空洞副词。与开题报告 §1.2.1 的 MPC 论述同构。</w:t>
      </w:r>
    </w:p>
    <w:p>
      <w:pPr>
        <w:spacing w:line="312" w:lineRule="auto"/>
        <w:ind w:left="420"/>
      </w:pPr>
      <w:r>
        <w:rPr>
          <w:rFonts w:ascii="Times New Roman" w:hAnsi="Times New Roman" w:eastAsia="宋体"/>
          <w:b w:val="0"/>
          <w:color w:val="606060"/>
          <w:sz w:val="17"/>
        </w:rPr>
        <w:t>https://arxiv.org/abs/2310.16985</w:t>
      </w:r>
    </w:p>
    <w:p>
      <w:pPr>
        <w:spacing w:before="180" w:after="40" w:line="336" w:lineRule="auto"/>
      </w:pPr>
      <w:r>
        <w:rPr>
          <w:rFonts w:ascii="Times New Roman" w:hAnsi="Times New Roman" w:eastAsia="黑体"/>
          <w:b/>
          <w:sz w:val="21"/>
        </w:rPr>
        <w:t>8. Residual Reinforcement Learning for Robot Control</w:t>
      </w:r>
      <w:r>
        <w:rPr>
          <w:rFonts w:ascii="Times New Roman" w:hAnsi="Times New Roman" w:eastAsia="楷体"/>
          <w:b w:val="0"/>
          <w:color w:val="7F7F7F"/>
          <w:sz w:val="18"/>
        </w:rPr>
        <w:t xml:space="preserve">　（开题报告引用 [10]）</w:t>
      </w:r>
    </w:p>
    <w:p>
      <w:pPr>
        <w:spacing w:line="336" w:lineRule="auto" w:after="20"/>
        <w:ind w:left="420"/>
      </w:pPr>
      <w:r>
        <w:rPr>
          <w:rFonts w:ascii="Times New Roman" w:hAnsi="Times New Roman" w:eastAsia="宋体"/>
          <w:b w:val="0"/>
          <w:sz w:val="19"/>
        </w:rPr>
        <w:t>T. Johannink, S. Bahl, A. Nair, et al.｜ICRA 2019</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将 SAC 策略叠加在脚本化基础控制器之上，学习分量仅输出对基础控制的修正；在真实机器人装配任务上显著提升成功率，并展示了向未见任务的迁移。</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残差思想一句话定义（「只学修正量，不学完整指令」）；真实机器人任务作结果锚点。开题报告 §1.2.2.2 的残差 RL 综述以此为源头文献。</w:t>
      </w:r>
    </w:p>
    <w:p>
      <w:pPr>
        <w:spacing w:line="312" w:lineRule="auto"/>
        <w:ind w:left="420"/>
      </w:pPr>
      <w:r>
        <w:rPr>
          <w:rFonts w:ascii="Times New Roman" w:hAnsi="Times New Roman" w:eastAsia="宋体"/>
          <w:b w:val="0"/>
          <w:color w:val="606060"/>
          <w:sz w:val="17"/>
        </w:rPr>
        <w:t>https://arxiv.org/abs/1812.03201</w:t>
      </w:r>
    </w:p>
    <w:p>
      <w:pPr>
        <w:spacing w:before="180" w:after="40" w:line="336" w:lineRule="auto"/>
      </w:pPr>
      <w:r>
        <w:rPr>
          <w:rFonts w:ascii="Times New Roman" w:hAnsi="Times New Roman" w:eastAsia="黑体"/>
          <w:b/>
          <w:sz w:val="21"/>
        </w:rPr>
        <w:t>9. Learning to Swim: Reinforcement Learning for 6-DOF Control of Thruster-Driven Autonomous Underwater Vehicles</w:t>
      </w:r>
      <w:r>
        <w:rPr>
          <w:rFonts w:ascii="Times New Roman" w:hAnsi="Times New Roman" w:eastAsia="楷体"/>
          <w:b w:val="0"/>
          <w:color w:val="7F7F7F"/>
          <w:sz w:val="18"/>
        </w:rPr>
        <w:t xml:space="preserve">　（开题报告引用 [9]）</w:t>
      </w:r>
    </w:p>
    <w:p>
      <w:pPr>
        <w:spacing w:line="336" w:lineRule="auto" w:after="20"/>
        <w:ind w:left="420"/>
      </w:pPr>
      <w:r>
        <w:rPr>
          <w:rFonts w:ascii="Times New Roman" w:hAnsi="Times New Roman" w:eastAsia="宋体"/>
          <w:b w:val="0"/>
          <w:sz w:val="19"/>
        </w:rPr>
        <w:t>L. Cai, K. Chang, Y. Girdhar｜ICRA 2025</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在 Isaac 仿真中用强化学习训练六自由度推进器驱动 AUV 控制策略并迁移至真实航行器 CUREE，展示了端到端学习在真实水下平台上的可行性。</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领域内最近邻工作：仿真训练—实机迁移的水下 RL 全流程表述方式，其「训练平台→真实平台」两段式结果句式适用于本课题第三章进度安排的写法。</w:t>
      </w:r>
    </w:p>
    <w:p>
      <w:pPr>
        <w:spacing w:line="312" w:lineRule="auto"/>
        <w:ind w:left="420"/>
      </w:pPr>
      <w:r>
        <w:rPr>
          <w:rFonts w:ascii="Times New Roman" w:hAnsi="Times New Roman" w:eastAsia="宋体"/>
          <w:b w:val="0"/>
          <w:color w:val="606060"/>
          <w:sz w:val="17"/>
        </w:rPr>
        <w:t>https://arxiv.org/abs/2410.00120</w:t>
      </w:r>
    </w:p>
    <w:p>
      <w:pPr>
        <w:spacing w:before="180" w:after="40" w:line="336" w:lineRule="auto"/>
      </w:pPr>
      <w:r>
        <w:rPr>
          <w:rFonts w:ascii="Times New Roman" w:hAnsi="Times New Roman" w:eastAsia="黑体"/>
          <w:b/>
          <w:sz w:val="21"/>
        </w:rPr>
        <w:t>10. Actor-Critic Model Predictive Control</w:t>
      </w:r>
      <w:r>
        <w:rPr>
          <w:rFonts w:ascii="Times New Roman" w:hAnsi="Times New Roman" w:eastAsia="楷体"/>
          <w:b w:val="0"/>
          <w:color w:val="7F7F7F"/>
          <w:sz w:val="18"/>
        </w:rPr>
        <w:t xml:space="preserve">　（开题报告引用 [13]）</w:t>
      </w:r>
    </w:p>
    <w:p>
      <w:pPr>
        <w:spacing w:line="336" w:lineRule="auto" w:after="20"/>
        <w:ind w:left="420"/>
      </w:pPr>
      <w:r>
        <w:rPr>
          <w:rFonts w:ascii="Times New Roman" w:hAnsi="Times New Roman" w:eastAsia="宋体"/>
          <w:b w:val="0"/>
          <w:sz w:val="19"/>
        </w:rPr>
        <w:t>A. Romero, Y. Song, D. Scaramuzza｜ICRA 2024</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将演员-评论家强化学习的价值函数嵌入 MPC 滚动优化，学习分量与预测控制深度融合，在四旋翼竞速任务上同时获得学习自适应性与模型预测的约束处理能力。</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两种范式融合型论文的写法：不贬低任一单方，而是指出融合后同时获得的两种性质。开题报告 §1.2.3 对该文的「融合方向」定位沿用了这一框架。</w:t>
      </w:r>
    </w:p>
    <w:p>
      <w:pPr>
        <w:spacing w:line="312" w:lineRule="auto"/>
        <w:ind w:left="420"/>
      </w:pPr>
      <w:r>
        <w:rPr>
          <w:rFonts w:ascii="Times New Roman" w:hAnsi="Times New Roman" w:eastAsia="宋体"/>
          <w:b w:val="0"/>
          <w:color w:val="606060"/>
          <w:sz w:val="17"/>
        </w:rPr>
        <w:t>https://arxiv.org/abs/2306.09852</w:t>
      </w:r>
    </w:p>
    <w:p>
      <w:pPr>
        <w:spacing w:before="280" w:after="160"/>
      </w:pPr>
      <w:r>
        <w:rPr>
          <w:rFonts w:ascii="Times New Roman" w:hAnsi="Times New Roman" w:eastAsia="黑体"/>
          <w:b/>
          <w:sz w:val="28"/>
        </w:rPr>
        <w:t>三、人工智能顶级会议 NeurIPS / ICML（5 篇）</w:t>
      </w:r>
    </w:p>
    <w:p>
      <w:pPr>
        <w:spacing w:before="180" w:after="40" w:line="336" w:lineRule="auto"/>
      </w:pPr>
      <w:r>
        <w:rPr>
          <w:rFonts w:ascii="Times New Roman" w:hAnsi="Times New Roman" w:eastAsia="黑体"/>
          <w:b/>
          <w:sz w:val="21"/>
        </w:rPr>
        <w:t>11. Attention Is All You Need</w:t>
      </w:r>
      <w:r>
        <w:rPr>
          <w:rFonts w:ascii="Times New Roman" w:hAnsi="Times New Roman" w:eastAsia="楷体"/>
          <w:b w:val="0"/>
          <w:color w:val="7F7F7F"/>
          <w:sz w:val="18"/>
        </w:rPr>
        <w:t xml:space="preserve">　（开题报告引用 [16]）</w:t>
      </w:r>
    </w:p>
    <w:p>
      <w:pPr>
        <w:spacing w:line="336" w:lineRule="auto" w:after="20"/>
        <w:ind w:left="420"/>
      </w:pPr>
      <w:r>
        <w:rPr>
          <w:rFonts w:ascii="Times New Roman" w:hAnsi="Times New Roman" w:eastAsia="宋体"/>
          <w:b w:val="0"/>
          <w:sz w:val="19"/>
        </w:rPr>
        <w:t>A. Vaswani, N. Shazeer, N. Parmar, et al.｜NeurIPS 2017</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完全基于注意力机制的 Transformer 架构取代循环与卷积，在机器翻译任务上以更少训练时间达到更高性能，成为序列建模的通用骨干。</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标题即论点；摘要以架构对比+双指标（质量、训练成本）收束。Transformer 作为骨干的表述规范用于开题报告 §1.2.3 与第三章。</w:t>
      </w:r>
    </w:p>
    <w:p>
      <w:pPr>
        <w:spacing w:line="312" w:lineRule="auto"/>
        <w:ind w:left="420"/>
      </w:pPr>
      <w:r>
        <w:rPr>
          <w:rFonts w:ascii="Times New Roman" w:hAnsi="Times New Roman" w:eastAsia="宋体"/>
          <w:b w:val="0"/>
          <w:color w:val="606060"/>
          <w:sz w:val="17"/>
        </w:rPr>
        <w:t>https://arxiv.org/abs/1706.03762</w:t>
      </w:r>
    </w:p>
    <w:p>
      <w:pPr>
        <w:spacing w:before="180" w:after="40" w:line="336" w:lineRule="auto"/>
      </w:pPr>
      <w:r>
        <w:rPr>
          <w:rFonts w:ascii="Times New Roman" w:hAnsi="Times New Roman" w:eastAsia="黑体"/>
          <w:b/>
          <w:sz w:val="21"/>
        </w:rPr>
        <w:t>12. Addressing Function Approximation Error in Actor-Critic Methods (TD3)</w:t>
      </w:r>
      <w:r>
        <w:rPr>
          <w:rFonts w:ascii="Times New Roman" w:hAnsi="Times New Roman" w:eastAsia="楷体"/>
          <w:b w:val="0"/>
          <w:color w:val="7F7F7F"/>
          <w:sz w:val="18"/>
        </w:rPr>
        <w:t xml:space="preserve">　（开题报告引用 [12]）</w:t>
      </w:r>
    </w:p>
    <w:p>
      <w:pPr>
        <w:spacing w:line="336" w:lineRule="auto" w:after="20"/>
        <w:ind w:left="420"/>
      </w:pPr>
      <w:r>
        <w:rPr>
          <w:rFonts w:ascii="Times New Roman" w:hAnsi="Times New Roman" w:eastAsia="宋体"/>
          <w:b w:val="0"/>
          <w:sz w:val="19"/>
        </w:rPr>
        <w:t>S. Fujimoto, H. van Hoof, D. Meger｜ICML 2018</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指出值过估计偏差在 actor-critic 中的累积机制，提出双评论家、目标策略平滑与延迟更新三项修正，在连续控制基准上大幅超越 DDPG。</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问题诊断（过估计从何而来）先于方法提出——「病理→药方」结构使三项技巧有统一动机。本课题 TD3 训练器章节的动机段沿用此结构。</w:t>
      </w:r>
    </w:p>
    <w:p>
      <w:pPr>
        <w:spacing w:line="312" w:lineRule="auto"/>
        <w:ind w:left="420"/>
      </w:pPr>
      <w:r>
        <w:rPr>
          <w:rFonts w:ascii="Times New Roman" w:hAnsi="Times New Roman" w:eastAsia="宋体"/>
          <w:b w:val="0"/>
          <w:color w:val="606060"/>
          <w:sz w:val="17"/>
        </w:rPr>
        <w:t>https://arxiv.org/abs/1802.09477</w:t>
      </w:r>
    </w:p>
    <w:p>
      <w:pPr>
        <w:spacing w:before="180" w:after="40" w:line="336" w:lineRule="auto"/>
      </w:pPr>
      <w:r>
        <w:rPr>
          <w:rFonts w:ascii="Times New Roman" w:hAnsi="Times New Roman" w:eastAsia="黑体"/>
          <w:b/>
          <w:sz w:val="21"/>
        </w:rPr>
        <w:t>13. Soft Actor-Critic: Off-Policy Maximum Entropy Deep RL with a Stochastic Actor</w:t>
      </w:r>
    </w:p>
    <w:p>
      <w:pPr>
        <w:spacing w:line="336" w:lineRule="auto" w:after="20"/>
        <w:ind w:left="420"/>
      </w:pPr>
      <w:r>
        <w:rPr>
          <w:rFonts w:ascii="Times New Roman" w:hAnsi="Times New Roman" w:eastAsia="宋体"/>
          <w:b w:val="0"/>
          <w:sz w:val="19"/>
        </w:rPr>
        <w:t>T. Haarnoja, A. Zhou, P. Abbeel, S. Levine｜ICML 2018</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以最大熵原则统一探索与优化目标，随机策略 + 离策略学习在连续控制上达到样本效率与稳定性的新水平。</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算法性质（离策略、最大熵、随机策略）在标题与首句全部亮明；「样本效率」作为独立可量化维度与性能并列报告——多维度结果报告的范例。</w:t>
      </w:r>
    </w:p>
    <w:p>
      <w:pPr>
        <w:spacing w:line="312" w:lineRule="auto"/>
        <w:ind w:left="420"/>
      </w:pPr>
      <w:r>
        <w:rPr>
          <w:rFonts w:ascii="Times New Roman" w:hAnsi="Times New Roman" w:eastAsia="宋体"/>
          <w:b w:val="0"/>
          <w:color w:val="606060"/>
          <w:sz w:val="17"/>
        </w:rPr>
        <w:t>https://arxiv.org/abs/1801.01290</w:t>
      </w:r>
    </w:p>
    <w:p>
      <w:pPr>
        <w:spacing w:before="180" w:after="40" w:line="336" w:lineRule="auto"/>
      </w:pPr>
      <w:r>
        <w:rPr>
          <w:rFonts w:ascii="Times New Roman" w:hAnsi="Times New Roman" w:eastAsia="黑体"/>
          <w:b/>
          <w:sz w:val="21"/>
        </w:rPr>
        <w:t>14. Decision Transformer: Reinforcement Learning via Sequence Modeling</w:t>
      </w:r>
      <w:r>
        <w:rPr>
          <w:rFonts w:ascii="Times New Roman" w:hAnsi="Times New Roman" w:eastAsia="楷体"/>
          <w:b w:val="0"/>
          <w:color w:val="7F7F7F"/>
          <w:sz w:val="18"/>
        </w:rPr>
        <w:t xml:space="preserve">　（开题报告引用 [17]）</w:t>
      </w:r>
    </w:p>
    <w:p>
      <w:pPr>
        <w:spacing w:line="336" w:lineRule="auto" w:after="20"/>
        <w:ind w:left="420"/>
      </w:pPr>
      <w:r>
        <w:rPr>
          <w:rFonts w:ascii="Times New Roman" w:hAnsi="Times New Roman" w:eastAsia="宋体"/>
          <w:b w:val="0"/>
          <w:sz w:val="19"/>
        </w:rPr>
        <w:t>L. Chen, K. Lu, A. Rajeswaran, et al.｜NeurIPS 2021</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将强化学习重构为条件序列建模问题（Return-to-Go、状态、动作序列），Transformer 直接输出动作，在 Atari 与 OpenAI Gym 上匹敌或超越时序差分方法。</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「casting RL as X」的范式重构句式：一句话说清与传统方法的坐标系变换。序列模型用于控制的合法性论证引用于此。</w:t>
      </w:r>
    </w:p>
    <w:p>
      <w:pPr>
        <w:spacing w:line="312" w:lineRule="auto"/>
        <w:ind w:left="420"/>
      </w:pPr>
      <w:r>
        <w:rPr>
          <w:rFonts w:ascii="Times New Roman" w:hAnsi="Times New Roman" w:eastAsia="宋体"/>
          <w:b w:val="0"/>
          <w:color w:val="606060"/>
          <w:sz w:val="17"/>
        </w:rPr>
        <w:t>https://arxiv.org/abs/2106.01345</w:t>
      </w:r>
    </w:p>
    <w:p>
      <w:pPr>
        <w:spacing w:before="180" w:after="40" w:line="336" w:lineRule="auto"/>
      </w:pPr>
      <w:r>
        <w:rPr>
          <w:rFonts w:ascii="Times New Roman" w:hAnsi="Times New Roman" w:eastAsia="黑体"/>
          <w:b/>
          <w:sz w:val="21"/>
        </w:rPr>
        <w:t>15. Offline Reinforcement Learning as One Big Sequence Modeling Problem</w:t>
      </w:r>
      <w:r>
        <w:rPr>
          <w:rFonts w:ascii="Times New Roman" w:hAnsi="Times New Roman" w:eastAsia="楷体"/>
          <w:b w:val="0"/>
          <w:color w:val="7F7F7F"/>
          <w:sz w:val="18"/>
        </w:rPr>
        <w:t xml:space="preserve">　（开题报告引用 [18]）</w:t>
      </w:r>
    </w:p>
    <w:p>
      <w:pPr>
        <w:spacing w:line="336" w:lineRule="auto" w:after="20"/>
        <w:ind w:left="420"/>
      </w:pPr>
      <w:r>
        <w:rPr>
          <w:rFonts w:ascii="Times New Roman" w:hAnsi="Times New Roman" w:eastAsia="宋体"/>
          <w:b w:val="0"/>
          <w:sz w:val="19"/>
        </w:rPr>
        <w:t>M. Janner, Q. Li, S. Levine｜ICML 2021</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将状态、动作、奖励统一为轨迹级序列建模，规划即在序列模型上的受约束生成，在离线强化学习基准上取得最优长视界性能。</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标题用口语化短语（one big problem）但正文即刻数学化；轨迹级视角的表述为长时序闭环历史输入（16 步）的设计叙述提供参照。</w:t>
      </w:r>
    </w:p>
    <w:p>
      <w:pPr>
        <w:spacing w:line="312" w:lineRule="auto"/>
        <w:ind w:left="420"/>
      </w:pPr>
      <w:r>
        <w:rPr>
          <w:rFonts w:ascii="Times New Roman" w:hAnsi="Times New Roman" w:eastAsia="宋体"/>
          <w:b w:val="0"/>
          <w:color w:val="606060"/>
          <w:sz w:val="17"/>
        </w:rPr>
        <w:t>https://arxiv.org/abs/2106.02039</w:t>
      </w:r>
    </w:p>
    <w:p>
      <w:pPr>
        <w:spacing w:before="280" w:after="160"/>
      </w:pPr>
      <w:r>
        <w:rPr>
          <w:rFonts w:ascii="Times New Roman" w:hAnsi="Times New Roman" w:eastAsia="黑体"/>
          <w:b/>
          <w:sz w:val="28"/>
        </w:rPr>
        <w:t>四、具身智能顶级会议 CoRL / RSS（5 篇）</w:t>
      </w:r>
    </w:p>
    <w:p>
      <w:pPr>
        <w:spacing w:before="180" w:after="40" w:line="336" w:lineRule="auto"/>
      </w:pPr>
      <w:r>
        <w:rPr>
          <w:rFonts w:ascii="Times New Roman" w:hAnsi="Times New Roman" w:eastAsia="黑体"/>
          <w:b/>
          <w:sz w:val="21"/>
        </w:rPr>
        <w:t>16. RT-1: Robotics Transformer for Real-World Control at Scale</w:t>
      </w:r>
    </w:p>
    <w:p>
      <w:pPr>
        <w:spacing w:line="336" w:lineRule="auto" w:after="20"/>
        <w:ind w:left="420"/>
      </w:pPr>
      <w:r>
        <w:rPr>
          <w:rFonts w:ascii="Times New Roman" w:hAnsi="Times New Roman" w:eastAsia="宋体"/>
          <w:b w:val="0"/>
          <w:sz w:val="19"/>
        </w:rPr>
        <w:t>A. Brohan, N. Brown, J. Carbajal, et al. (Google Robotics)｜RSS 2023</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在 13 台机器人、17 个月、70 万+ 真实轨迹上训练的机器人 Transformer，13000+ 语句指令，展示涌现的泛化能力与指令组合性。</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「at Scale」进入标题；真实数据规模（机器人台数、天数、轨迹数）作为能力声明的组成部分而非脚注——规模数字本身就是论证。</w:t>
      </w:r>
    </w:p>
    <w:p>
      <w:pPr>
        <w:spacing w:line="312" w:lineRule="auto"/>
        <w:ind w:left="420"/>
      </w:pPr>
      <w:r>
        <w:rPr>
          <w:rFonts w:ascii="Times New Roman" w:hAnsi="Times New Roman" w:eastAsia="宋体"/>
          <w:b w:val="0"/>
          <w:color w:val="606060"/>
          <w:sz w:val="17"/>
        </w:rPr>
        <w:t>https://arxiv.org/abs/2212.06817</w:t>
      </w:r>
    </w:p>
    <w:p>
      <w:pPr>
        <w:spacing w:before="180" w:after="40" w:line="336" w:lineRule="auto"/>
      </w:pPr>
      <w:r>
        <w:rPr>
          <w:rFonts w:ascii="Times New Roman" w:hAnsi="Times New Roman" w:eastAsia="黑体"/>
          <w:b/>
          <w:sz w:val="21"/>
        </w:rPr>
        <w:t>17. RT-2: Vision-Language-Action Models Transfer Web Knowledge to Robotic Control</w:t>
      </w:r>
    </w:p>
    <w:p>
      <w:pPr>
        <w:spacing w:line="336" w:lineRule="auto" w:after="20"/>
        <w:ind w:left="420"/>
      </w:pPr>
      <w:r>
        <w:rPr>
          <w:rFonts w:ascii="Times New Roman" w:hAnsi="Times New Roman" w:eastAsia="宋体"/>
          <w:b w:val="0"/>
          <w:sz w:val="19"/>
        </w:rPr>
        <w:t>A. Zitkovich, et al. (Google DeepMind)｜CoRL 2023</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将网络级视觉-语言模型直接微调为机器人控制输出，语义知识（如「拿起灭绝的动物」）从网络数据涌现到操作行为，动作表征为文本 token。</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标题就是结论（transfer 从哪来到哪去）；涌现能力配以可解释的具体指令示例，使黑箱涌现变得可被审稿人检验。</w:t>
      </w:r>
    </w:p>
    <w:p>
      <w:pPr>
        <w:spacing w:line="312" w:lineRule="auto"/>
        <w:ind w:left="420"/>
      </w:pPr>
      <w:r>
        <w:rPr>
          <w:rFonts w:ascii="Times New Roman" w:hAnsi="Times New Roman" w:eastAsia="宋体"/>
          <w:b w:val="0"/>
          <w:color w:val="606060"/>
          <w:sz w:val="17"/>
        </w:rPr>
        <w:t>https://arxiv.org/abs/2307.15818</w:t>
      </w:r>
    </w:p>
    <w:p>
      <w:pPr>
        <w:spacing w:before="180" w:after="40" w:line="336" w:lineRule="auto"/>
      </w:pPr>
      <w:r>
        <w:rPr>
          <w:rFonts w:ascii="Times New Roman" w:hAnsi="Times New Roman" w:eastAsia="黑体"/>
          <w:b/>
          <w:sz w:val="21"/>
        </w:rPr>
        <w:t>18. OpenVLA: An Open-Source Vision-Language-Action Model</w:t>
      </w:r>
    </w:p>
    <w:p>
      <w:pPr>
        <w:spacing w:line="336" w:lineRule="auto" w:after="20"/>
        <w:ind w:left="420"/>
      </w:pPr>
      <w:r>
        <w:rPr>
          <w:rFonts w:ascii="Times New Roman" w:hAnsi="Times New Roman" w:eastAsia="宋体"/>
          <w:b w:val="0"/>
          <w:sz w:val="19"/>
        </w:rPr>
        <w:t>M. J. Kim, K. Pertsch, et al. (Stanford/Berkeley/TRI)｜CoRL 2024（杰出论文提名，6/265）</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70 亿参数开源 VLA 模型，在 97 万条真实机器人演示上训练，在通用操作基准上以 1/8 参数量超越 55B 的 RT-2-X 达 16.5% 绝对成功率提升，消费级 GPU 即可微调。</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「以小胜大」的对比表述（7B vs 55B）+ 精确数字；轻量化贡献永远用相对量与部署门槛（消费级 GPU）表述——与开题报告 16,290 参数的写法同构。</w:t>
      </w:r>
    </w:p>
    <w:p>
      <w:pPr>
        <w:spacing w:line="312" w:lineRule="auto"/>
        <w:ind w:left="420"/>
      </w:pPr>
      <w:r>
        <w:rPr>
          <w:rFonts w:ascii="Times New Roman" w:hAnsi="Times New Roman" w:eastAsia="宋体"/>
          <w:b w:val="0"/>
          <w:color w:val="606060"/>
          <w:sz w:val="17"/>
        </w:rPr>
        <w:t>https://arxiv.org/abs/2406.09246</w:t>
      </w:r>
    </w:p>
    <w:p>
      <w:pPr>
        <w:spacing w:before="180" w:after="40" w:line="336" w:lineRule="auto"/>
      </w:pPr>
      <w:r>
        <w:rPr>
          <w:rFonts w:ascii="Times New Roman" w:hAnsi="Times New Roman" w:eastAsia="黑体"/>
          <w:b/>
          <w:sz w:val="21"/>
        </w:rPr>
        <w:t>19. DayDreamer: World Models for Physical Robot Learning</w:t>
      </w:r>
    </w:p>
    <w:p>
      <w:pPr>
        <w:spacing w:line="336" w:lineRule="auto" w:after="20"/>
        <w:ind w:left="420"/>
      </w:pPr>
      <w:r>
        <w:rPr>
          <w:rFonts w:ascii="Times New Roman" w:hAnsi="Times New Roman" w:eastAsia="宋体"/>
          <w:b w:val="0"/>
          <w:sz w:val="19"/>
        </w:rPr>
        <w:t>P. Wu, A. Escontrela, et al. (UC Berkeley)｜CoRL 2022（最佳系统论文奖）</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世界模型使机器人在真实世界直接在线学习（无仿真器），四足机器人 1 小时学会翻身爬行、机械臂 10 分钟学会抓取，从零真实交互学会六种技能。</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「训练时长」作为核心结果指标（1 小时/10 分钟）——把抽象的样本效率翻译成任何人都能评估的时间量纲。</w:t>
      </w:r>
    </w:p>
    <w:p>
      <w:pPr>
        <w:spacing w:line="312" w:lineRule="auto"/>
        <w:ind w:left="420"/>
      </w:pPr>
      <w:r>
        <w:rPr>
          <w:rFonts w:ascii="Times New Roman" w:hAnsi="Times New Roman" w:eastAsia="宋体"/>
          <w:b w:val="0"/>
          <w:color w:val="606060"/>
          <w:sz w:val="17"/>
        </w:rPr>
        <w:t>https://arxiv.org/abs/2206.14176</w:t>
      </w:r>
    </w:p>
    <w:p>
      <w:pPr>
        <w:spacing w:before="180" w:after="40" w:line="336" w:lineRule="auto"/>
      </w:pPr>
      <w:r>
        <w:rPr>
          <w:rFonts w:ascii="Times New Roman" w:hAnsi="Times New Roman" w:eastAsia="黑体"/>
          <w:b/>
          <w:sz w:val="21"/>
        </w:rPr>
        <w:t>20. PoliFormer: Scaling On-Policy RL Leads to Masterful Navigators</w:t>
      </w:r>
    </w:p>
    <w:p>
      <w:pPr>
        <w:spacing w:line="336" w:lineRule="auto" w:after="20"/>
        <w:ind w:left="420"/>
      </w:pPr>
      <w:r>
        <w:rPr>
          <w:rFonts w:ascii="Times New Roman" w:hAnsi="Times New Roman" w:eastAsia="宋体"/>
          <w:b w:val="0"/>
          <w:sz w:val="19"/>
        </w:rPr>
        <w:t>K. Patki, et al. (University of Michigan)｜CoRL 2024（杰出论文奖）</w:t>
      </w:r>
    </w:p>
    <w:p>
      <w:pPr>
        <w:spacing w:line="336" w:lineRule="auto" w:after="20"/>
        <w:ind w:left="420"/>
      </w:pPr>
      <w:r>
        <w:rPr>
          <w:rFonts w:ascii="Times New Roman" w:hAnsi="Times New Roman" w:eastAsia="黑体"/>
          <w:b/>
          <w:sz w:val="20"/>
        </w:rPr>
        <w:t>摘要要点：</w:t>
      </w:r>
      <w:r>
        <w:rPr>
          <w:rFonts w:ascii="Times New Roman" w:hAnsi="Times New Roman" w:eastAsia="宋体"/>
          <w:b w:val="0"/>
          <w:sz w:val="20"/>
        </w:rPr>
        <w:t>扩展在策略强化学习训练规模，得到导航基准上 master 级的导航器，跨模拟器与实体机器人验证，含实时 3D 重建的演示。</w:t>
      </w:r>
    </w:p>
    <w:p>
      <w:pPr>
        <w:spacing w:line="336" w:lineRule="auto" w:after="20"/>
        <w:ind w:left="420"/>
      </w:pPr>
      <w:r>
        <w:rPr>
          <w:rFonts w:ascii="Times New Roman" w:hAnsi="Times New Roman" w:eastAsia="黑体"/>
          <w:b/>
          <w:sz w:val="20"/>
        </w:rPr>
        <w:t>写作风格：</w:t>
      </w:r>
      <w:r>
        <w:rPr>
          <w:rFonts w:ascii="Times New Roman" w:hAnsi="Times New Roman" w:eastAsia="宋体"/>
          <w:b w:val="0"/>
          <w:sz w:val="20"/>
        </w:rPr>
        <w:t>标题即因果主张（scaling→masterful）；masterful 的强声明由基准名称+跨平台部署双重支撑。强形容词必须配强证据的纪律。</w:t>
      </w:r>
    </w:p>
    <w:p>
      <w:pPr>
        <w:spacing w:line="312" w:lineRule="auto"/>
        <w:ind w:left="420"/>
      </w:pPr>
      <w:r>
        <w:rPr>
          <w:rFonts w:ascii="Times New Roman" w:hAnsi="Times New Roman" w:eastAsia="宋体"/>
          <w:b w:val="0"/>
          <w:color w:val="606060"/>
          <w:sz w:val="17"/>
        </w:rPr>
        <w:t>https://arxiv.org/abs/2406.20083</w:t>
      </w:r>
    </w:p>
    <w:p>
      <w:r>
        <w:br w:type="page"/>
      </w:r>
    </w:p>
    <w:p>
      <w:pPr>
        <w:spacing w:before="280" w:after="160"/>
      </w:pPr>
      <w:r>
        <w:rPr>
          <w:rFonts w:ascii="Times New Roman" w:hAnsi="Times New Roman" w:eastAsia="黑体"/>
          <w:b/>
          <w:sz w:val="28"/>
        </w:rPr>
        <w:t>五、从 20 篇提炼的写作规律及在开题报告 v2 中的落实</w:t>
      </w:r>
    </w:p>
    <w:p>
      <w:pPr>
        <w:spacing w:before="140" w:after="40" w:line="336" w:lineRule="auto"/>
      </w:pPr>
      <w:r>
        <w:rPr>
          <w:rFonts w:ascii="Times New Roman" w:hAnsi="Times New Roman" w:eastAsia="黑体"/>
          <w:b/>
          <w:sz w:val="21"/>
        </w:rPr>
        <w:t>规律 1　首句锚定具体应用场景与利益相关方，不用宏大空话开场</w:t>
      </w:r>
    </w:p>
    <w:p>
      <w:pPr>
        <w:spacing w:line="336" w:lineRule="auto" w:after="20"/>
        <w:ind w:left="420"/>
      </w:pPr>
      <w:r>
        <w:rPr>
          <w:rFonts w:ascii="Times New Roman" w:hAnsi="Times New Roman" w:eastAsia="黑体"/>
          <w:b/>
          <w:sz w:val="20"/>
        </w:rPr>
        <w:t>范文例证：</w:t>
      </w:r>
      <w:r>
        <w:rPr>
          <w:rFonts w:ascii="Times New Roman" w:hAnsi="Times New Roman" w:eastAsia="宋体"/>
          <w:b w:val="0"/>
          <w:sz w:val="20"/>
        </w:rPr>
        <w:t>Swift 的竞技场、TinyMPC 的微控制器、Miki 的阿尔卑斯步道</w:t>
      </w:r>
    </w:p>
    <w:p>
      <w:pPr>
        <w:spacing w:line="336" w:lineRule="auto" w:after="20"/>
        <w:ind w:left="420"/>
      </w:pPr>
      <w:r>
        <w:rPr>
          <w:rFonts w:ascii="Times New Roman" w:hAnsi="Times New Roman" w:eastAsia="黑体"/>
          <w:b/>
          <w:sz w:val="20"/>
        </w:rPr>
        <w:t>v2 落实：</w:t>
      </w:r>
      <w:r>
        <w:rPr>
          <w:rFonts w:ascii="Times New Roman" w:hAnsi="Times New Roman" w:eastAsia="宋体"/>
          <w:b w:val="0"/>
          <w:sz w:val="20"/>
        </w:rPr>
        <w:t>v2 摘要首句「海上风电基础、跨海桥梁桩基等水下结构物的检测与维护……」</w:t>
      </w:r>
    </w:p>
    <w:p>
      <w:pPr>
        <w:spacing w:before="140" w:after="40" w:line="336" w:lineRule="auto"/>
      </w:pPr>
      <w:r>
        <w:rPr>
          <w:rFonts w:ascii="Times New Roman" w:hAnsi="Times New Roman" w:eastAsia="黑体"/>
          <w:b/>
          <w:sz w:val="21"/>
        </w:rPr>
        <w:t>规律 2　限制定式：先承认对象能力，再以「然而」引出精确失效条件</w:t>
      </w:r>
    </w:p>
    <w:p>
      <w:pPr>
        <w:spacing w:line="336" w:lineRule="auto" w:after="20"/>
        <w:ind w:left="420"/>
      </w:pPr>
      <w:r>
        <w:rPr>
          <w:rFonts w:ascii="Times New Roman" w:hAnsi="Times New Roman" w:eastAsia="黑体"/>
          <w:b/>
          <w:sz w:val="20"/>
        </w:rPr>
        <w:t>范文例证：</w:t>
      </w:r>
      <w:r>
        <w:rPr>
          <w:rFonts w:ascii="Times New Roman" w:hAnsi="Times New Roman" w:eastAsia="宋体"/>
          <w:b w:val="0"/>
          <w:sz w:val="20"/>
        </w:rPr>
        <w:t>TinyMPC 的 powerful tool, however computationally expensive</w:t>
      </w:r>
    </w:p>
    <w:p>
      <w:pPr>
        <w:spacing w:line="336" w:lineRule="auto" w:after="20"/>
        <w:ind w:left="420"/>
      </w:pPr>
      <w:r>
        <w:rPr>
          <w:rFonts w:ascii="Times New Roman" w:hAnsi="Times New Roman" w:eastAsia="黑体"/>
          <w:b/>
          <w:sz w:val="20"/>
        </w:rPr>
        <w:t>v2 落实：</w:t>
      </w:r>
      <w:r>
        <w:rPr>
          <w:rFonts w:ascii="Times New Roman" w:hAnsi="Times New Roman" w:eastAsia="宋体"/>
          <w:b w:val="0"/>
          <w:sz w:val="20"/>
        </w:rPr>
        <w:t>v2 摘要对 SMC/MPC/端到端三方的「肯定—局限」三连句</w:t>
      </w:r>
    </w:p>
    <w:p>
      <w:pPr>
        <w:spacing w:before="140" w:after="40" w:line="336" w:lineRule="auto"/>
      </w:pPr>
      <w:r>
        <w:rPr>
          <w:rFonts w:ascii="Times New Roman" w:hAnsi="Times New Roman" w:eastAsia="黑体"/>
          <w:b/>
          <w:sz w:val="21"/>
        </w:rPr>
        <w:t>规律 3　方法命名 + 一句话机制，读完首段即可复述贡献</w:t>
      </w:r>
    </w:p>
    <w:p>
      <w:pPr>
        <w:spacing w:line="336" w:lineRule="auto" w:after="20"/>
        <w:ind w:left="420"/>
      </w:pPr>
      <w:r>
        <w:rPr>
          <w:rFonts w:ascii="Times New Roman" w:hAnsi="Times New Roman" w:eastAsia="黑体"/>
          <w:b/>
          <w:sz w:val="20"/>
        </w:rPr>
        <w:t>范文例证：</w:t>
      </w:r>
      <w:r>
        <w:rPr>
          <w:rFonts w:ascii="Times New Roman" w:hAnsi="Times New Roman" w:eastAsia="宋体"/>
          <w:b w:val="0"/>
          <w:sz w:val="20"/>
        </w:rPr>
        <w:t>Diffusion Policy 的 This paper introduces X, a new way of…</w:t>
      </w:r>
    </w:p>
    <w:p>
      <w:pPr>
        <w:spacing w:line="336" w:lineRule="auto" w:after="20"/>
        <w:ind w:left="420"/>
      </w:pPr>
      <w:r>
        <w:rPr>
          <w:rFonts w:ascii="Times New Roman" w:hAnsi="Times New Roman" w:eastAsia="黑体"/>
          <w:b/>
          <w:sz w:val="20"/>
        </w:rPr>
        <w:t>v2 落实：</w:t>
      </w:r>
      <w:r>
        <w:rPr>
          <w:rFonts w:ascii="Times New Roman" w:hAnsi="Times New Roman" w:eastAsia="宋体"/>
          <w:b w:val="0"/>
          <w:sz w:val="20"/>
        </w:rPr>
        <w:t>v2 摘要「本研究提出预测权限控制（PAC）方法：一个时序Transformer网络以最近16步闭环历史为输入……」</w:t>
      </w:r>
    </w:p>
    <w:p>
      <w:pPr>
        <w:spacing w:before="140" w:after="40" w:line="336" w:lineRule="auto"/>
      </w:pPr>
      <w:r>
        <w:rPr>
          <w:rFonts w:ascii="Times New Roman" w:hAnsi="Times New Roman" w:eastAsia="黑体"/>
          <w:b/>
          <w:sz w:val="21"/>
        </w:rPr>
        <w:t>规律 4　量化结果必须带参照系，数字自证、副词禁用</w:t>
      </w:r>
    </w:p>
    <w:p>
      <w:pPr>
        <w:spacing w:line="336" w:lineRule="auto" w:after="20"/>
        <w:ind w:left="420"/>
      </w:pPr>
      <w:r>
        <w:rPr>
          <w:rFonts w:ascii="Times New Roman" w:hAnsi="Times New Roman" w:eastAsia="黑体"/>
          <w:b/>
          <w:sz w:val="20"/>
        </w:rPr>
        <w:t>范文例证：</w:t>
      </w:r>
      <w:r>
        <w:rPr>
          <w:rFonts w:ascii="Times New Roman" w:hAnsi="Times New Roman" w:eastAsia="宋体"/>
          <w:b w:val="0"/>
          <w:sz w:val="20"/>
        </w:rPr>
        <w:t>Swift 的 15/25 胜、OpenVLA 的 7B 胜 55B 达 16.5%</w:t>
      </w:r>
    </w:p>
    <w:p>
      <w:pPr>
        <w:spacing w:line="336" w:lineRule="auto" w:after="20"/>
        <w:ind w:left="420"/>
      </w:pPr>
      <w:r>
        <w:rPr>
          <w:rFonts w:ascii="Times New Roman" w:hAnsi="Times New Roman" w:eastAsia="黑体"/>
          <w:b/>
          <w:sz w:val="20"/>
        </w:rPr>
        <w:t>v2 落实：</w:t>
      </w:r>
      <w:r>
        <w:rPr>
          <w:rFonts w:ascii="Times New Roman" w:hAnsi="Times New Roman" w:eastAsia="宋体"/>
          <w:b w:val="0"/>
          <w:sz w:val="20"/>
        </w:rPr>
        <w:t>v2 摘要「降低28%」「较监督基线降低69%」（审稿人第 2 条与此同源）</w:t>
      </w:r>
    </w:p>
    <w:p>
      <w:pPr>
        <w:spacing w:before="140" w:after="40" w:line="336" w:lineRule="auto"/>
      </w:pPr>
      <w:r>
        <w:rPr>
          <w:rFonts w:ascii="Times New Roman" w:hAnsi="Times New Roman" w:eastAsia="黑体"/>
          <w:b/>
          <w:sz w:val="21"/>
        </w:rPr>
        <w:t>规律 5　鲁棒性写成「退化—恢复」叙事，而非平均值比较</w:t>
      </w:r>
    </w:p>
    <w:p>
      <w:pPr>
        <w:spacing w:line="336" w:lineRule="auto" w:after="20"/>
        <w:ind w:left="420"/>
      </w:pPr>
      <w:r>
        <w:rPr>
          <w:rFonts w:ascii="Times New Roman" w:hAnsi="Times New Roman" w:eastAsia="黑体"/>
          <w:b/>
          <w:sz w:val="20"/>
        </w:rPr>
        <w:t>范文例证：</w:t>
      </w:r>
      <w:r>
        <w:rPr>
          <w:rFonts w:ascii="Times New Roman" w:hAnsi="Times New Roman" w:eastAsia="宋体"/>
          <w:b w:val="0"/>
          <w:sz w:val="20"/>
        </w:rPr>
        <w:t>Miki 的感知盲区→本体感知兜底</w:t>
      </w:r>
    </w:p>
    <w:p>
      <w:pPr>
        <w:spacing w:line="336" w:lineRule="auto" w:after="20"/>
        <w:ind w:left="420"/>
      </w:pPr>
      <w:r>
        <w:rPr>
          <w:rFonts w:ascii="Times New Roman" w:hAnsi="Times New Roman" w:eastAsia="黑体"/>
          <w:b/>
          <w:sz w:val="20"/>
        </w:rPr>
        <w:t>v2 落实：</w:t>
      </w:r>
      <w:r>
        <w:rPr>
          <w:rFonts w:ascii="Times New Roman" w:hAnsi="Times New Roman" w:eastAsia="宋体"/>
          <w:b w:val="0"/>
          <w:sz w:val="20"/>
        </w:rPr>
        <w:t>v2 摘要与第三章执行器退化 0.822 m→0.090 m 的叙事结构</w:t>
      </w:r>
    </w:p>
    <w:p>
      <w:pPr>
        <w:spacing w:before="140" w:after="40" w:line="336" w:lineRule="auto"/>
      </w:pPr>
      <w:r>
        <w:rPr>
          <w:rFonts w:ascii="Times New Roman" w:hAnsi="Times New Roman" w:eastAsia="黑体"/>
          <w:b/>
          <w:sz w:val="21"/>
        </w:rPr>
        <w:t>规律 6　约束条件前置，约束即卖点</w:t>
      </w:r>
    </w:p>
    <w:p>
      <w:pPr>
        <w:spacing w:line="336" w:lineRule="auto" w:after="20"/>
        <w:ind w:left="420"/>
      </w:pPr>
      <w:r>
        <w:rPr>
          <w:rFonts w:ascii="Times New Roman" w:hAnsi="Times New Roman" w:eastAsia="黑体"/>
          <w:b/>
          <w:sz w:val="20"/>
        </w:rPr>
        <w:t>范文例证：</w:t>
      </w:r>
      <w:r>
        <w:rPr>
          <w:rFonts w:ascii="Times New Roman" w:hAnsi="Times New Roman" w:eastAsia="宋体"/>
          <w:b w:val="0"/>
          <w:sz w:val="20"/>
        </w:rPr>
        <w:t>Swift 仅机载传感器、RT-1 真实世界数据</w:t>
      </w:r>
    </w:p>
    <w:p>
      <w:pPr>
        <w:spacing w:line="336" w:lineRule="auto" w:after="20"/>
        <w:ind w:left="420"/>
      </w:pPr>
      <w:r>
        <w:rPr>
          <w:rFonts w:ascii="Times New Roman" w:hAnsi="Times New Roman" w:eastAsia="黑体"/>
          <w:b/>
          <w:sz w:val="20"/>
        </w:rPr>
        <w:t>v2 落实：</w:t>
      </w:r>
      <w:r>
        <w:rPr>
          <w:rFonts w:ascii="Times New Roman" w:hAnsi="Times New Roman" w:eastAsia="宋体"/>
          <w:b w:val="0"/>
          <w:sz w:val="20"/>
        </w:rPr>
        <w:t>v2 摘要「权限修正量有界且初值为零」（审稿人第 1 条的机制补写）</w:t>
      </w:r>
    </w:p>
    <w:p>
      <w:pPr>
        <w:spacing w:before="140" w:after="40" w:line="336" w:lineRule="auto"/>
      </w:pPr>
      <w:r>
        <w:rPr>
          <w:rFonts w:ascii="Times New Roman" w:hAnsi="Times New Roman" w:eastAsia="黑体"/>
          <w:b/>
          <w:sz w:val="21"/>
        </w:rPr>
        <w:t>规律 7　强形容词必须由基准名称或对比数字双重支撑，否则删除</w:t>
      </w:r>
    </w:p>
    <w:p>
      <w:pPr>
        <w:spacing w:line="336" w:lineRule="auto" w:after="20"/>
        <w:ind w:left="420"/>
      </w:pPr>
      <w:r>
        <w:rPr>
          <w:rFonts w:ascii="Times New Roman" w:hAnsi="Times New Roman" w:eastAsia="黑体"/>
          <w:b/>
          <w:sz w:val="20"/>
        </w:rPr>
        <w:t>范文例证：</w:t>
      </w:r>
      <w:r>
        <w:rPr>
          <w:rFonts w:ascii="Times New Roman" w:hAnsi="Times New Roman" w:eastAsia="宋体"/>
          <w:b w:val="0"/>
          <w:sz w:val="20"/>
        </w:rPr>
        <w:t>PoliFormer 的 masterful 配基准与跨平台部署</w:t>
      </w:r>
    </w:p>
    <w:p>
      <w:pPr>
        <w:spacing w:line="336" w:lineRule="auto" w:after="20"/>
        <w:ind w:left="420"/>
      </w:pPr>
      <w:r>
        <w:rPr>
          <w:rFonts w:ascii="Times New Roman" w:hAnsi="Times New Roman" w:eastAsia="黑体"/>
          <w:b/>
          <w:sz w:val="20"/>
        </w:rPr>
        <w:t>v2 落实：</w:t>
      </w:r>
      <w:r>
        <w:rPr>
          <w:rFonts w:ascii="Times New Roman" w:hAnsi="Times New Roman" w:eastAsia="宋体"/>
          <w:b w:val="0"/>
          <w:sz w:val="20"/>
        </w:rPr>
        <w:t>v2 摘要删除「极为/极其」类空洞强化词（审稿人第 4 条）</w:t>
      </w:r>
    </w:p>
    <w:p>
      <w:pPr>
        <w:spacing w:before="140" w:after="40" w:line="336" w:lineRule="auto"/>
      </w:pPr>
      <w:r>
        <w:rPr>
          <w:rFonts w:ascii="Times New Roman" w:hAnsi="Times New Roman" w:eastAsia="黑体"/>
          <w:b/>
          <w:sz w:val="21"/>
        </w:rPr>
        <w:t>规律 8　研究阶段如实标注，初步结果用初步时态</w:t>
      </w:r>
    </w:p>
    <w:p>
      <w:pPr>
        <w:spacing w:line="336" w:lineRule="auto" w:after="20"/>
        <w:ind w:left="420"/>
      </w:pPr>
      <w:r>
        <w:rPr>
          <w:rFonts w:ascii="Times New Roman" w:hAnsi="Times New Roman" w:eastAsia="黑体"/>
          <w:b/>
          <w:sz w:val="20"/>
        </w:rPr>
        <w:t>范文例证：</w:t>
      </w:r>
      <w:r>
        <w:rPr>
          <w:rFonts w:ascii="Times New Roman" w:hAnsi="Times New Roman" w:eastAsia="宋体"/>
          <w:b w:val="0"/>
          <w:sz w:val="20"/>
        </w:rPr>
        <w:t>各顶会摘要中 only/preliminary 的克制使用</w:t>
      </w:r>
    </w:p>
    <w:p>
      <w:pPr>
        <w:spacing w:line="336" w:lineRule="auto" w:after="20"/>
        <w:ind w:left="420"/>
      </w:pPr>
      <w:r>
        <w:rPr>
          <w:rFonts w:ascii="Times New Roman" w:hAnsi="Times New Roman" w:eastAsia="黑体"/>
          <w:b/>
          <w:sz w:val="20"/>
        </w:rPr>
        <w:t>v2 落实：</w:t>
      </w:r>
      <w:r>
        <w:rPr>
          <w:rFonts w:ascii="Times New Roman" w:hAnsi="Times New Roman" w:eastAsia="宋体"/>
          <w:b w:val="0"/>
          <w:sz w:val="20"/>
        </w:rPr>
        <w:t>v2 摘要「前期仿真结果表明」（审稿人第 3 条）</w:t>
      </w:r>
    </w:p>
    <w:p>
      <w:pPr>
        <w:spacing w:before="200" w:after="100"/>
      </w:pPr>
      <w:r>
        <w:rPr>
          <w:rFonts w:ascii="Times New Roman" w:hAnsi="Times New Roman" w:eastAsia="黑体"/>
          <w:b/>
          <w:sz w:val="24"/>
        </w:rPr>
        <w:t>备注</w:t>
      </w:r>
    </w:p>
    <w:p>
      <w:pPr>
        <w:spacing w:line="360" w:lineRule="auto"/>
        <w:ind w:firstLine="420"/>
      </w:pPr>
      <w:r>
        <w:rPr>
          <w:rFonts w:ascii="Times New Roman" w:hAnsi="Times New Roman" w:eastAsia="宋体"/>
          <w:b w:val="0"/>
          <w:sz w:val="21"/>
        </w:rPr>
        <w:t>（1）本档案 20 篇中 12 篇同时是开题报告参考文献（标注于各条目），阅读与引用体系互为支撑，无孤证。（2）所有摘要要点均于 2026-09-23 经网络检索核实（Science.org / Nature.com / arXiv / CoRL 官网），未逐字转译，仅保留叙事结构相关信息。（3）本档案为补建档：开题报告 v2 的摘要修订当时依据用户批注与审稿人意见完成，未同步留存阅读记录，特此补全并作今后写作风格校准的常备参考。</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