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0"/>
        <w:jc w:val="both"/>
      </w:pPr>
    </w:p>
    <w:p>
      <w:pPr>
        <w:spacing w:line="360" w:lineRule="auto" w:after="600"/>
        <w:jc w:val="center"/>
      </w:pPr>
      <w:r>
        <w:rPr>
          <w:rFonts w:ascii="Times New Roman" w:hAnsi="Times New Roman" w:eastAsia="黑体"/>
          <w:b/>
          <w:color w:val="000000"/>
          <w:sz w:val="44"/>
        </w:rPr>
        <w:t>基于预测权限控制的水下机器人鲁棒跟踪控制研究</w:t>
      </w:r>
    </w:p>
    <w:p>
      <w:pPr>
        <w:spacing w:line="360" w:lineRule="auto" w:after="600"/>
        <w:jc w:val="center"/>
      </w:pPr>
      <w:r>
        <w:rPr>
          <w:rFonts w:ascii="Times New Roman" w:hAnsi="Times New Roman" w:eastAsia="宋体"/>
          <w:b w:val="0"/>
          <w:color w:val="000000"/>
          <w:sz w:val="28"/>
        </w:rPr>
        <w:t>Research on Robust Tracking Control of Underwater Vehicles</w:t>
        <w:br/>
        <w:t>Based on Predictive Authority Control</w:t>
      </w:r>
    </w:p>
    <w:tbl>
      <w:tblPr>
        <w:tblStyle w:val="TableGrid"/>
        <w:tblW w:type="auto" w:w="0"/>
        <w:jc w:val="center"/>
        <w:tblLook w:firstColumn="1" w:firstRow="1" w:lastColumn="0" w:lastRow="0" w:noHBand="0" w:noVBand="1" w:val="04A0"/>
      </w:tblPr>
      <w:tblGrid>
        <w:gridCol w:w="4323"/>
        <w:gridCol w:w="4323"/>
      </w:tblGrid>
      <w:tr>
        <w:tc>
          <w:tcPr>
            <w:tcW w:type="dxa" w:w="2268"/>
          </w:tcPr>
          <w:p>
            <w:pPr>
              <w:jc w:val="center"/>
            </w:pPr>
            <w:r>
              <w:rPr>
                <w:rFonts w:ascii="Times New Roman" w:hAnsi="Times New Roman" w:eastAsia="黑体"/>
                <w:b/>
                <w:color w:val="000000"/>
                <w:sz w:val="24"/>
              </w:rPr>
              <w:t>研究生姓名</w:t>
            </w:r>
          </w:p>
        </w:tc>
        <w:tc>
          <w:tcPr>
            <w:tcW w:type="dxa" w:w="4535"/>
          </w:tcPr>
          <w:p>
            <w:pPr>
              <w:jc w:val="center"/>
            </w:pPr>
            <w:r>
              <w:rPr>
                <w:rFonts w:ascii="Times New Roman" w:hAnsi="Times New Roman" w:eastAsia="宋体"/>
                <w:b w:val="0"/>
                <w:color w:val="000000"/>
                <w:sz w:val="24"/>
              </w:rPr>
              <w:t>田家丞</w:t>
            </w:r>
          </w:p>
        </w:tc>
      </w:tr>
      <w:tr>
        <w:tc>
          <w:tcPr>
            <w:tcW w:type="dxa" w:w="2268"/>
          </w:tcPr>
          <w:p>
            <w:pPr>
              <w:jc w:val="center"/>
            </w:pPr>
            <w:r>
              <w:rPr>
                <w:rFonts w:ascii="Times New Roman" w:hAnsi="Times New Roman" w:eastAsia="黑体"/>
                <w:b/>
                <w:color w:val="000000"/>
                <w:sz w:val="24"/>
              </w:rPr>
              <w:t>指导教师</w:t>
            </w:r>
          </w:p>
        </w:tc>
        <w:tc>
          <w:tcPr>
            <w:tcW w:type="dxa" w:w="4535"/>
          </w:tcPr>
          <w:p>
            <w:pPr>
              <w:jc w:val="center"/>
            </w:pPr>
            <w:r>
              <w:rPr>
                <w:rFonts w:ascii="Times New Roman" w:hAnsi="Times New Roman" w:eastAsia="宋体"/>
                <w:b w:val="0"/>
                <w:color w:val="000000"/>
                <w:sz w:val="24"/>
              </w:rPr>
              <w:t>【导师姓名】</w:t>
            </w:r>
          </w:p>
        </w:tc>
      </w:tr>
      <w:tr>
        <w:tc>
          <w:tcPr>
            <w:tcW w:type="dxa" w:w="2268"/>
          </w:tcPr>
          <w:p>
            <w:pPr>
              <w:jc w:val="center"/>
            </w:pPr>
            <w:r>
              <w:rPr>
                <w:rFonts w:ascii="Times New Roman" w:hAnsi="Times New Roman" w:eastAsia="黑体"/>
                <w:b/>
                <w:color w:val="000000"/>
                <w:sz w:val="24"/>
              </w:rPr>
              <w:t>专业名称</w:t>
            </w:r>
          </w:p>
        </w:tc>
        <w:tc>
          <w:tcPr>
            <w:tcW w:type="dxa" w:w="4535"/>
          </w:tcPr>
          <w:p>
            <w:pPr>
              <w:jc w:val="center"/>
            </w:pPr>
            <w:r>
              <w:rPr>
                <w:rFonts w:ascii="Times New Roman" w:hAnsi="Times New Roman" w:eastAsia="宋体"/>
                <w:b w:val="0"/>
                <w:color w:val="000000"/>
                <w:sz w:val="24"/>
              </w:rPr>
              <w:t>【专业名称】</w:t>
            </w:r>
          </w:p>
        </w:tc>
      </w:tr>
      <w:tr>
        <w:tc>
          <w:tcPr>
            <w:tcW w:type="dxa" w:w="2268"/>
          </w:tcPr>
          <w:p>
            <w:pPr>
              <w:jc w:val="center"/>
            </w:pPr>
            <w:r>
              <w:rPr>
                <w:rFonts w:ascii="Times New Roman" w:hAnsi="Times New Roman" w:eastAsia="黑体"/>
                <w:b/>
                <w:color w:val="000000"/>
                <w:sz w:val="24"/>
              </w:rPr>
              <w:t>研究方向</w:t>
            </w:r>
          </w:p>
        </w:tc>
        <w:tc>
          <w:tcPr>
            <w:tcW w:type="dxa" w:w="4535"/>
          </w:tcPr>
          <w:p>
            <w:pPr>
              <w:jc w:val="center"/>
            </w:pPr>
            <w:r>
              <w:rPr>
                <w:rFonts w:ascii="Times New Roman" w:hAnsi="Times New Roman" w:eastAsia="宋体"/>
                <w:b w:val="0"/>
                <w:color w:val="000000"/>
                <w:sz w:val="24"/>
              </w:rPr>
              <w:t>水下机器人运动控制</w:t>
            </w:r>
          </w:p>
        </w:tc>
      </w:tr>
      <w:tr>
        <w:tc>
          <w:tcPr>
            <w:tcW w:type="dxa" w:w="2268"/>
          </w:tcPr>
          <w:p>
            <w:pPr>
              <w:jc w:val="center"/>
            </w:pPr>
            <w:r>
              <w:rPr>
                <w:rFonts w:ascii="Times New Roman" w:hAnsi="Times New Roman" w:eastAsia="黑体"/>
                <w:b/>
                <w:color w:val="000000"/>
                <w:sz w:val="24"/>
              </w:rPr>
              <w:t>所在院系</w:t>
            </w:r>
          </w:p>
        </w:tc>
        <w:tc>
          <w:tcPr>
            <w:tcW w:type="dxa" w:w="4535"/>
          </w:tcPr>
          <w:p>
            <w:pPr>
              <w:jc w:val="center"/>
            </w:pPr>
            <w:r>
              <w:rPr>
                <w:rFonts w:ascii="Times New Roman" w:hAnsi="Times New Roman" w:eastAsia="宋体"/>
                <w:b w:val="0"/>
                <w:color w:val="000000"/>
                <w:sz w:val="24"/>
              </w:rPr>
              <w:t>海洋学院</w:t>
            </w:r>
          </w:p>
        </w:tc>
      </w:tr>
      <w:tr>
        <w:tc>
          <w:tcPr>
            <w:tcW w:type="dxa" w:w="2268"/>
          </w:tcPr>
          <w:p>
            <w:pPr>
              <w:jc w:val="center"/>
            </w:pPr>
            <w:r>
              <w:rPr>
                <w:rFonts w:ascii="Times New Roman" w:hAnsi="Times New Roman" w:eastAsia="黑体"/>
                <w:b/>
                <w:color w:val="000000"/>
                <w:sz w:val="24"/>
              </w:rPr>
              <w:t>提交日期</w:t>
            </w:r>
          </w:p>
        </w:tc>
        <w:tc>
          <w:tcPr>
            <w:tcW w:type="dxa" w:w="4535"/>
          </w:tcPr>
          <w:p>
            <w:pPr>
              <w:jc w:val="center"/>
            </w:pPr>
            <w:r>
              <w:rPr>
                <w:rFonts w:ascii="Times New Roman" w:hAnsi="Times New Roman" w:eastAsia="宋体"/>
                <w:b w:val="0"/>
                <w:color w:val="000000"/>
                <w:sz w:val="24"/>
              </w:rPr>
              <w:t>2026年10月</w:t>
            </w:r>
          </w:p>
        </w:tc>
      </w:tr>
    </w:tbl>
    <w:p>
      <w:r>
        <w:br w:type="page"/>
      </w:r>
    </w:p>
    <w:p>
      <w:pPr>
        <w:keepNext/>
        <w:spacing w:before="360" w:after="160" w:line="360" w:lineRule="auto"/>
      </w:pPr>
      <w:r>
        <w:rPr>
          <w:rFonts w:ascii="Times New Roman" w:hAnsi="Times New Roman" w:eastAsia="黑体"/>
          <w:b/>
          <w:color w:val="000000"/>
          <w:sz w:val="28"/>
        </w:rPr>
        <w:t>摘  要</w:t>
      </w:r>
    </w:p>
    <w:p>
      <w:pPr>
        <w:spacing w:line="360" w:lineRule="auto" w:after="120"/>
        <w:ind w:firstLine="420"/>
        <w:jc w:val="both"/>
      </w:pPr>
      <w:r>
        <w:rPr>
          <w:rFonts w:ascii="Times New Roman" w:hAnsi="Times New Roman" w:eastAsia="宋体"/>
          <w:b w:val="0"/>
          <w:color w:val="000000"/>
          <w:sz w:val="21"/>
        </w:rPr>
        <w:t>海洋变暖与酸化对海洋生态系统的威胁比此前认知的更为严重[1]，而自主水下航行器（AUV）是获取长期海洋观测数据的主要平台[2]。这些航行器需要在海流扰动、参数漂移和执行器退化等不确定条件下维持精确的轨迹跟踪——在此条件下，没有任何单一控制器能始终保持可靠。滑模控制（SMC）具有强鲁棒性但控制粗糙；模型预测控制（MPC）精准但依赖模型精度——当执行器退化导致模型失配时，MPC在本文仿真中的误差发散至0.822 m，约为正常水平的九倍，逼近1 m任务失败线。直接深度强化学习虽能适应此类偏移，但其输出的六维推杆指令无法进行安全认证。本研究通过限制学习系统控制的内容来解决这一安全-鲁棒性困境：学习组件不产生推杆指令，而是学习一个有界标量权限系数，连续混合两个已验证控制器。一个14,113参数的Transformer编码器读取0.16秒闭环历史以预测该系数；一个2,177参数的残差头——零初始化且每步修正不超过0.1——通过受约束强化学习在冻结骨干上对其进行精化，从而保证部署起点与已验证基线数值一致，此后只能在有界包络内偏离。在覆盖8个扰动族、1,680个配对回合的预注册评估中，残差策略将分布外跟踪误差从0.161 m降至0.116 m（相对改善28%），将执行器退化失效从0.822 m约束至0.090 m，并在六种方法中取得最低的饱和率和控制代价。增益伴随已披露的代价：分布内误差上升4.4%，艏向误差上升4.3%，求解器超时率从0.69升至0.80。整个学习系统仅含16,290参数（63.6 KB），适配嵌入式部署的轻量设计。</w:t>
      </w:r>
    </w:p>
    <w:p>
      <w:pPr>
        <w:spacing w:line="360" w:lineRule="auto" w:after="120"/>
        <w:jc w:val="both"/>
      </w:pPr>
      <w:r>
        <w:rPr>
          <w:rFonts w:ascii="Times New Roman" w:hAnsi="Times New Roman" w:eastAsia="宋体"/>
          <w:b w:val="0"/>
          <w:color w:val="000000"/>
          <w:sz w:val="21"/>
        </w:rPr>
        <w:t>关键词：自主水下航行器；权限分配；残差强化学习；滑模控制；模型预测控制；安全学习</w:t>
      </w:r>
    </w:p>
    <w:p>
      <w:r>
        <w:br w:type="page"/>
      </w:r>
    </w:p>
    <w:p>
      <w:pPr>
        <w:keepNext/>
        <w:spacing w:before="360" w:after="160" w:line="360" w:lineRule="auto"/>
      </w:pPr>
      <w:r>
        <w:rPr>
          <w:rFonts w:ascii="Times New Roman" w:hAnsi="Times New Roman" w:eastAsia="黑体"/>
          <w:b/>
          <w:color w:val="000000"/>
          <w:sz w:val="28"/>
        </w:rPr>
        <w:t>Abstract</w:t>
      </w:r>
    </w:p>
    <w:p>
      <w:pPr>
        <w:spacing w:line="360" w:lineRule="auto" w:after="120"/>
        <w:ind w:firstLine="420"/>
        <w:jc w:val="both"/>
      </w:pPr>
      <w:r>
        <w:rPr>
          <w:rFonts w:ascii="Times New Roman" w:hAnsi="Times New Roman" w:eastAsia="宋体"/>
          <w:b w:val="0"/>
          <w:color w:val="000000"/>
          <w:sz w:val="21"/>
        </w:rPr>
        <w:t>Ocean warming and acidification threaten marine ecosystems more severely than previously recognized [1], and autonomous underwater vehicles (AUVs) are the primary platform for the long-term observations needed to understand these changes [2]. These vehicles must maintain precise trajectory tracking under uncertain currents, parameter drift, and actuator degradation—conditions under which no single controller remains reliable. Sliding-mode control (SMC) is robust but coarse; model predictive control (MPC) is precise but collapses when its model is wrong—in our simulations, actuator degradation causes MPC to diverge to 0.822 m, nine times the nominal error and approaching the 1 m mission-failure threshold. Direct reinforcement learning can adapt but produces policies that cannot be certified for deployment. This research resolves this safety-robustness dilemma by restricting what the learning system controls: instead of generating thruster commands, it learns only a single bounded trust coefficient that continuously blends the two verified controllers. A 14,113-parameter Transformer encodes 0.16 s of closed-loop history to predict this coefficient; a 2,177-parameter residual head, zero-initialized and bounded by 0.1 per step, then refines it through constrained reinforcement learning on the frozen backbone. In a pre-registered paired evaluation of 1,680 rollouts across eight disturbance families, the residual policy reduces out-of-distribution tracking error by 28% (0.161 m to 0.116 m), confines the actuator-degradation failure from 0.822 m to 0.090 m, and achieves the lowest saturation and control cost among all six methods. The gains carry disclosed costs: in-distribution error rises by 4.4%, heading error by 4.3%, and the solver deadline-miss fraction from 0.69 to 0.80. The entire learning system contains 16,290 parameters (63.6 KB), suitable for embedded deployment.</w:t>
      </w:r>
    </w:p>
    <w:p>
      <w:pPr>
        <w:spacing w:line="360" w:lineRule="auto" w:after="120"/>
        <w:jc w:val="both"/>
      </w:pPr>
      <w:r>
        <w:rPr>
          <w:rFonts w:ascii="Times New Roman" w:hAnsi="Times New Roman" w:eastAsia="宋体"/>
          <w:b w:val="0"/>
          <w:color w:val="000000"/>
          <w:sz w:val="21"/>
        </w:rPr>
        <w:t>Keywords: autonomous underwater vehicle; authority allocation; residual reinforcement learning; sliding-mode control; model predictive control; safe learning</w:t>
      </w:r>
    </w:p>
    <w:p>
      <w:r>
        <w:br w:type="page"/>
      </w:r>
    </w:p>
    <w:p>
      <w:pPr>
        <w:keepNext/>
        <w:spacing w:before="360" w:after="160" w:line="360" w:lineRule="auto"/>
      </w:pPr>
      <w:r>
        <w:rPr>
          <w:rFonts w:ascii="Times New Roman" w:hAnsi="Times New Roman" w:eastAsia="黑体"/>
          <w:b/>
          <w:color w:val="000000"/>
          <w:sz w:val="28"/>
        </w:rPr>
        <w:t>1  选题意义</w:t>
      </w:r>
    </w:p>
    <w:p>
      <w:pPr>
        <w:keepNext/>
        <w:spacing w:before="200" w:after="100" w:line="360" w:lineRule="auto"/>
      </w:pPr>
      <w:r>
        <w:rPr>
          <w:rFonts w:ascii="Times New Roman" w:hAnsi="Times New Roman" w:eastAsia="黑体"/>
          <w:b/>
          <w:color w:val="000000"/>
          <w:sz w:val="24"/>
        </w:rPr>
        <w:t>1.1  研究背景及意义</w:t>
      </w:r>
    </w:p>
    <w:p>
      <w:pPr>
        <w:spacing w:line="360" w:lineRule="auto" w:after="120"/>
        <w:ind w:firstLine="420"/>
        <w:jc w:val="both"/>
      </w:pPr>
      <w:r>
        <w:rPr>
          <w:rFonts w:ascii="Times New Roman" w:hAnsi="Times New Roman" w:eastAsia="宋体"/>
          <w:b w:val="0"/>
          <w:color w:val="000000"/>
          <w:sz w:val="21"/>
        </w:rPr>
        <w:t>海洋已吸收了温室气体捕获的多余热量的90%以上，由此引起的变暖和酸化正在比此前认知更为深刻地改变海洋生态系统：一项发表于Nature Communications的元分析揭示，变暖与酸化的联合效应影响的生物性状是单一压力因子的两倍[1]。理解和缓解这些变化需要持续、大规模的海洋观测，其持续时间、天气容忍度和成本均超出船基航次的能力。Science Robotics近期的一篇综述呼吁向自主机器人组织范式转变，以低成本实现大面积海洋观测[2]。自主水下航行器是公认的答案：其每一次测量的科学价值取决于测量时航行器所在的位置；跟踪误差不仅使观测配准错误、图像质量下降、碰撞裕度缩窄，还会浪费有限的推进能量。</w:t>
      </w:r>
    </w:p>
    <w:p>
      <w:pPr>
        <w:spacing w:line="360" w:lineRule="auto" w:after="120"/>
        <w:ind w:firstLine="420"/>
        <w:jc w:val="both"/>
      </w:pPr>
      <w:r>
        <w:rPr>
          <w:rFonts w:ascii="Times New Roman" w:hAnsi="Times New Roman" w:eastAsia="宋体"/>
          <w:b w:val="0"/>
          <w:color w:val="000000"/>
          <w:sz w:val="21"/>
        </w:rPr>
        <w:t>精确轨迹跟踪仍是一个未解决的控制问题。滑模控制通过透明的趋近律结构抑制有界扰动[3-5]，但其鲁棒性以保守增益和非平滑动作为代价。模型预测控制利用预测模型和显式目标函数在跟踪与控制动作之间权衡[6,7]，但当内部模型不再代表真实对象时其优势即消失——本文仿真中，执行器退化场景下MPC单独工作的误差发散至0.822 m，逼近1 m任务失败线。混合方案在固定阈值下切换两种控制器[8]，但无法适应任务中连续变化的工况。</w:t>
      </w:r>
    </w:p>
    <w:p>
      <w:pPr>
        <w:spacing w:line="360" w:lineRule="auto" w:after="120"/>
        <w:ind w:firstLine="420"/>
        <w:jc w:val="both"/>
      </w:pPr>
      <w:r>
        <w:rPr>
          <w:rFonts w:ascii="Times New Roman" w:hAnsi="Times New Roman" w:eastAsia="宋体"/>
          <w:b w:val="0"/>
          <w:color w:val="000000"/>
          <w:sz w:val="21"/>
        </w:rPr>
        <w:t>对偏移条件的适应需要学习。然而，学习方法引入了一个验证问题。端到端深度强化学习已在六自由度AUV控制中展示了强大结果[9,10]，但学习策略输出的六维推杆指令的最坏情形无法界定或认证。残差强化学习[11,12]在程序化控制器之上叠加学习修正，但仍在无安全包络的情况下扰动全部执行器空间。监督学习——包括本课题组前期的时序权限预测工作——仅在oracle标签可可靠生成的确定性环境中有效；分布偏移时，学习到的权限系数甚至劣于完全不调度的固定混合值。</w:t>
      </w:r>
    </w:p>
    <w:p>
      <w:pPr>
        <w:spacing w:line="360" w:lineRule="auto" w:after="120"/>
        <w:ind w:firstLine="420"/>
        <w:jc w:val="both"/>
      </w:pPr>
      <w:r>
        <w:rPr>
          <w:rFonts w:ascii="Times New Roman" w:hAnsi="Times New Roman" w:eastAsia="宋体"/>
          <w:b w:val="0"/>
          <w:color w:val="000000"/>
          <w:sz w:val="21"/>
        </w:rPr>
        <w:t>本研究通过限制学习系统被允许控制的内容来解决安全-鲁棒性困境：学习策略不产生推杆指令，而是输出一个有界标量权限系数，连续混合两个已验证的控制器。零初始化残差头有界为每步最多修正0.1，使部署系统精确地从已验证基线出发，此后只能在可界定的包络内偏离。整个架构占用63.6 KB，控制回路在仿真中以100 Hz运行。本研究的意义在于：（1）可在安全约束下部署学习型控制器的架构性方案；（2）预注册配对评估协议的方法论贡献；（3）16,290参数的极轻量设计，适配嵌入式平台。</w:t>
      </w:r>
    </w:p>
    <w:p>
      <w:pPr>
        <w:keepNext/>
        <w:spacing w:before="200" w:after="100" w:line="360" w:lineRule="auto"/>
      </w:pPr>
      <w:r>
        <w:rPr>
          <w:rFonts w:ascii="Times New Roman" w:hAnsi="Times New Roman" w:eastAsia="黑体"/>
          <w:b/>
          <w:color w:val="000000"/>
          <w:sz w:val="24"/>
        </w:rPr>
        <w:t>1.2  国内外相关研究进展</w:t>
      </w:r>
    </w:p>
    <w:p>
      <w:pPr>
        <w:keepNext/>
        <w:spacing w:before="120" w:after="60" w:line="360" w:lineRule="auto"/>
      </w:pPr>
      <w:r>
        <w:rPr>
          <w:rFonts w:ascii="Times New Roman" w:hAnsi="Times New Roman" w:eastAsia="黑体"/>
          <w:b/>
          <w:color w:val="000000"/>
          <w:sz w:val="21"/>
        </w:rPr>
        <w:t>1.2.1  水下机器人运动控制研究现状</w:t>
      </w:r>
    </w:p>
    <w:p>
      <w:pPr>
        <w:spacing w:line="360" w:lineRule="auto" w:after="120"/>
        <w:ind w:firstLine="420"/>
        <w:jc w:val="both"/>
      </w:pPr>
      <w:r>
        <w:rPr>
          <w:rFonts w:ascii="Times New Roman" w:hAnsi="Times New Roman" w:eastAsia="宋体"/>
          <w:b w:val="0"/>
          <w:color w:val="000000"/>
          <w:sz w:val="21"/>
        </w:rPr>
        <w:t>水下机器人运动控制建立在非线刚体动力学、附加质量和水动力阻尼的物理模型之上[1,2]。滑模控制通过设计趋近律抑制有界扰动，在参数不确定下具有强鲁棒性[3]，但其不连续或高增益动作可能引起抖振并激励执行器。模型预测控制利用预测模型和显式目标函数在跟踪与控制动作之间权衡[4]，实验性AUV工作已将非线性MPC与扰动处理层结合以改善不确定条件下的跟踪性能[5]。混合方案在阈值切换下结合两种控制器的优势[6,7]，但切换面在设计时固定，无法适应时变工况。自适应控制方法（如RBF神经网络自适应[8]、L1自适应[9]）能在线调整参数，但主要针对参数不确定而非分布外扰动。</w:t>
      </w:r>
    </w:p>
    <w:p>
      <w:pPr>
        <w:keepNext/>
        <w:spacing w:before="120" w:after="60" w:line="360" w:lineRule="auto"/>
      </w:pPr>
      <w:r>
        <w:rPr>
          <w:rFonts w:ascii="Times New Roman" w:hAnsi="Times New Roman" w:eastAsia="黑体"/>
          <w:b/>
          <w:color w:val="000000"/>
          <w:sz w:val="21"/>
        </w:rPr>
        <w:t>1.2.2  强化学习与智能控制研究现状</w:t>
      </w:r>
    </w:p>
    <w:p>
      <w:pPr>
        <w:keepNext/>
        <w:spacing w:before="120" w:after="60" w:line="360" w:lineRule="auto"/>
      </w:pPr>
      <w:r>
        <w:rPr>
          <w:rFonts w:ascii="Times New Roman" w:hAnsi="Times New Roman" w:eastAsia="黑体"/>
          <w:b/>
          <w:color w:val="000000"/>
          <w:sz w:val="21"/>
        </w:rPr>
        <w:t>1.2.2.1  深度强化学习控制</w:t>
      </w:r>
    </w:p>
    <w:p>
      <w:pPr>
        <w:spacing w:line="360" w:lineRule="auto" w:after="120"/>
        <w:ind w:firstLine="420"/>
        <w:jc w:val="both"/>
      </w:pPr>
      <w:r>
        <w:rPr>
          <w:rFonts w:ascii="Times New Roman" w:hAnsi="Times New Roman" w:eastAsia="宋体"/>
          <w:b w:val="0"/>
          <w:color w:val="000000"/>
          <w:sz w:val="21"/>
        </w:rPr>
        <w:t>深度强化学习通过与环境的交互实现自适应控制策略。Fan等[10]提出改进的TD3算法用于UUV路径跟随，在非线性动力学下实现了优于DDPG和标准TD3的控制性能。Cai等[11]在ICRA 2025上展示了基于强化学习的6自由度AUV控制（Learning to Swim），在Isaac仿真环境中训练并迁移至真实航行器CUREE。这些方法直接学习完整的执行器指令映射，具有高灵活性但缺少安全认证手段——学习策略的行为难以分解和审计，且最坏情形无法界定。</w:t>
      </w:r>
    </w:p>
    <w:p>
      <w:pPr>
        <w:keepNext/>
        <w:spacing w:before="120" w:after="60" w:line="360" w:lineRule="auto"/>
      </w:pPr>
      <w:r>
        <w:rPr>
          <w:rFonts w:ascii="Times New Roman" w:hAnsi="Times New Roman" w:eastAsia="黑体"/>
          <w:b/>
          <w:color w:val="000000"/>
          <w:sz w:val="21"/>
        </w:rPr>
        <w:t>1.2.2.2  残差强化学习</w:t>
      </w:r>
    </w:p>
    <w:p>
      <w:pPr>
        <w:spacing w:line="360" w:lineRule="auto" w:after="120"/>
        <w:ind w:firstLine="420"/>
        <w:jc w:val="both"/>
      </w:pPr>
      <w:r>
        <w:rPr>
          <w:rFonts w:ascii="Times New Roman" w:hAnsi="Times New Roman" w:eastAsia="宋体"/>
          <w:b w:val="0"/>
          <w:color w:val="000000"/>
          <w:sz w:val="21"/>
        </w:rPr>
        <w:t>残差强化学习将学习策略与传统控制器结合：学习组件只产生对基础控制器的修正量而非完整指令。Johannink等[12]在ICRA 2019的开创性工作中将SAC策略叠加在脚本控制器之上，在真实机器人装配任务中显著提升成功率。Silver等[13]的Residual Policy Learning进一步验证了该方法在灵巧操作中的有效性。然而，现有残差RL方法的修正量作用于执行器空间（6维），缺乏有界安全保证，且未见在水下机器人控制中的应用。本研究将残差思想从执行器空间缩减到权限空间（1维标量），并引入零初始化和有界约束，使安全论证成为可能。</w:t>
      </w:r>
    </w:p>
    <w:p>
      <w:pPr>
        <w:keepNext/>
        <w:spacing w:before="120" w:after="60" w:line="360" w:lineRule="auto"/>
      </w:pPr>
      <w:r>
        <w:rPr>
          <w:rFonts w:ascii="Times New Roman" w:hAnsi="Times New Roman" w:eastAsia="黑体"/>
          <w:b/>
          <w:color w:val="000000"/>
          <w:sz w:val="21"/>
        </w:rPr>
        <w:t>1.2.3  学习型权限分配研究现状</w:t>
      </w:r>
    </w:p>
    <w:p>
      <w:pPr>
        <w:spacing w:line="360" w:lineRule="auto" w:after="120"/>
        <w:ind w:firstLine="420"/>
        <w:jc w:val="both"/>
      </w:pPr>
      <w:r>
        <w:rPr>
          <w:rFonts w:ascii="Times New Roman" w:hAnsi="Times New Roman" w:eastAsia="宋体"/>
          <w:b w:val="0"/>
          <w:color w:val="000000"/>
          <w:sz w:val="21"/>
        </w:rPr>
        <w:t>学习型权限分配的核心问题是：给定两个（或多个）完整的控制器，如何根据当前状态动态决定各控制器的权重。增益调度（gain scheduling）是传统方案，但调度规律需人工设计。人机共享控制中的权限分配[14]将人类操作员与自动驾驶的输出按学习到的权重混合，概念上与本研究相近但应用场景不同。在本课题组的前期工作（v1–v3）中，已建立了基于Transformer的权限预测框架，并在三种结构化海流下验证了监督学习方法的可行性[15]。本研究在此基础上进一步引入受约束残差强化学习，解决监督方法在分布外扰动下退化的核心问题。</w:t>
      </w:r>
    </w:p>
    <w:p>
      <w:pPr>
        <w:keepNext/>
        <w:spacing w:before="200" w:after="100" w:line="360" w:lineRule="auto"/>
      </w:pPr>
      <w:r>
        <w:rPr>
          <w:rFonts w:ascii="Times New Roman" w:hAnsi="Times New Roman" w:eastAsia="黑体"/>
          <w:b/>
          <w:color w:val="000000"/>
          <w:sz w:val="24"/>
        </w:rPr>
        <w:t>1.3  课题来源</w:t>
      </w:r>
    </w:p>
    <w:p>
      <w:pPr>
        <w:spacing w:line="360" w:lineRule="auto" w:after="120"/>
        <w:ind w:firstLine="420"/>
        <w:jc w:val="both"/>
      </w:pPr>
      <w:r>
        <w:rPr>
          <w:rFonts w:ascii="Times New Roman" w:hAnsi="Times New Roman" w:eastAsia="宋体"/>
          <w:b w:val="0"/>
          <w:color w:val="000000"/>
          <w:sz w:val="21"/>
        </w:rPr>
        <w:t>本课题来源于【导师主持的科研项目名称及编号】。</w:t>
      </w:r>
    </w:p>
    <w:p>
      <w:pPr>
        <w:keepNext/>
        <w:spacing w:before="200" w:after="100" w:line="360" w:lineRule="auto"/>
      </w:pPr>
      <w:r>
        <w:rPr>
          <w:rFonts w:ascii="Times New Roman" w:hAnsi="Times New Roman" w:eastAsia="黑体"/>
          <w:b/>
          <w:color w:val="000000"/>
          <w:sz w:val="24"/>
        </w:rPr>
        <w:t>1.4  研究目标和拟解决的关键问题</w:t>
      </w:r>
    </w:p>
    <w:p>
      <w:pPr>
        <w:spacing w:line="360" w:lineRule="auto" w:after="120"/>
        <w:ind w:firstLine="420"/>
        <w:jc w:val="both"/>
      </w:pPr>
      <w:r>
        <w:rPr>
          <w:rFonts w:ascii="Times New Roman" w:hAnsi="Times New Roman" w:eastAsia="宋体"/>
          <w:b w:val="0"/>
          <w:color w:val="000000"/>
          <w:sz w:val="21"/>
        </w:rPr>
        <w:t>本研究的总体目标是：建立一套基于预测权限控制的水下机器人鲁棒跟踪控制体系，在保证安全底线的前提下，通过受约束残差强化学习获得对分布外扰动的鲁棒性，并最终在真实水下平台上完成硬件验证。</w:t>
      </w:r>
    </w:p>
    <w:p>
      <w:pPr>
        <w:spacing w:line="360" w:lineRule="auto" w:after="120"/>
        <w:ind w:firstLine="420"/>
        <w:jc w:val="both"/>
      </w:pPr>
      <w:r>
        <w:rPr>
          <w:rFonts w:ascii="Times New Roman" w:hAnsi="Times New Roman" w:eastAsia="宋体"/>
          <w:b w:val="0"/>
          <w:color w:val="000000"/>
          <w:sz w:val="21"/>
        </w:rPr>
        <w:t>拟解决的关键问题包括：</w:t>
      </w:r>
    </w:p>
    <w:p>
      <w:pPr>
        <w:spacing w:line="360" w:lineRule="auto" w:after="120"/>
        <w:ind w:firstLine="420"/>
        <w:jc w:val="both"/>
      </w:pPr>
      <w:r>
        <w:rPr>
          <w:rFonts w:ascii="Times New Roman" w:hAnsi="Times New Roman" w:eastAsia="宋体"/>
          <w:b w:val="0"/>
          <w:color w:val="000000"/>
          <w:sz w:val="21"/>
        </w:rPr>
        <w:t>（1）如何设计学习组件的接口使其安全可认证：将学习输出从6维推杆指令缩减为1维有界权限系数，并通过零初始化和分层安全滤波保证最坏情形退化为已验证基线。</w:t>
      </w:r>
    </w:p>
    <w:p>
      <w:pPr>
        <w:spacing w:line="360" w:lineRule="auto" w:after="120"/>
        <w:ind w:firstLine="420"/>
        <w:jc w:val="both"/>
      </w:pPr>
      <w:r>
        <w:rPr>
          <w:rFonts w:ascii="Times New Roman" w:hAnsi="Times New Roman" w:eastAsia="宋体"/>
          <w:b w:val="0"/>
          <w:color w:val="000000"/>
          <w:sz w:val="21"/>
        </w:rPr>
        <w:t>（2）如何使学习系统具备分布外鲁棒性：监督学习仅在可生成标准答案的环境中有效，残差强化学习通过奖励信号在更广的扰动环境中训练，获得对分布偏移的泛化能力。</w:t>
      </w:r>
    </w:p>
    <w:p>
      <w:pPr>
        <w:spacing w:line="360" w:lineRule="auto" w:after="120"/>
        <w:ind w:firstLine="420"/>
        <w:jc w:val="both"/>
      </w:pPr>
      <w:r>
        <w:rPr>
          <w:rFonts w:ascii="Times New Roman" w:hAnsi="Times New Roman" w:eastAsia="宋体"/>
          <w:b w:val="0"/>
          <w:color w:val="000000"/>
          <w:sz w:val="21"/>
        </w:rPr>
        <w:t>（3）如何在保持轻量化的同时实现上述目标：整个学习系统（编码器+残差头）仅16,290参数，为同类深度学习控制器的1/4至1/20，可在嵌入式平台实时运行。</w:t>
      </w:r>
    </w:p>
    <w:p>
      <w:r>
        <w:br w:type="page"/>
      </w:r>
    </w:p>
    <w:p>
      <w:pPr>
        <w:keepNext/>
        <w:spacing w:before="360" w:after="160" w:line="360" w:lineRule="auto"/>
      </w:pPr>
      <w:r>
        <w:rPr>
          <w:rFonts w:ascii="Times New Roman" w:hAnsi="Times New Roman" w:eastAsia="黑体"/>
          <w:b/>
          <w:color w:val="000000"/>
          <w:sz w:val="28"/>
        </w:rPr>
        <w:t>2  研究内容及方案</w:t>
      </w:r>
    </w:p>
    <w:p>
      <w:pPr>
        <w:keepNext/>
        <w:spacing w:before="200" w:after="100" w:line="360" w:lineRule="auto"/>
      </w:pPr>
      <w:r>
        <w:rPr>
          <w:rFonts w:ascii="Times New Roman" w:hAnsi="Times New Roman" w:eastAsia="黑体"/>
          <w:b/>
          <w:color w:val="000000"/>
          <w:sz w:val="24"/>
        </w:rPr>
        <w:t>2.1  研究内容</w:t>
      </w:r>
    </w:p>
    <w:p>
      <w:pPr>
        <w:spacing w:line="360" w:lineRule="auto" w:after="120"/>
        <w:ind w:firstLine="420"/>
        <w:jc w:val="both"/>
      </w:pPr>
      <w:r>
        <w:rPr>
          <w:rFonts w:ascii="Times New Roman" w:hAnsi="Times New Roman" w:eastAsia="宋体"/>
          <w:b w:val="0"/>
          <w:color w:val="000000"/>
          <w:sz w:val="21"/>
        </w:rPr>
        <w:t>本论文的研究内容由以下三部分构成：</w:t>
      </w:r>
    </w:p>
    <w:p>
      <w:pPr>
        <w:keepNext/>
        <w:spacing w:before="120" w:after="60" w:line="360" w:lineRule="auto"/>
      </w:pPr>
      <w:r>
        <w:rPr>
          <w:rFonts w:ascii="Times New Roman" w:hAnsi="Times New Roman" w:eastAsia="黑体"/>
          <w:b/>
          <w:color w:val="000000"/>
          <w:sz w:val="21"/>
        </w:rPr>
        <w:t>2.1.1  受约束残差强化学习权限分配方法研究</w:t>
      </w:r>
    </w:p>
    <w:p>
      <w:pPr>
        <w:spacing w:line="360" w:lineRule="auto" w:after="120"/>
        <w:ind w:firstLine="420"/>
        <w:jc w:val="both"/>
      </w:pPr>
      <w:r>
        <w:rPr>
          <w:rFonts w:ascii="Times New Roman" w:hAnsi="Times New Roman" w:eastAsia="宋体"/>
          <w:b w:val="0"/>
          <w:color w:val="000000"/>
          <w:sz w:val="21"/>
        </w:rPr>
        <w:t>研究冻结监督策略之上的残差强化学习范式。核心是将学习动作从执行器空间（6维推杆指令）缩减到权限空间（1维标量Δα），通过零初始化和有界约束（|Δα| ≤ 0.1）保证部署起点的安全等价性。包括：奖励函数设计（8项加权，权重训练前冻结）、TD3训练算法（双评论家、目标平滑、行为正则）、以及分层安全滤波栈（限幅/平滑/率限/强制主控/数值回退）。</w:t>
      </w:r>
    </w:p>
    <w:p>
      <w:pPr>
        <w:keepNext/>
        <w:spacing w:before="120" w:after="60" w:line="360" w:lineRule="auto"/>
      </w:pPr>
      <w:r>
        <w:rPr>
          <w:rFonts w:ascii="Times New Roman" w:hAnsi="Times New Roman" w:eastAsia="黑体"/>
          <w:b/>
          <w:color w:val="000000"/>
          <w:sz w:val="21"/>
        </w:rPr>
        <w:t>2.1.2  控制质量与安全分析方法研究</w:t>
      </w:r>
    </w:p>
    <w:p>
      <w:pPr>
        <w:spacing w:line="360" w:lineRule="auto" w:after="120"/>
        <w:ind w:firstLine="420"/>
        <w:jc w:val="both"/>
      </w:pPr>
      <w:r>
        <w:rPr>
          <w:rFonts w:ascii="Times New Roman" w:hAnsi="Times New Roman" w:eastAsia="宋体"/>
          <w:b w:val="0"/>
          <w:color w:val="000000"/>
          <w:sz w:val="21"/>
        </w:rPr>
        <w:t>研究残差强化学习的控制质量评估方法。建立预注册配对评估协议：120个配对回合覆盖8个扰动族（85分布内+35分布外），六种方法×5种子。评估指标包括跟踪精度（RMSE/最大误差）、姿态精度（艏向/俯仰）、控制质量（饱和率/控制代价/变化率）以及安全指标（约束违反率/求解器超时率）。重点关注增益是否以执行器滥用为代价，以及代价的诚实报告。</w:t>
      </w:r>
    </w:p>
    <w:p>
      <w:pPr>
        <w:keepNext/>
        <w:spacing w:before="120" w:after="60" w:line="360" w:lineRule="auto"/>
      </w:pPr>
      <w:r>
        <w:rPr>
          <w:rFonts w:ascii="Times New Roman" w:hAnsi="Times New Roman" w:eastAsia="黑体"/>
          <w:b/>
          <w:color w:val="000000"/>
          <w:sz w:val="21"/>
        </w:rPr>
        <w:t>2.1.3  水下机器人实验平台设计与硬件验证</w:t>
      </w:r>
    </w:p>
    <w:p>
      <w:pPr>
        <w:spacing w:line="360" w:lineRule="auto" w:after="120"/>
        <w:ind w:firstLine="420"/>
        <w:jc w:val="both"/>
      </w:pPr>
      <w:r>
        <w:rPr>
          <w:rFonts w:ascii="Times New Roman" w:hAnsi="Times New Roman" w:eastAsia="宋体"/>
          <w:b w:val="0"/>
          <w:color w:val="000000"/>
          <w:sz w:val="21"/>
        </w:rPr>
        <w:t>设计并搭建10 kg级六推进器AUV实验平台，将仿真中训练的PAC策略部署到嵌入式计算平台，在水池环境中完成硬件在环验证。包括：推进器退化注入实验（一阶滞后+噪声）、海流扰动模拟（拖曳或射流）、实时推理时延测量、以及与仿真结果的对照分析。</w:t>
      </w:r>
    </w:p>
    <w:p>
      <w:pPr>
        <w:keepNext/>
        <w:spacing w:before="200" w:after="100" w:line="360" w:lineRule="auto"/>
      </w:pPr>
      <w:r>
        <w:rPr>
          <w:rFonts w:ascii="Times New Roman" w:hAnsi="Times New Roman" w:eastAsia="黑体"/>
          <w:b/>
          <w:color w:val="000000"/>
          <w:sz w:val="24"/>
        </w:rPr>
        <w:t>2.2  研究方案</w:t>
      </w:r>
    </w:p>
    <w:p>
      <w:pPr>
        <w:keepNext/>
        <w:spacing w:before="120" w:after="60" w:line="360" w:lineRule="auto"/>
      </w:pPr>
      <w:r>
        <w:rPr>
          <w:rFonts w:ascii="Times New Roman" w:hAnsi="Times New Roman" w:eastAsia="黑体"/>
          <w:b/>
          <w:color w:val="000000"/>
          <w:sz w:val="21"/>
        </w:rPr>
        <w:t>2.2.1  受约束残差强化学习研究方案</w:t>
      </w:r>
    </w:p>
    <w:p>
      <w:pPr>
        <w:spacing w:line="360" w:lineRule="auto" w:after="120"/>
        <w:ind w:firstLine="420"/>
        <w:jc w:val="both"/>
      </w:pPr>
      <w:r>
        <w:rPr>
          <w:rFonts w:ascii="Times New Roman" w:hAnsi="Times New Roman" w:eastAsia="宋体"/>
          <w:b w:val="0"/>
          <w:color w:val="000000"/>
          <w:sz w:val="21"/>
        </w:rPr>
        <w:t>（1）建立六自由度AUV仿真环境，采用真实平台的全套实测参数（质量、惯量、水动力系数、推进器特性），实现8个扰动族的参数化生成。</w:t>
      </w:r>
    </w:p>
    <w:p>
      <w:pPr>
        <w:spacing w:line="360" w:lineRule="auto" w:after="120"/>
        <w:ind w:firstLine="420"/>
        <w:jc w:val="both"/>
      </w:pPr>
      <w:r>
        <w:rPr>
          <w:rFonts w:ascii="Times New Roman" w:hAnsi="Times New Roman" w:eastAsia="宋体"/>
          <w:b w:val="0"/>
          <w:color w:val="000000"/>
          <w:sz w:val="21"/>
        </w:rPr>
        <w:t>（2）设计并实现24维特征向量（位置误差、体速度、SMC/MPC指令、海流估计、轨迹相位），构建Transformer编码器（14,113参数）作为冻结骨干。</w:t>
      </w:r>
    </w:p>
    <w:p>
      <w:pPr>
        <w:spacing w:line="360" w:lineRule="auto" w:after="120"/>
        <w:ind w:firstLine="420"/>
        <w:jc w:val="both"/>
      </w:pPr>
      <w:r>
        <w:rPr>
          <w:rFonts w:ascii="Times New Roman" w:hAnsi="Times New Roman" w:eastAsia="宋体"/>
          <w:b w:val="0"/>
          <w:color w:val="000000"/>
          <w:sz w:val="21"/>
        </w:rPr>
        <w:t>（3）设计8项加权奖励函数，权重在训练前冻结进manifest。实现TD3训练器，包含2×10⁵离线过渡热启动、行为正则化、探索噪声。</w:t>
      </w:r>
    </w:p>
    <w:p>
      <w:pPr>
        <w:spacing w:line="360" w:lineRule="auto" w:after="120"/>
        <w:ind w:firstLine="420"/>
        <w:jc w:val="both"/>
      </w:pPr>
      <w:r>
        <w:rPr>
          <w:rFonts w:ascii="Times New Roman" w:hAnsi="Times New Roman" w:eastAsia="宋体"/>
          <w:b w:val="0"/>
          <w:color w:val="000000"/>
          <w:sz w:val="21"/>
        </w:rPr>
        <w:t>（4）实现分层安全滤波栈，包含单元测试验证零初始化的逐位等价性。</w:t>
      </w:r>
    </w:p>
    <w:p>
      <w:pPr>
        <w:keepNext/>
        <w:spacing w:before="120" w:after="60" w:line="360" w:lineRule="auto"/>
      </w:pPr>
      <w:r>
        <w:rPr>
          <w:rFonts w:ascii="Times New Roman" w:hAnsi="Times New Roman" w:eastAsia="黑体"/>
          <w:b/>
          <w:color w:val="000000"/>
          <w:sz w:val="21"/>
        </w:rPr>
        <w:t>2.2.2  控制质量与安全分析方案</w:t>
      </w:r>
    </w:p>
    <w:p>
      <w:pPr>
        <w:spacing w:line="360" w:lineRule="auto" w:after="120"/>
        <w:ind w:firstLine="420"/>
        <w:jc w:val="both"/>
      </w:pPr>
      <w:r>
        <w:rPr>
          <w:rFonts w:ascii="Times New Roman" w:hAnsi="Times New Roman" w:eastAsia="宋体"/>
          <w:b w:val="0"/>
          <w:color w:val="000000"/>
          <w:sz w:val="21"/>
        </w:rPr>
        <w:t>（1）设计预注册配对评估协议：训练前冻结全部比较、种子划分和验收准则。</w:t>
      </w:r>
    </w:p>
    <w:p>
      <w:pPr>
        <w:spacing w:line="360" w:lineRule="auto" w:after="120"/>
        <w:ind w:firstLine="420"/>
        <w:jc w:val="both"/>
      </w:pPr>
      <w:r>
        <w:rPr>
          <w:rFonts w:ascii="Times New Roman" w:hAnsi="Times New Roman" w:eastAsia="宋体"/>
          <w:b w:val="0"/>
          <w:color w:val="000000"/>
          <w:sz w:val="21"/>
        </w:rPr>
        <w:t>（2）实施120配对回合×14方法-种子组合=1,680次正式评估滚动。</w:t>
      </w:r>
    </w:p>
    <w:p>
      <w:pPr>
        <w:spacing w:line="360" w:lineRule="auto" w:after="120"/>
        <w:ind w:firstLine="420"/>
        <w:jc w:val="both"/>
      </w:pPr>
      <w:r>
        <w:rPr>
          <w:rFonts w:ascii="Times New Roman" w:hAnsi="Times New Roman" w:eastAsia="宋体"/>
          <w:b w:val="0"/>
          <w:color w:val="000000"/>
          <w:sz w:val="21"/>
        </w:rPr>
        <w:t>（3）分析跟踪精度、控制质量、安全指标，进行模型种子级配对t检验。</w:t>
      </w:r>
    </w:p>
    <w:p>
      <w:pPr>
        <w:spacing w:line="360" w:lineRule="auto" w:after="120"/>
        <w:ind w:firstLine="420"/>
        <w:jc w:val="both"/>
      </w:pPr>
      <w:r>
        <w:rPr>
          <w:rFonts w:ascii="Times New Roman" w:hAnsi="Times New Roman" w:eastAsia="宋体"/>
          <w:b w:val="0"/>
          <w:color w:val="000000"/>
          <w:sz w:val="21"/>
        </w:rPr>
        <w:t>（4）建立六项注册验收准则，诚实报告通过项和未通过项。</w:t>
      </w:r>
    </w:p>
    <w:p>
      <w:pPr>
        <w:keepNext/>
        <w:spacing w:before="120" w:after="60" w:line="360" w:lineRule="auto"/>
      </w:pPr>
      <w:r>
        <w:rPr>
          <w:rFonts w:ascii="Times New Roman" w:hAnsi="Times New Roman" w:eastAsia="黑体"/>
          <w:b/>
          <w:color w:val="000000"/>
          <w:sz w:val="21"/>
        </w:rPr>
        <w:t>2.2.3  硬件验证方案</w:t>
      </w:r>
    </w:p>
    <w:p>
      <w:pPr>
        <w:spacing w:line="360" w:lineRule="auto" w:after="120"/>
        <w:ind w:firstLine="420"/>
        <w:jc w:val="both"/>
      </w:pPr>
      <w:r>
        <w:rPr>
          <w:rFonts w:ascii="Times New Roman" w:hAnsi="Times New Roman" w:eastAsia="宋体"/>
          <w:b w:val="0"/>
          <w:color w:val="000000"/>
          <w:sz w:val="21"/>
        </w:rPr>
        <w:t>（1）搭建10 kg级六推进器AUV平台，配备IMU、深度计、DVL和嵌入式计算单元。</w:t>
      </w:r>
    </w:p>
    <w:p>
      <w:pPr>
        <w:spacing w:line="360" w:lineRule="auto" w:after="120"/>
        <w:ind w:firstLine="420"/>
        <w:jc w:val="both"/>
      </w:pPr>
      <w:r>
        <w:rPr>
          <w:rFonts w:ascii="Times New Roman" w:hAnsi="Times New Roman" w:eastAsia="宋体"/>
          <w:b w:val="0"/>
          <w:color w:val="000000"/>
          <w:sz w:val="21"/>
        </w:rPr>
        <w:t>（2）实现机载估计器（位姿/速度/海流的因果估计），替代仿真中的精确信息。</w:t>
      </w:r>
    </w:p>
    <w:p>
      <w:pPr>
        <w:spacing w:line="360" w:lineRule="auto" w:after="120"/>
        <w:ind w:firstLine="420"/>
        <w:jc w:val="both"/>
      </w:pPr>
      <w:r>
        <w:rPr>
          <w:rFonts w:ascii="Times New Roman" w:hAnsi="Times New Roman" w:eastAsia="宋体"/>
          <w:b w:val="0"/>
          <w:color w:val="000000"/>
          <w:sz w:val="21"/>
        </w:rPr>
        <w:t>（3）在水池中进行硬件在环实验：每方法每扰动条件至少十次独立试验、控制器次序随机化、固定的电池电压接受范围。</w:t>
      </w:r>
    </w:p>
    <w:p>
      <w:pPr>
        <w:spacing w:line="360" w:lineRule="auto" w:after="120"/>
        <w:ind w:firstLine="420"/>
        <w:jc w:val="both"/>
      </w:pPr>
      <w:r>
        <w:rPr>
          <w:rFonts w:ascii="Times New Roman" w:hAnsi="Times New Roman" w:eastAsia="宋体"/>
          <w:b w:val="0"/>
          <w:color w:val="000000"/>
          <w:sz w:val="21"/>
        </w:rPr>
        <w:t>（4）分析仿真到实际的迁移差距，重点评估部署推理时延（第7条注册准则）。</w:t>
      </w:r>
    </w:p>
    <w:p>
      <w:pPr>
        <w:keepNext/>
        <w:spacing w:before="200" w:after="100" w:line="360" w:lineRule="auto"/>
      </w:pPr>
      <w:r>
        <w:rPr>
          <w:rFonts w:ascii="Times New Roman" w:hAnsi="Times New Roman" w:eastAsia="黑体"/>
          <w:b/>
          <w:color w:val="000000"/>
          <w:sz w:val="24"/>
        </w:rPr>
        <w:t>2.3  可行性分析</w:t>
      </w:r>
    </w:p>
    <w:p>
      <w:pPr>
        <w:spacing w:line="360" w:lineRule="auto" w:after="120"/>
        <w:ind w:firstLine="420"/>
        <w:jc w:val="both"/>
      </w:pPr>
      <w:r>
        <w:rPr>
          <w:rFonts w:ascii="Times New Roman" w:hAnsi="Times New Roman" w:eastAsia="宋体"/>
          <w:b w:val="0"/>
          <w:color w:val="000000"/>
          <w:sz w:val="21"/>
        </w:rPr>
        <w:t>（1）前期基础：本课题组已建立完整的PAC框架（v1–v3），在三种结构化海流下完成了多种子正式评估；v4阶段已实现受约束残差强化学习和8个扰动族的预注册配对评估，在仿真中验证了OOD −28%的改善。上述工作已形成完整的代码库（221项自动化测试全部通过）和冻结证据链。</w:t>
      </w:r>
    </w:p>
    <w:p>
      <w:pPr>
        <w:spacing w:line="360" w:lineRule="auto" w:after="120"/>
        <w:ind w:firstLine="420"/>
        <w:jc w:val="both"/>
      </w:pPr>
      <w:r>
        <w:rPr>
          <w:rFonts w:ascii="Times New Roman" w:hAnsi="Times New Roman" w:eastAsia="宋体"/>
          <w:b w:val="0"/>
          <w:color w:val="000000"/>
          <w:sz w:val="21"/>
        </w:rPr>
        <w:t>（2）研究团队：课题组在水下机器人控制、强化学习和嵌入式系统方面具有扎实的研究基础和丰富的工程经验。</w:t>
      </w:r>
    </w:p>
    <w:p>
      <w:pPr>
        <w:spacing w:line="360" w:lineRule="auto" w:after="120"/>
        <w:ind w:firstLine="420"/>
        <w:jc w:val="both"/>
      </w:pPr>
      <w:r>
        <w:rPr>
          <w:rFonts w:ascii="Times New Roman" w:hAnsi="Times New Roman" w:eastAsia="宋体"/>
          <w:b w:val="0"/>
          <w:color w:val="000000"/>
          <w:sz w:val="21"/>
        </w:rPr>
        <w:t>（3）实验平台：学院拥有水池实验条件和AUV搭建经验，可支持硬件验证阶段的实验需求。</w:t>
      </w:r>
    </w:p>
    <w:p>
      <w:r>
        <w:br w:type="page"/>
      </w:r>
    </w:p>
    <w:p>
      <w:pPr>
        <w:keepNext/>
        <w:spacing w:before="360" w:after="160" w:line="360" w:lineRule="auto"/>
      </w:pPr>
      <w:r>
        <w:rPr>
          <w:rFonts w:ascii="Times New Roman" w:hAnsi="Times New Roman" w:eastAsia="黑体"/>
          <w:b/>
          <w:color w:val="000000"/>
          <w:sz w:val="28"/>
        </w:rPr>
        <w:t>3  课题研究初步进展</w:t>
      </w:r>
    </w:p>
    <w:p>
      <w:pPr>
        <w:spacing w:line="360" w:lineRule="auto" w:after="120"/>
        <w:ind w:firstLine="420"/>
        <w:jc w:val="both"/>
      </w:pPr>
      <w:r>
        <w:rPr>
          <w:rFonts w:ascii="Times New Roman" w:hAnsi="Times New Roman" w:eastAsia="宋体"/>
          <w:b w:val="0"/>
          <w:color w:val="000000"/>
          <w:sz w:val="21"/>
        </w:rPr>
        <w:t>本章报告截至2026年9月的主要研究进展，包括PAC架构设计与监督基线（§3.1）以及受约束残差强化学习的正式评估结果（§3.2）。</w:t>
      </w:r>
    </w:p>
    <w:p>
      <w:pPr>
        <w:keepNext/>
        <w:spacing w:before="200" w:after="100" w:line="360" w:lineRule="auto"/>
      </w:pPr>
      <w:r>
        <w:rPr>
          <w:rFonts w:ascii="Times New Roman" w:hAnsi="Times New Roman" w:eastAsia="黑体"/>
          <w:b/>
          <w:color w:val="000000"/>
          <w:sz w:val="24"/>
        </w:rPr>
        <w:t>3.1  PAC架构与监督基线</w:t>
      </w:r>
    </w:p>
    <w:p>
      <w:pPr>
        <w:keepNext/>
        <w:spacing w:before="120" w:after="60" w:line="360" w:lineRule="auto"/>
      </w:pPr>
      <w:r>
        <w:rPr>
          <w:rFonts w:ascii="Times New Roman" w:hAnsi="Times New Roman" w:eastAsia="黑体"/>
          <w:b/>
          <w:color w:val="000000"/>
          <w:sz w:val="21"/>
        </w:rPr>
        <w:t>3.1.1  系统架构设计</w:t>
      </w:r>
    </w:p>
    <w:p>
      <w:pPr>
        <w:spacing w:line="360" w:lineRule="auto" w:after="120"/>
        <w:ind w:firstLine="420"/>
        <w:jc w:val="both"/>
      </w:pPr>
      <w:r>
        <w:rPr>
          <w:rFonts w:ascii="Times New Roman" w:hAnsi="Times New Roman" w:eastAsia="宋体"/>
          <w:b w:val="0"/>
          <w:color w:val="000000"/>
          <w:sz w:val="21"/>
        </w:rPr>
        <w:t>PAC系统由三个层次组成（见图3.1）：底层为两个结构化专家控制器（SMC主控制器和受约束MPC），中层为冻结的时序编码器（预测权限α̂），上层为可训练的残差头（输出有界修正Δα）。实际推进器指令为u = (1−α)·u_SMC + α·u_MPC，学习组件不直接产生控制指令。</w:t>
      </w:r>
    </w:p>
    <w:p>
      <w:pPr>
        <w:keepNext/>
        <w:jc w:val="center"/>
      </w:pPr>
      <w:r>
        <w:drawing>
          <wp:inline xmlns:a="http://schemas.openxmlformats.org/drawingml/2006/main" xmlns:pic="http://schemas.openxmlformats.org/drawingml/2006/picture">
            <wp:extent cx="5303520" cy="2984816"/>
            <wp:docPr id="1" name="Picture 1"/>
            <wp:cNvGraphicFramePr>
              <a:graphicFrameLocks noChangeAspect="1"/>
            </wp:cNvGraphicFramePr>
            <a:graphic>
              <a:graphicData uri="http://schemas.openxmlformats.org/drawingml/2006/picture">
                <pic:pic>
                  <pic:nvPicPr>
                    <pic:cNvPr id="0" name="fig1_system_architecture_ai.png"/>
                    <pic:cNvPicPr/>
                  </pic:nvPicPr>
                  <pic:blipFill>
                    <a:blip r:embed="rId11"/>
                    <a:stretch>
                      <a:fillRect/>
                    </a:stretch>
                  </pic:blipFill>
                  <pic:spPr>
                    <a:xfrm>
                      <a:off x="0" y="0"/>
                      <a:ext cx="5303520" cy="2984816"/>
                    </a:xfrm>
                    <a:prstGeom prst="rect"/>
                  </pic:spPr>
                </pic:pic>
              </a:graphicData>
            </a:graphic>
          </wp:inline>
        </w:drawing>
      </w:r>
    </w:p>
    <w:p>
      <w:pPr>
        <w:spacing w:after="160"/>
        <w:jc w:val="center"/>
      </w:pPr>
      <w:r>
        <w:rPr>
          <w:rFonts w:ascii="Times New Roman" w:hAnsi="Times New Roman" w:eastAsia="宋体"/>
          <w:b w:val="0"/>
          <w:color w:val="000000"/>
          <w:sz w:val="18"/>
        </w:rPr>
        <w:t>图3.1  PAC系统架构：权限α混合SMC与MPC专家输出</w:t>
      </w:r>
    </w:p>
    <w:p>
      <w:pPr>
        <w:keepNext/>
        <w:spacing w:before="120" w:after="60" w:line="360" w:lineRule="auto"/>
      </w:pPr>
      <w:r>
        <w:rPr>
          <w:rFonts w:ascii="Times New Roman" w:hAnsi="Times New Roman" w:eastAsia="黑体"/>
          <w:b/>
          <w:color w:val="000000"/>
          <w:sz w:val="21"/>
        </w:rPr>
        <w:t>3.1.2  Oracle数据集构建与监督训练</w:t>
      </w:r>
    </w:p>
    <w:p>
      <w:pPr>
        <w:spacing w:line="360" w:lineRule="auto" w:after="120"/>
        <w:ind w:firstLine="420"/>
        <w:jc w:val="both"/>
      </w:pPr>
      <w:r>
        <w:rPr>
          <w:rFonts w:ascii="Times New Roman" w:hAnsi="Times New Roman" w:eastAsia="宋体"/>
          <w:b w:val="0"/>
          <w:color w:val="000000"/>
          <w:sz w:val="21"/>
        </w:rPr>
        <w:t>监督训练使用短视界滚动Oracle标签：对每个训练状态，将5个候选α值（0/0.25/0.5/0.75/1）各保持10步并冻结海流，选取代价最小的α作为标签。在3种结构化海流（恒定/正弦/阶跃）× 3个数据生成种子 × 2100步的设置下，共生成18,900个带标签样本。使用AdamW优化器训练180轮，5个模型种子独立训练后全部冻结。</w:t>
      </w:r>
    </w:p>
    <w:p>
      <w:pPr>
        <w:keepNext/>
        <w:spacing w:before="120" w:after="60" w:line="360" w:lineRule="auto"/>
      </w:pPr>
      <w:r>
        <w:rPr>
          <w:rFonts w:ascii="Times New Roman" w:hAnsi="Times New Roman" w:eastAsia="黑体"/>
          <w:b/>
          <w:color w:val="000000"/>
          <w:sz w:val="21"/>
        </w:rPr>
        <w:t>3.1.3  正式评估协议</w:t>
      </w:r>
    </w:p>
    <w:p>
      <w:pPr>
        <w:spacing w:line="360" w:lineRule="auto" w:after="120"/>
        <w:ind w:firstLine="420"/>
        <w:jc w:val="both"/>
      </w:pPr>
      <w:r>
        <w:rPr>
          <w:rFonts w:ascii="Times New Roman" w:hAnsi="Times New Roman" w:eastAsia="宋体"/>
          <w:b w:val="0"/>
          <w:color w:val="000000"/>
          <w:sz w:val="21"/>
        </w:rPr>
        <w:t>建立预注册配对评估协议：120个配对回合覆盖8个扰动族（见表3.1），六种方法在同一场景下同场竞技，统计推断在模型种子级进行（t(4) 95%置信区间）。所有比较、种子划分和验收准则在训练前冻结并归档。</w:t>
      </w:r>
    </w:p>
    <w:p>
      <w:pPr>
        <w:keepNext/>
        <w:jc w:val="center"/>
      </w:pPr>
      <w:r>
        <w:rPr>
          <w:rFonts w:ascii="Times New Roman" w:hAnsi="Times New Roman" w:eastAsia="宋体"/>
          <w:b/>
          <w:color w:val="000000"/>
          <w:sz w:val="18"/>
        </w:rPr>
        <w:t>表3.1  8个扰动族评估网格</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val="clear" w:fill="F2F2F2"/>
          </w:tcPr>
          <w:p>
            <w:pPr>
              <w:jc w:val="center"/>
            </w:pPr>
            <w:r>
              <w:rPr>
                <w:rFonts w:ascii="Times New Roman" w:hAnsi="Times New Roman" w:eastAsia="宋体"/>
                <w:b/>
                <w:color w:val="000000"/>
                <w:sz w:val="18"/>
              </w:rPr>
              <w:t>族</w:t>
            </w:r>
          </w:p>
        </w:tc>
        <w:tc>
          <w:tcPr>
            <w:tcW w:type="dxa" w:w="567"/>
            <w:shd w:val="clear" w:fill="F2F2F2"/>
          </w:tcPr>
          <w:p>
            <w:pPr>
              <w:jc w:val="center"/>
            </w:pPr>
            <w:r>
              <w:rPr>
                <w:rFonts w:ascii="Times New Roman" w:hAnsi="Times New Roman" w:eastAsia="宋体"/>
                <w:b/>
                <w:color w:val="000000"/>
                <w:sz w:val="18"/>
              </w:rPr>
              <w:t>块</w:t>
            </w:r>
          </w:p>
        </w:tc>
        <w:tc>
          <w:tcPr>
            <w:tcW w:type="dxa" w:w="2268"/>
            <w:shd w:val="clear" w:fill="F2F2F2"/>
          </w:tcPr>
          <w:p>
            <w:pPr>
              <w:jc w:val="center"/>
            </w:pPr>
            <w:r>
              <w:rPr>
                <w:rFonts w:ascii="Times New Roman" w:hAnsi="Times New Roman" w:eastAsia="宋体"/>
                <w:b/>
                <w:color w:val="000000"/>
                <w:sz w:val="18"/>
              </w:rPr>
              <w:t>训练范围</w:t>
            </w:r>
          </w:p>
        </w:tc>
        <w:tc>
          <w:tcPr>
            <w:tcW w:type="dxa" w:w="2268"/>
            <w:shd w:val="clear" w:fill="F2F2F2"/>
          </w:tcPr>
          <w:p>
            <w:pPr>
              <w:jc w:val="center"/>
            </w:pPr>
            <w:r>
              <w:rPr>
                <w:rFonts w:ascii="Times New Roman" w:hAnsi="Times New Roman" w:eastAsia="宋体"/>
                <w:b/>
                <w:color w:val="000000"/>
                <w:sz w:val="18"/>
              </w:rPr>
              <w:t>测试范围</w:t>
            </w:r>
          </w:p>
        </w:tc>
      </w:tr>
      <w:tr>
        <w:tc>
          <w:tcPr>
            <w:tcW w:type="dxa" w:w="1701"/>
          </w:tcPr>
          <w:p>
            <w:pPr>
              <w:jc w:val="left"/>
            </w:pPr>
            <w:r>
              <w:rPr>
                <w:rFonts w:ascii="Times New Roman" w:hAnsi="Times New Roman" w:eastAsia="宋体"/>
                <w:b w:val="0"/>
                <w:color w:val="000000"/>
                <w:sz w:val="18"/>
              </w:rPr>
              <w:t>结构化（3种）</w:t>
            </w:r>
          </w:p>
        </w:tc>
        <w:tc>
          <w:tcPr>
            <w:tcW w:type="dxa" w:w="567"/>
          </w:tcPr>
          <w:p>
            <w:pPr>
              <w:jc w:val="center"/>
            </w:pPr>
            <w:r>
              <w:rPr>
                <w:rFonts w:ascii="Times New Roman" w:hAnsi="Times New Roman" w:eastAsia="宋体"/>
                <w:b w:val="0"/>
                <w:color w:val="000000"/>
                <w:sz w:val="18"/>
              </w:rPr>
              <w:t>ID</w:t>
            </w:r>
          </w:p>
        </w:tc>
        <w:tc>
          <w:tcPr>
            <w:tcW w:type="dxa" w:w="2268"/>
          </w:tcPr>
          <w:p>
            <w:pPr>
              <w:jc w:val="center"/>
            </w:pPr>
            <w:r>
              <w:rPr>
                <w:rFonts w:ascii="Times New Roman" w:hAnsi="Times New Roman" w:eastAsia="宋体"/>
                <w:b w:val="0"/>
                <w:color w:val="000000"/>
                <w:sz w:val="18"/>
              </w:rPr>
              <w:t>恒定×2.5 / 正弦 / 阶跃</w:t>
            </w:r>
          </w:p>
        </w:tc>
        <w:tc>
          <w:tcPr>
            <w:tcW w:type="dxa" w:w="2268"/>
          </w:tcPr>
          <w:p>
            <w:pPr>
              <w:jc w:val="center"/>
            </w:pPr>
            <w:r>
              <w:rPr>
                <w:rFonts w:ascii="Times New Roman" w:hAnsi="Times New Roman" w:eastAsia="宋体"/>
                <w:b w:val="0"/>
                <w:color w:val="000000"/>
                <w:sz w:val="18"/>
              </w:rPr>
              <w:t>—</w:t>
            </w:r>
          </w:p>
        </w:tc>
      </w:tr>
      <w:tr>
        <w:tc>
          <w:tcPr>
            <w:tcW w:type="dxa" w:w="1701"/>
          </w:tcPr>
          <w:p>
            <w:pPr>
              <w:jc w:val="left"/>
            </w:pPr>
            <w:r>
              <w:rPr>
                <w:rFonts w:ascii="Times New Roman" w:hAnsi="Times New Roman" w:eastAsia="宋体"/>
                <w:b w:val="0"/>
                <w:color w:val="000000"/>
                <w:sz w:val="18"/>
              </w:rPr>
              <w:t>质量-阻尼失配</w:t>
            </w:r>
          </w:p>
        </w:tc>
        <w:tc>
          <w:tcPr>
            <w:tcW w:type="dxa" w:w="567"/>
          </w:tcPr>
          <w:p>
            <w:pPr>
              <w:jc w:val="center"/>
            </w:pPr>
            <w:r>
              <w:rPr>
                <w:rFonts w:ascii="Times New Roman" w:hAnsi="Times New Roman" w:eastAsia="宋体"/>
                <w:b w:val="0"/>
                <w:color w:val="000000"/>
                <w:sz w:val="18"/>
              </w:rPr>
              <w:t>OOD</w:t>
            </w:r>
          </w:p>
        </w:tc>
        <w:tc>
          <w:tcPr>
            <w:tcW w:type="dxa" w:w="2268"/>
          </w:tcPr>
          <w:p>
            <w:pPr>
              <w:jc w:val="center"/>
            </w:pPr>
            <w:r>
              <w:rPr>
                <w:rFonts w:ascii="Times New Roman" w:hAnsi="Times New Roman" w:eastAsia="宋体"/>
                <w:b w:val="0"/>
                <w:color w:val="000000"/>
                <w:sz w:val="18"/>
              </w:rPr>
              <w:t>mass×[0.94,1.06]</w:t>
            </w:r>
          </w:p>
        </w:tc>
        <w:tc>
          <w:tcPr>
            <w:tcW w:type="dxa" w:w="2268"/>
          </w:tcPr>
          <w:p>
            <w:pPr>
              <w:jc w:val="center"/>
            </w:pPr>
            <w:r>
              <w:rPr>
                <w:rFonts w:ascii="Times New Roman" w:hAnsi="Times New Roman" w:eastAsia="宋体"/>
                <w:b w:val="0"/>
                <w:color w:val="000000"/>
                <w:sz w:val="18"/>
              </w:rPr>
              <w:t>mass×[1.10,1.25]</w:t>
            </w:r>
          </w:p>
        </w:tc>
      </w:tr>
      <w:tr>
        <w:tc>
          <w:tcPr>
            <w:tcW w:type="dxa" w:w="1701"/>
          </w:tcPr>
          <w:p>
            <w:pPr>
              <w:jc w:val="left"/>
            </w:pPr>
            <w:r>
              <w:rPr>
                <w:rFonts w:ascii="Times New Roman" w:hAnsi="Times New Roman" w:eastAsia="宋体"/>
                <w:b w:val="0"/>
                <w:color w:val="000000"/>
                <w:sz w:val="18"/>
              </w:rPr>
              <w:t>彩色噪声</w:t>
            </w:r>
          </w:p>
        </w:tc>
        <w:tc>
          <w:tcPr>
            <w:tcW w:type="dxa" w:w="567"/>
          </w:tcPr>
          <w:p>
            <w:pPr>
              <w:jc w:val="center"/>
            </w:pPr>
            <w:r>
              <w:rPr>
                <w:rFonts w:ascii="Times New Roman" w:hAnsi="Times New Roman" w:eastAsia="宋体"/>
                <w:b w:val="0"/>
                <w:color w:val="000000"/>
                <w:sz w:val="18"/>
              </w:rPr>
              <w:t>OOD</w:t>
            </w:r>
          </w:p>
        </w:tc>
        <w:tc>
          <w:tcPr>
            <w:tcW w:type="dxa" w:w="2268"/>
          </w:tcPr>
          <w:p>
            <w:pPr>
              <w:jc w:val="center"/>
            </w:pPr>
            <w:r>
              <w:rPr>
                <w:rFonts w:ascii="Times New Roman" w:hAnsi="Times New Roman" w:eastAsia="宋体"/>
                <w:b w:val="0"/>
                <w:color w:val="000000"/>
                <w:sz w:val="18"/>
              </w:rPr>
              <w:t>ρ∈[0.90,0.98]</w:t>
            </w:r>
          </w:p>
        </w:tc>
        <w:tc>
          <w:tcPr>
            <w:tcW w:type="dxa" w:w="2268"/>
          </w:tcPr>
          <w:p>
            <w:pPr>
              <w:jc w:val="center"/>
            </w:pPr>
            <w:r>
              <w:rPr>
                <w:rFonts w:ascii="Times New Roman" w:hAnsi="Times New Roman" w:eastAsia="宋体"/>
                <w:b w:val="0"/>
                <w:color w:val="000000"/>
                <w:sz w:val="18"/>
              </w:rPr>
              <w:t>ρ∈[0.985,0.995]</w:t>
            </w:r>
          </w:p>
        </w:tc>
      </w:tr>
      <w:tr>
        <w:tc>
          <w:tcPr>
            <w:tcW w:type="dxa" w:w="1701"/>
          </w:tcPr>
          <w:p>
            <w:pPr>
              <w:jc w:val="left"/>
            </w:pPr>
            <w:r>
              <w:rPr>
                <w:rFonts w:ascii="Times New Roman" w:hAnsi="Times New Roman" w:eastAsia="宋体"/>
                <w:b w:val="0"/>
                <w:color w:val="000000"/>
                <w:sz w:val="18"/>
              </w:rPr>
              <w:t>OU海流</w:t>
            </w:r>
          </w:p>
        </w:tc>
        <w:tc>
          <w:tcPr>
            <w:tcW w:type="dxa" w:w="567"/>
          </w:tcPr>
          <w:p>
            <w:pPr>
              <w:jc w:val="center"/>
            </w:pPr>
            <w:r>
              <w:rPr>
                <w:rFonts w:ascii="Times New Roman" w:hAnsi="Times New Roman" w:eastAsia="宋体"/>
                <w:b w:val="0"/>
                <w:color w:val="000000"/>
                <w:sz w:val="18"/>
              </w:rPr>
              <w:t>OOD</w:t>
            </w:r>
          </w:p>
        </w:tc>
        <w:tc>
          <w:tcPr>
            <w:tcW w:type="dxa" w:w="2268"/>
          </w:tcPr>
          <w:p>
            <w:pPr>
              <w:jc w:val="center"/>
            </w:pPr>
            <w:r>
              <w:rPr>
                <w:rFonts w:ascii="Times New Roman" w:hAnsi="Times New Roman" w:eastAsia="宋体"/>
                <w:b w:val="0"/>
                <w:color w:val="000000"/>
                <w:sz w:val="18"/>
              </w:rPr>
              <w:t>θ∈[0.2,1.0]</w:t>
            </w:r>
          </w:p>
        </w:tc>
        <w:tc>
          <w:tcPr>
            <w:tcW w:type="dxa" w:w="2268"/>
          </w:tcPr>
          <w:p>
            <w:pPr>
              <w:jc w:val="center"/>
            </w:pPr>
            <w:r>
              <w:rPr>
                <w:rFonts w:ascii="Times New Roman" w:hAnsi="Times New Roman" w:eastAsia="宋体"/>
                <w:b w:val="0"/>
                <w:color w:val="000000"/>
                <w:sz w:val="18"/>
              </w:rPr>
              <w:t>θ∈[1.2,2.0]</w:t>
            </w:r>
          </w:p>
        </w:tc>
      </w:tr>
      <w:tr>
        <w:tc>
          <w:tcPr>
            <w:tcW w:type="dxa" w:w="1701"/>
          </w:tcPr>
          <w:p>
            <w:pPr>
              <w:jc w:val="left"/>
            </w:pPr>
            <w:r>
              <w:rPr>
                <w:rFonts w:ascii="Times New Roman" w:hAnsi="Times New Roman" w:eastAsia="宋体"/>
                <w:b w:val="0"/>
                <w:color w:val="000000"/>
                <w:sz w:val="18"/>
              </w:rPr>
              <w:t>随机频率-幅值</w:t>
            </w:r>
          </w:p>
        </w:tc>
        <w:tc>
          <w:tcPr>
            <w:tcW w:type="dxa" w:w="567"/>
          </w:tcPr>
          <w:p>
            <w:pPr>
              <w:jc w:val="center"/>
            </w:pPr>
            <w:r>
              <w:rPr>
                <w:rFonts w:ascii="Times New Roman" w:hAnsi="Times New Roman" w:eastAsia="宋体"/>
                <w:b w:val="0"/>
                <w:color w:val="000000"/>
                <w:sz w:val="18"/>
              </w:rPr>
              <w:t>OOD</w:t>
            </w:r>
          </w:p>
        </w:tc>
        <w:tc>
          <w:tcPr>
            <w:tcW w:type="dxa" w:w="2268"/>
          </w:tcPr>
          <w:p>
            <w:pPr>
              <w:jc w:val="center"/>
            </w:pPr>
            <w:r>
              <w:rPr>
                <w:rFonts w:ascii="Times New Roman" w:hAnsi="Times New Roman" w:eastAsia="宋体"/>
                <w:b w:val="0"/>
                <w:color w:val="000000"/>
                <w:sz w:val="18"/>
              </w:rPr>
              <w:t>amp∈[2.0,3.0]</w:t>
            </w:r>
          </w:p>
        </w:tc>
        <w:tc>
          <w:tcPr>
            <w:tcW w:type="dxa" w:w="2268"/>
          </w:tcPr>
          <w:p>
            <w:pPr>
              <w:jc w:val="center"/>
            </w:pPr>
            <w:r>
              <w:rPr>
                <w:rFonts w:ascii="Times New Roman" w:hAnsi="Times New Roman" w:eastAsia="宋体"/>
                <w:b w:val="0"/>
                <w:color w:val="000000"/>
                <w:sz w:val="18"/>
              </w:rPr>
              <w:t>amp∈[3.2,4.0]</w:t>
            </w:r>
          </w:p>
        </w:tc>
      </w:tr>
      <w:tr>
        <w:tc>
          <w:tcPr>
            <w:tcW w:type="dxa" w:w="1701"/>
          </w:tcPr>
          <w:p>
            <w:pPr>
              <w:jc w:val="left"/>
            </w:pPr>
            <w:r>
              <w:rPr>
                <w:rFonts w:ascii="Times New Roman" w:hAnsi="Times New Roman" w:eastAsia="宋体"/>
                <w:b w:val="0"/>
                <w:color w:val="000000"/>
                <w:sz w:val="18"/>
              </w:rPr>
              <w:t>执行器延迟+噪声</w:t>
            </w:r>
          </w:p>
        </w:tc>
        <w:tc>
          <w:tcPr>
            <w:tcW w:type="dxa" w:w="567"/>
          </w:tcPr>
          <w:p>
            <w:pPr>
              <w:jc w:val="center"/>
            </w:pPr>
            <w:r>
              <w:rPr>
                <w:rFonts w:ascii="Times New Roman" w:hAnsi="Times New Roman" w:eastAsia="宋体"/>
                <w:b w:val="0"/>
                <w:color w:val="000000"/>
                <w:sz w:val="18"/>
              </w:rPr>
              <w:t>OOD</w:t>
            </w:r>
          </w:p>
        </w:tc>
        <w:tc>
          <w:tcPr>
            <w:tcW w:type="dxa" w:w="2268"/>
          </w:tcPr>
          <w:p>
            <w:pPr>
              <w:jc w:val="center"/>
            </w:pPr>
            <w:r>
              <w:rPr>
                <w:rFonts w:ascii="Times New Roman" w:hAnsi="Times New Roman" w:eastAsia="宋体"/>
                <w:b w:val="0"/>
                <w:color w:val="000000"/>
                <w:sz w:val="18"/>
              </w:rPr>
              <w:t>delay 2–4步</w:t>
            </w:r>
          </w:p>
        </w:tc>
        <w:tc>
          <w:tcPr>
            <w:tcW w:type="dxa" w:w="2268"/>
          </w:tcPr>
          <w:p>
            <w:pPr>
              <w:jc w:val="center"/>
            </w:pPr>
            <w:r>
              <w:rPr>
                <w:rFonts w:ascii="Times New Roman" w:hAnsi="Times New Roman" w:eastAsia="宋体"/>
                <w:b w:val="0"/>
                <w:color w:val="000000"/>
                <w:sz w:val="18"/>
              </w:rPr>
              <w:t>delay 6–10步</w:t>
            </w:r>
          </w:p>
        </w:tc>
      </w:tr>
      <w:tr>
        <w:tc>
          <w:tcPr>
            <w:tcW w:type="dxa" w:w="1701"/>
          </w:tcPr>
          <w:p>
            <w:pPr>
              <w:jc w:val="left"/>
            </w:pPr>
            <w:r>
              <w:rPr>
                <w:rFonts w:ascii="Times New Roman" w:hAnsi="Times New Roman" w:eastAsia="宋体"/>
                <w:b w:val="0"/>
                <w:color w:val="000000"/>
                <w:sz w:val="18"/>
              </w:rPr>
              <w:t>快变OU海流</w:t>
            </w:r>
          </w:p>
        </w:tc>
        <w:tc>
          <w:tcPr>
            <w:tcW w:type="dxa" w:w="567"/>
          </w:tcPr>
          <w:p>
            <w:pPr>
              <w:jc w:val="center"/>
            </w:pPr>
            <w:r>
              <w:rPr>
                <w:rFonts w:ascii="Times New Roman" w:hAnsi="Times New Roman" w:eastAsia="宋体"/>
                <w:b w:val="0"/>
                <w:color w:val="000000"/>
                <w:sz w:val="18"/>
              </w:rPr>
              <w:t>OOD</w:t>
            </w:r>
          </w:p>
        </w:tc>
        <w:tc>
          <w:tcPr>
            <w:tcW w:type="dxa" w:w="2268"/>
          </w:tcPr>
          <w:p>
            <w:pPr>
              <w:jc w:val="center"/>
            </w:pPr>
            <w:r>
              <w:rPr>
                <w:rFonts w:ascii="Times New Roman" w:hAnsi="Times New Roman" w:eastAsia="宋体"/>
                <w:b w:val="0"/>
                <w:color w:val="000000"/>
                <w:sz w:val="18"/>
              </w:rPr>
              <w:t>—</w:t>
            </w:r>
          </w:p>
        </w:tc>
        <w:tc>
          <w:tcPr>
            <w:tcW w:type="dxa" w:w="2268"/>
          </w:tcPr>
          <w:p>
            <w:pPr>
              <w:jc w:val="center"/>
            </w:pPr>
            <w:r>
              <w:rPr>
                <w:rFonts w:ascii="Times New Roman" w:hAnsi="Times New Roman" w:eastAsia="宋体"/>
                <w:b w:val="0"/>
                <w:color w:val="000000"/>
                <w:sz w:val="18"/>
              </w:rPr>
              <w:t>θ∈[3.0,6.0]</w:t>
            </w:r>
          </w:p>
        </w:tc>
      </w:tr>
      <w:tr>
        <w:tc>
          <w:tcPr>
            <w:tcW w:type="dxa" w:w="1701"/>
          </w:tcPr>
          <w:p>
            <w:pPr>
              <w:jc w:val="left"/>
            </w:pPr>
            <w:r>
              <w:rPr>
                <w:rFonts w:ascii="Times New Roman" w:hAnsi="Times New Roman" w:eastAsia="宋体"/>
                <w:b w:val="0"/>
                <w:color w:val="000000"/>
                <w:sz w:val="18"/>
              </w:rPr>
              <w:t>估计延迟</w:t>
            </w:r>
          </w:p>
        </w:tc>
        <w:tc>
          <w:tcPr>
            <w:tcW w:type="dxa" w:w="567"/>
          </w:tcPr>
          <w:p>
            <w:pPr>
              <w:jc w:val="center"/>
            </w:pPr>
            <w:r>
              <w:rPr>
                <w:rFonts w:ascii="Times New Roman" w:hAnsi="Times New Roman" w:eastAsia="宋体"/>
                <w:b w:val="0"/>
                <w:color w:val="000000"/>
                <w:sz w:val="18"/>
              </w:rPr>
              <w:t>OOD</w:t>
            </w:r>
          </w:p>
        </w:tc>
        <w:tc>
          <w:tcPr>
            <w:tcW w:type="dxa" w:w="2268"/>
          </w:tcPr>
          <w:p>
            <w:pPr>
              <w:jc w:val="center"/>
            </w:pPr>
            <w:r>
              <w:rPr>
                <w:rFonts w:ascii="Times New Roman" w:hAnsi="Times New Roman" w:eastAsia="宋体"/>
                <w:b w:val="0"/>
                <w:color w:val="000000"/>
                <w:sz w:val="18"/>
              </w:rPr>
              <w:t>—</w:t>
            </w:r>
          </w:p>
        </w:tc>
        <w:tc>
          <w:tcPr>
            <w:tcW w:type="dxa" w:w="2268"/>
          </w:tcPr>
          <w:p>
            <w:pPr>
              <w:jc w:val="center"/>
            </w:pPr>
            <w:r>
              <w:rPr>
                <w:rFonts w:ascii="Times New Roman" w:hAnsi="Times New Roman" w:eastAsia="宋体"/>
                <w:b w:val="0"/>
                <w:color w:val="000000"/>
                <w:sz w:val="18"/>
              </w:rPr>
              <w:t>delay 10–20步</w:t>
            </w:r>
          </w:p>
        </w:tc>
      </w:tr>
    </w:tbl>
    <w:p>
      <w:pPr>
        <w:spacing w:after="40"/>
      </w:pPr>
    </w:p>
    <w:p>
      <w:pPr>
        <w:keepNext/>
        <w:spacing w:before="120" w:after="60" w:line="360" w:lineRule="auto"/>
      </w:pPr>
      <w:r>
        <w:rPr>
          <w:rFonts w:ascii="Times New Roman" w:hAnsi="Times New Roman" w:eastAsia="黑体"/>
          <w:b/>
          <w:color w:val="000000"/>
          <w:sz w:val="21"/>
        </w:rPr>
        <w:t>3.1.4  监督基线结果</w:t>
      </w:r>
    </w:p>
    <w:p>
      <w:pPr>
        <w:spacing w:line="360" w:lineRule="auto" w:after="120"/>
        <w:ind w:firstLine="420"/>
        <w:jc w:val="both"/>
      </w:pPr>
      <w:r>
        <w:rPr>
          <w:rFonts w:ascii="Times New Roman" w:hAnsi="Times New Roman" w:eastAsia="宋体"/>
          <w:b w:val="0"/>
          <w:color w:val="000000"/>
          <w:sz w:val="21"/>
        </w:rPr>
        <w:t>监督PAC基线在分布内表现优异：三维位置RMSE为0.064 m，优于SMC（0.162 m）和MPC（0.071 m）。然而在分布外（OOD），监督基线退化为0.161 m，甚至不如完全不调度的固定α=0.5（0.120 m）。机制分析表明，监督策略在陌生海况下将α推至0.8以上并剧烈振荡（标准差0.33），本质上是模仿学习对分布外输入的系统性失效。这一发现直接激发了受约束残差强化学习的设计。</w:t>
      </w:r>
    </w:p>
    <w:p>
      <w:r>
        <w:br w:type="page"/>
      </w:r>
    </w:p>
    <w:p>
      <w:pPr>
        <w:keepNext/>
        <w:spacing w:before="200" w:after="100" w:line="360" w:lineRule="auto"/>
      </w:pPr>
      <w:r>
        <w:rPr>
          <w:rFonts w:ascii="Times New Roman" w:hAnsi="Times New Roman" w:eastAsia="黑体"/>
          <w:b/>
          <w:color w:val="000000"/>
          <w:sz w:val="24"/>
        </w:rPr>
        <w:t>3.2  受约束残差强化学习</w:t>
      </w:r>
    </w:p>
    <w:p>
      <w:pPr>
        <w:keepNext/>
        <w:spacing w:before="120" w:after="60" w:line="360" w:lineRule="auto"/>
      </w:pPr>
      <w:r>
        <w:rPr>
          <w:rFonts w:ascii="Times New Roman" w:hAnsi="Times New Roman" w:eastAsia="黑体"/>
          <w:b/>
          <w:color w:val="000000"/>
          <w:sz w:val="21"/>
        </w:rPr>
        <w:t>3.2.1  奖励函数设计</w:t>
      </w:r>
    </w:p>
    <w:p>
      <w:pPr>
        <w:spacing w:line="360" w:lineRule="auto" w:after="120"/>
        <w:ind w:firstLine="420"/>
        <w:jc w:val="both"/>
      </w:pPr>
      <w:r>
        <w:rPr>
          <w:rFonts w:ascii="Times New Roman" w:hAnsi="Times New Roman" w:eastAsia="宋体"/>
          <w:b w:val="0"/>
          <w:color w:val="000000"/>
          <w:sz w:val="21"/>
        </w:rPr>
        <w:t>设计8项加权单步奖励函数（权重训练前冻结进manifest）：</w:t>
      </w:r>
    </w:p>
    <w:p>
      <w:pPr>
        <w:spacing w:line="360" w:lineRule="auto" w:after="120"/>
        <w:jc w:val="center"/>
      </w:pPr>
      <w:r>
        <w:rPr>
          <w:rFonts w:ascii="Times New Roman" w:hAnsi="Times New Roman" w:eastAsia="宋体"/>
          <w:b w:val="0"/>
          <w:color w:val="000000"/>
          <w:sz w:val="21"/>
        </w:rPr>
        <w:t>r = −w_e·(e_pos/s_pos) − w_h·(e_head/s_head) − w_u·‖u‖² − w_Δu·‖Δu‖² − w_Δα·|Δα| − w_sat·ρ_sat − w_dl·ρ_dl − w_c·ρ_con</w:t>
      </w:r>
    </w:p>
    <w:p>
      <w:pPr>
        <w:spacing w:line="360" w:lineRule="auto" w:after="120"/>
        <w:ind w:firstLine="420"/>
        <w:jc w:val="both"/>
      </w:pPr>
      <w:r>
        <w:rPr>
          <w:rFonts w:ascii="Times New Roman" w:hAnsi="Times New Roman" w:eastAsia="宋体"/>
          <w:b w:val="0"/>
          <w:color w:val="000000"/>
          <w:sz w:val="21"/>
        </w:rPr>
        <w:t>其中位置误差权重w_e=1.0（最主要目标），约束违反罚w_c=10.0（安全&gt;&gt;性能），超时项ρ_dl仅记录不改调度。归一化尺度s_pos=0.1 m、s_head=0.05 rad使各项量级可比。</w:t>
      </w:r>
    </w:p>
    <w:p>
      <w:pPr>
        <w:keepNext/>
        <w:spacing w:before="120" w:after="60" w:line="360" w:lineRule="auto"/>
      </w:pPr>
      <w:r>
        <w:rPr>
          <w:rFonts w:ascii="Times New Roman" w:hAnsi="Times New Roman" w:eastAsia="黑体"/>
          <w:b/>
          <w:color w:val="000000"/>
          <w:sz w:val="21"/>
        </w:rPr>
        <w:t>3.2.2  TD3训练</w:t>
      </w:r>
    </w:p>
    <w:p>
      <w:pPr>
        <w:spacing w:line="360" w:lineRule="auto" w:after="120"/>
        <w:ind w:firstLine="420"/>
        <w:jc w:val="both"/>
      </w:pPr>
      <w:r>
        <w:rPr>
          <w:rFonts w:ascii="Times New Roman" w:hAnsi="Times New Roman" w:eastAsia="宋体"/>
          <w:b w:val="0"/>
          <w:color w:val="000000"/>
          <w:sz w:val="21"/>
        </w:rPr>
        <w:t>采用TD3算法（双评论家、目标平滑、延迟策略更新），仅训练2,177参数残差头。训练环境轮转全部6族扰动的训练范围（包括监督基线未见过的随机族）。以2×10⁵离线过渡热启动，行为正则系数λ=0.01防止偏离监督器太远。5个模型种子独立训练，训练曲线见图3.2。</w:t>
      </w:r>
    </w:p>
    <w:p>
      <w:pPr>
        <w:keepNext/>
        <w:jc w:val="center"/>
      </w:pPr>
      <w:r>
        <w:drawing>
          <wp:inline xmlns:a="http://schemas.openxmlformats.org/drawingml/2006/main" xmlns:pic="http://schemas.openxmlformats.org/drawingml/2006/picture">
            <wp:extent cx="5303520" cy="1772788"/>
            <wp:docPr id="2" name="Picture 2"/>
            <wp:cNvGraphicFramePr>
              <a:graphicFrameLocks noChangeAspect="1"/>
            </wp:cNvGraphicFramePr>
            <a:graphic>
              <a:graphicData uri="http://schemas.openxmlformats.org/drawingml/2006/picture">
                <pic:pic>
                  <pic:nvPicPr>
                    <pic:cNvPr id="0" name="fig_training_curves.png"/>
                    <pic:cNvPicPr/>
                  </pic:nvPicPr>
                  <pic:blipFill>
                    <a:blip r:embed="rId12"/>
                    <a:stretch>
                      <a:fillRect/>
                    </a:stretch>
                  </pic:blipFill>
                  <pic:spPr>
                    <a:xfrm>
                      <a:off x="0" y="0"/>
                      <a:ext cx="5303520" cy="1772788"/>
                    </a:xfrm>
                    <a:prstGeom prst="rect"/>
                  </pic:spPr>
                </pic:pic>
              </a:graphicData>
            </a:graphic>
          </wp:inline>
        </w:drawing>
      </w:r>
    </w:p>
    <w:p>
      <w:pPr>
        <w:spacing w:after="160"/>
        <w:jc w:val="center"/>
      </w:pPr>
      <w:r>
        <w:rPr>
          <w:rFonts w:ascii="Times New Roman" w:hAnsi="Times New Roman" w:eastAsia="宋体"/>
          <w:b w:val="0"/>
          <w:color w:val="000000"/>
          <w:sz w:val="18"/>
        </w:rPr>
        <w:t>图3.2  残差训练曲线：回合奖励、评论家损失、策略损失（5种子）</w:t>
      </w:r>
    </w:p>
    <w:p>
      <w:pPr>
        <w:keepNext/>
        <w:spacing w:before="120" w:after="60" w:line="360" w:lineRule="auto"/>
      </w:pPr>
      <w:r>
        <w:rPr>
          <w:rFonts w:ascii="Times New Roman" w:hAnsi="Times New Roman" w:eastAsia="黑体"/>
          <w:b/>
          <w:color w:val="000000"/>
          <w:sz w:val="21"/>
        </w:rPr>
        <w:t>3.2.3  正式评估结果</w:t>
      </w:r>
    </w:p>
    <w:p>
      <w:pPr>
        <w:spacing w:line="360" w:lineRule="auto" w:after="120"/>
        <w:ind w:firstLine="420"/>
        <w:jc w:val="both"/>
      </w:pPr>
      <w:r>
        <w:rPr>
          <w:rFonts w:ascii="Times New Roman" w:hAnsi="Times New Roman" w:eastAsia="宋体"/>
          <w:b w:val="0"/>
          <w:color w:val="000000"/>
          <w:sz w:val="21"/>
        </w:rPr>
        <w:t>在120个配对回合的正式评估中，残差策略取得以下核心结果：</w:t>
      </w:r>
    </w:p>
    <w:p>
      <w:pPr>
        <w:spacing w:line="360" w:lineRule="auto" w:after="120"/>
        <w:ind w:firstLine="420"/>
        <w:jc w:val="both"/>
      </w:pPr>
      <w:r>
        <w:rPr>
          <w:rFonts w:ascii="Times New Roman" w:hAnsi="Times New Roman" w:eastAsia="宋体"/>
          <w:b w:val="0"/>
          <w:color w:val="000000"/>
          <w:sz w:val="21"/>
        </w:rPr>
        <w:t>分布外跟踪：OOD RMSE从0.161 m降至0.116 m（相对改善28%，配对95% CI [−0.074, −0.015] m，模型种子级t(4)检验显著）。最大误差从0.495 m降至0.414 m。</w:t>
      </w:r>
    </w:p>
    <w:p>
      <w:pPr>
        <w:spacing w:line="360" w:lineRule="auto" w:after="120"/>
        <w:ind w:firstLine="420"/>
        <w:jc w:val="both"/>
      </w:pPr>
      <w:r>
        <w:rPr>
          <w:rFonts w:ascii="Times New Roman" w:hAnsi="Times New Roman" w:eastAsia="宋体"/>
          <w:b w:val="0"/>
          <w:color w:val="000000"/>
          <w:sz w:val="21"/>
        </w:rPr>
        <w:t>执行器退化免疫：MPC专家单独工作时误差发散至0.822 m，残差策略将其约束至0.090 m（−89%）。监督策略在此场景为0.295 m，固定α=0.5为0.125 m——残差策略较两者分别改善69%和28%。核心场景的三维轨迹与权限行为见图3.3。</w:t>
      </w:r>
    </w:p>
    <w:p>
      <w:pPr>
        <w:keepNext/>
        <w:jc w:val="center"/>
      </w:pPr>
      <w:r>
        <w:drawing>
          <wp:inline xmlns:a="http://schemas.openxmlformats.org/drawingml/2006/main" xmlns:pic="http://schemas.openxmlformats.org/drawingml/2006/picture">
            <wp:extent cx="5303520" cy="3659116"/>
            <wp:docPr id="3" name="Picture 3"/>
            <wp:cNvGraphicFramePr>
              <a:graphicFrameLocks noChangeAspect="1"/>
            </wp:cNvGraphicFramePr>
            <a:graphic>
              <a:graphicData uri="http://schemas.openxmlformats.org/drawingml/2006/picture">
                <pic:pic>
                  <pic:nvPicPr>
                    <pic:cNvPr id="0" name="fig5_actuator_case.png"/>
                    <pic:cNvPicPr/>
                  </pic:nvPicPr>
                  <pic:blipFill>
                    <a:blip r:embed="rId13"/>
                    <a:stretch>
                      <a:fillRect/>
                    </a:stretch>
                  </pic:blipFill>
                  <pic:spPr>
                    <a:xfrm>
                      <a:off x="0" y="0"/>
                      <a:ext cx="5303520" cy="3659116"/>
                    </a:xfrm>
                    <a:prstGeom prst="rect"/>
                  </pic:spPr>
                </pic:pic>
              </a:graphicData>
            </a:graphic>
          </wp:inline>
        </w:drawing>
      </w:r>
    </w:p>
    <w:p>
      <w:pPr>
        <w:spacing w:after="160"/>
        <w:jc w:val="center"/>
      </w:pPr>
      <w:r>
        <w:rPr>
          <w:rFonts w:ascii="Times New Roman" w:hAnsi="Times New Roman" w:eastAsia="宋体"/>
          <w:b w:val="0"/>
          <w:color w:val="000000"/>
          <w:sz w:val="18"/>
        </w:rPr>
        <w:t>图3.3  执行器退化场景：位置误差、权限轨迹与分布箱线图</w:t>
      </w:r>
    </w:p>
    <w:p>
      <w:pPr>
        <w:spacing w:line="360" w:lineRule="auto" w:after="120"/>
        <w:ind w:firstLine="420"/>
        <w:jc w:val="both"/>
      </w:pPr>
      <w:r>
        <w:rPr>
          <w:rFonts w:ascii="Times New Roman" w:hAnsi="Times New Roman" w:eastAsia="宋体"/>
          <w:b w:val="0"/>
          <w:color w:val="000000"/>
          <w:sz w:val="21"/>
        </w:rPr>
        <w:t>分布外全景：在7个OOD扰动族的热图分析中（见图3.4），残差策略的增益集中在执行器退化族和极端外推族，温和随机海流族上与对照持平。</w:t>
      </w:r>
    </w:p>
    <w:p>
      <w:pPr>
        <w:keepNext/>
        <w:jc w:val="center"/>
      </w:pPr>
      <w:r>
        <w:drawing>
          <wp:inline xmlns:a="http://schemas.openxmlformats.org/drawingml/2006/main" xmlns:pic="http://schemas.openxmlformats.org/drawingml/2006/picture">
            <wp:extent cx="5303520" cy="2706615"/>
            <wp:docPr id="4" name="Picture 4"/>
            <wp:cNvGraphicFramePr>
              <a:graphicFrameLocks noChangeAspect="1"/>
            </wp:cNvGraphicFramePr>
            <a:graphic>
              <a:graphicData uri="http://schemas.openxmlformats.org/drawingml/2006/picture">
                <pic:pic>
                  <pic:nvPicPr>
                    <pic:cNvPr id="0" name="fig4_closed_loop_results.png"/>
                    <pic:cNvPicPr/>
                  </pic:nvPicPr>
                  <pic:blipFill>
                    <a:blip r:embed="rId14"/>
                    <a:stretch>
                      <a:fillRect/>
                    </a:stretch>
                  </pic:blipFill>
                  <pic:spPr>
                    <a:xfrm>
                      <a:off x="0" y="0"/>
                      <a:ext cx="5303520" cy="2706615"/>
                    </a:xfrm>
                    <a:prstGeom prst="rect"/>
                  </pic:spPr>
                </pic:pic>
              </a:graphicData>
            </a:graphic>
          </wp:inline>
        </w:drawing>
      </w:r>
    </w:p>
    <w:p>
      <w:pPr>
        <w:spacing w:after="160"/>
        <w:jc w:val="center"/>
      </w:pPr>
      <w:r>
        <w:rPr>
          <w:rFonts w:ascii="Times New Roman" w:hAnsi="Times New Roman" w:eastAsia="宋体"/>
          <w:b w:val="0"/>
          <w:color w:val="000000"/>
          <w:sz w:val="18"/>
        </w:rPr>
        <w:t>图3.4  预注册配对效应森林图与族热图</w:t>
      </w:r>
    </w:p>
    <w:p>
      <w:pPr>
        <w:keepNext/>
        <w:spacing w:before="120" w:after="60" w:line="360" w:lineRule="auto"/>
      </w:pPr>
      <w:r>
        <w:rPr>
          <w:rFonts w:ascii="Times New Roman" w:hAnsi="Times New Roman" w:eastAsia="黑体"/>
          <w:b/>
          <w:color w:val="000000"/>
          <w:sz w:val="21"/>
        </w:rPr>
        <w:t>3.2.4  控制质量与代价分析</w:t>
      </w:r>
    </w:p>
    <w:p>
      <w:pPr>
        <w:spacing w:line="360" w:lineRule="auto" w:after="120"/>
        <w:ind w:firstLine="420"/>
        <w:jc w:val="both"/>
      </w:pPr>
      <w:r>
        <w:rPr>
          <w:rFonts w:ascii="Times New Roman" w:hAnsi="Times New Roman" w:eastAsia="宋体"/>
          <w:b w:val="0"/>
          <w:color w:val="000000"/>
          <w:sz w:val="21"/>
        </w:rPr>
        <w:t>残差策略在OOD块取得六方法中最低的饱和步占比（0.126）和最低的控制代价（31.9），配对控制代价效应为−1.78 [−2.31, −1.26]——即跟踪更好的同时运行代价反而更低。这证实了注册准则“增益不以执行器滥用为代价”。</w:t>
      </w:r>
    </w:p>
    <w:p>
      <w:pPr>
        <w:spacing w:line="360" w:lineRule="auto" w:after="120"/>
        <w:ind w:firstLine="420"/>
        <w:jc w:val="both"/>
      </w:pPr>
      <w:r>
        <w:rPr>
          <w:rFonts w:ascii="Times New Roman" w:hAnsi="Times New Roman" w:eastAsia="宋体"/>
          <w:b w:val="0"/>
          <w:color w:val="000000"/>
          <w:sz w:val="21"/>
        </w:rPr>
        <w:t>代价方面如实报告：分布内位置误差上升4.4%，艏向误差上升4.3%，求解器超时率从0.69升至0.80。在六项注册验收准则中，三项通过、两项未通过、一项（部署推理时延）未评估——全部结果与训练前冻结的准则对照测量。</w:t>
      </w:r>
    </w:p>
    <w:p>
      <w:pPr>
        <w:keepNext/>
        <w:jc w:val="center"/>
      </w:pPr>
      <w:r>
        <w:rPr>
          <w:rFonts w:ascii="Times New Roman" w:hAnsi="Times New Roman" w:eastAsia="宋体"/>
          <w:b/>
          <w:color w:val="000000"/>
          <w:sz w:val="18"/>
        </w:rPr>
        <w:t>表3.2  六方法正式评估结果汇总</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01"/>
            <w:shd w:val="clear" w:fill="F2F2F2"/>
          </w:tcPr>
          <w:p>
            <w:pPr>
              <w:jc w:val="center"/>
            </w:pPr>
            <w:r>
              <w:rPr>
                <w:rFonts w:ascii="Times New Roman" w:hAnsi="Times New Roman" w:eastAsia="宋体"/>
                <w:b/>
                <w:color w:val="000000"/>
                <w:sz w:val="18"/>
              </w:rPr>
              <w:t>方法</w:t>
            </w:r>
          </w:p>
        </w:tc>
        <w:tc>
          <w:tcPr>
            <w:tcW w:type="dxa" w:w="1247"/>
            <w:shd w:val="clear" w:fill="F2F2F2"/>
          </w:tcPr>
          <w:p>
            <w:pPr>
              <w:jc w:val="center"/>
            </w:pPr>
            <w:r>
              <w:rPr>
                <w:rFonts w:ascii="Times New Roman" w:hAnsi="Times New Roman" w:eastAsia="宋体"/>
                <w:b/>
                <w:color w:val="000000"/>
                <w:sz w:val="18"/>
              </w:rPr>
              <w:t>ID RMSE (m)</w:t>
            </w:r>
          </w:p>
        </w:tc>
        <w:tc>
          <w:tcPr>
            <w:tcW w:type="dxa" w:w="1247"/>
            <w:shd w:val="clear" w:fill="F2F2F2"/>
          </w:tcPr>
          <w:p>
            <w:pPr>
              <w:jc w:val="center"/>
            </w:pPr>
            <w:r>
              <w:rPr>
                <w:rFonts w:ascii="Times New Roman" w:hAnsi="Times New Roman" w:eastAsia="宋体"/>
                <w:b/>
                <w:color w:val="000000"/>
                <w:sz w:val="18"/>
              </w:rPr>
              <w:t>OOD RMSE (m)</w:t>
            </w:r>
          </w:p>
        </w:tc>
        <w:tc>
          <w:tcPr>
            <w:tcW w:type="dxa" w:w="1134"/>
            <w:shd w:val="clear" w:fill="F2F2F2"/>
          </w:tcPr>
          <w:p>
            <w:pPr>
              <w:jc w:val="center"/>
            </w:pPr>
            <w:r>
              <w:rPr>
                <w:rFonts w:ascii="Times New Roman" w:hAnsi="Times New Roman" w:eastAsia="宋体"/>
                <w:b/>
                <w:color w:val="000000"/>
                <w:sz w:val="18"/>
              </w:rPr>
              <w:t>OOD饱和率</w:t>
            </w:r>
          </w:p>
        </w:tc>
        <w:tc>
          <w:tcPr>
            <w:tcW w:type="dxa" w:w="1134"/>
            <w:shd w:val="clear" w:fill="F2F2F2"/>
          </w:tcPr>
          <w:p>
            <w:pPr>
              <w:jc w:val="center"/>
            </w:pPr>
            <w:r>
              <w:rPr>
                <w:rFonts w:ascii="Times New Roman" w:hAnsi="Times New Roman" w:eastAsia="宋体"/>
                <w:b/>
                <w:color w:val="000000"/>
                <w:sz w:val="18"/>
              </w:rPr>
              <w:t>OOD控制代价</w:t>
            </w:r>
          </w:p>
        </w:tc>
      </w:tr>
      <w:tr>
        <w:tc>
          <w:tcPr>
            <w:tcW w:type="dxa" w:w="1701"/>
          </w:tcPr>
          <w:p>
            <w:pPr>
              <w:jc w:val="left"/>
            </w:pPr>
            <w:r>
              <w:rPr>
                <w:rFonts w:ascii="Times New Roman" w:hAnsi="Times New Roman" w:eastAsia="宋体"/>
                <w:b w:val="0"/>
                <w:color w:val="000000"/>
                <w:sz w:val="18"/>
              </w:rPr>
              <w:t>SMC</w:t>
            </w:r>
          </w:p>
        </w:tc>
        <w:tc>
          <w:tcPr>
            <w:tcW w:type="dxa" w:w="1247"/>
          </w:tcPr>
          <w:p>
            <w:pPr>
              <w:jc w:val="center"/>
            </w:pPr>
            <w:r>
              <w:rPr>
                <w:rFonts w:ascii="Times New Roman" w:hAnsi="Times New Roman" w:eastAsia="宋体"/>
                <w:b w:val="0"/>
                <w:color w:val="000000"/>
                <w:sz w:val="18"/>
              </w:rPr>
              <w:t>0.162</w:t>
            </w:r>
          </w:p>
        </w:tc>
        <w:tc>
          <w:tcPr>
            <w:tcW w:type="dxa" w:w="1247"/>
          </w:tcPr>
          <w:p>
            <w:pPr>
              <w:jc w:val="center"/>
            </w:pPr>
            <w:r>
              <w:rPr>
                <w:rFonts w:ascii="Times New Roman" w:hAnsi="Times New Roman" w:eastAsia="宋体"/>
                <w:b w:val="0"/>
                <w:color w:val="000000"/>
                <w:sz w:val="18"/>
              </w:rPr>
              <w:t>0.248</w:t>
            </w:r>
          </w:p>
        </w:tc>
        <w:tc>
          <w:tcPr>
            <w:tcW w:type="dxa" w:w="1134"/>
          </w:tcPr>
          <w:p>
            <w:pPr>
              <w:jc w:val="center"/>
            </w:pPr>
            <w:r>
              <w:rPr>
                <w:rFonts w:ascii="Times New Roman" w:hAnsi="Times New Roman" w:eastAsia="宋体"/>
                <w:b w:val="0"/>
                <w:color w:val="000000"/>
                <w:sz w:val="18"/>
              </w:rPr>
              <w:t>0.146</w:t>
            </w:r>
          </w:p>
        </w:tc>
        <w:tc>
          <w:tcPr>
            <w:tcW w:type="dxa" w:w="1134"/>
          </w:tcPr>
          <w:p>
            <w:pPr>
              <w:jc w:val="center"/>
            </w:pPr>
            <w:r>
              <w:rPr>
                <w:rFonts w:ascii="Times New Roman" w:hAnsi="Times New Roman" w:eastAsia="宋体"/>
                <w:b w:val="0"/>
                <w:color w:val="000000"/>
                <w:sz w:val="18"/>
              </w:rPr>
              <w:t>32.0</w:t>
            </w:r>
          </w:p>
        </w:tc>
      </w:tr>
      <w:tr>
        <w:tc>
          <w:tcPr>
            <w:tcW w:type="dxa" w:w="1701"/>
          </w:tcPr>
          <w:p>
            <w:pPr>
              <w:jc w:val="left"/>
            </w:pPr>
            <w:r>
              <w:rPr>
                <w:rFonts w:ascii="Times New Roman" w:hAnsi="Times New Roman" w:eastAsia="宋体"/>
                <w:b w:val="0"/>
                <w:color w:val="000000"/>
                <w:sz w:val="18"/>
              </w:rPr>
              <w:t>MPC</w:t>
            </w:r>
          </w:p>
        </w:tc>
        <w:tc>
          <w:tcPr>
            <w:tcW w:type="dxa" w:w="1247"/>
          </w:tcPr>
          <w:p>
            <w:pPr>
              <w:jc w:val="center"/>
            </w:pPr>
            <w:r>
              <w:rPr>
                <w:rFonts w:ascii="Times New Roman" w:hAnsi="Times New Roman" w:eastAsia="宋体"/>
                <w:b w:val="0"/>
                <w:color w:val="000000"/>
                <w:sz w:val="18"/>
              </w:rPr>
              <w:t>0.071</w:t>
            </w:r>
          </w:p>
        </w:tc>
        <w:tc>
          <w:tcPr>
            <w:tcW w:type="dxa" w:w="1247"/>
          </w:tcPr>
          <w:p>
            <w:pPr>
              <w:jc w:val="center"/>
            </w:pPr>
            <w:r>
              <w:rPr>
                <w:rFonts w:ascii="Times New Roman" w:hAnsi="Times New Roman" w:eastAsia="宋体"/>
                <w:b w:val="0"/>
                <w:color w:val="000000"/>
                <w:sz w:val="18"/>
              </w:rPr>
              <w:t>0.221</w:t>
            </w:r>
          </w:p>
        </w:tc>
        <w:tc>
          <w:tcPr>
            <w:tcW w:type="dxa" w:w="1134"/>
          </w:tcPr>
          <w:p>
            <w:pPr>
              <w:jc w:val="center"/>
            </w:pPr>
            <w:r>
              <w:rPr>
                <w:rFonts w:ascii="Times New Roman" w:hAnsi="Times New Roman" w:eastAsia="宋体"/>
                <w:b w:val="0"/>
                <w:color w:val="000000"/>
                <w:sz w:val="18"/>
              </w:rPr>
              <w:t>0.207</w:t>
            </w:r>
          </w:p>
        </w:tc>
        <w:tc>
          <w:tcPr>
            <w:tcW w:type="dxa" w:w="1134"/>
          </w:tcPr>
          <w:p>
            <w:pPr>
              <w:jc w:val="center"/>
            </w:pPr>
            <w:r>
              <w:rPr>
                <w:rFonts w:ascii="Times New Roman" w:hAnsi="Times New Roman" w:eastAsia="宋体"/>
                <w:b w:val="0"/>
                <w:color w:val="000000"/>
                <w:sz w:val="18"/>
              </w:rPr>
              <w:t>35.2</w:t>
            </w:r>
          </w:p>
        </w:tc>
      </w:tr>
      <w:tr>
        <w:tc>
          <w:tcPr>
            <w:tcW w:type="dxa" w:w="1701"/>
          </w:tcPr>
          <w:p>
            <w:pPr>
              <w:jc w:val="left"/>
            </w:pPr>
            <w:r>
              <w:rPr>
                <w:rFonts w:ascii="Times New Roman" w:hAnsi="Times New Roman" w:eastAsia="宋体"/>
                <w:b w:val="0"/>
                <w:color w:val="000000"/>
                <w:sz w:val="18"/>
              </w:rPr>
              <w:t>固定α=0.5</w:t>
            </w:r>
          </w:p>
        </w:tc>
        <w:tc>
          <w:tcPr>
            <w:tcW w:type="dxa" w:w="1247"/>
          </w:tcPr>
          <w:p>
            <w:pPr>
              <w:jc w:val="center"/>
            </w:pPr>
            <w:r>
              <w:rPr>
                <w:rFonts w:ascii="Times New Roman" w:hAnsi="Times New Roman" w:eastAsia="宋体"/>
                <w:b w:val="0"/>
                <w:color w:val="000000"/>
                <w:sz w:val="18"/>
              </w:rPr>
              <w:t>0.066</w:t>
            </w:r>
          </w:p>
        </w:tc>
        <w:tc>
          <w:tcPr>
            <w:tcW w:type="dxa" w:w="1247"/>
          </w:tcPr>
          <w:p>
            <w:pPr>
              <w:jc w:val="center"/>
            </w:pPr>
            <w:r>
              <w:rPr>
                <w:rFonts w:ascii="Times New Roman" w:hAnsi="Times New Roman" w:eastAsia="宋体"/>
                <w:b w:val="0"/>
                <w:color w:val="000000"/>
                <w:sz w:val="18"/>
              </w:rPr>
              <w:t>0.120</w:t>
            </w:r>
          </w:p>
        </w:tc>
        <w:tc>
          <w:tcPr>
            <w:tcW w:type="dxa" w:w="1134"/>
          </w:tcPr>
          <w:p>
            <w:pPr>
              <w:jc w:val="center"/>
            </w:pPr>
            <w:r>
              <w:rPr>
                <w:rFonts w:ascii="Times New Roman" w:hAnsi="Times New Roman" w:eastAsia="宋体"/>
                <w:b w:val="0"/>
                <w:color w:val="000000"/>
                <w:sz w:val="18"/>
              </w:rPr>
              <w:t>0.134</w:t>
            </w:r>
          </w:p>
        </w:tc>
        <w:tc>
          <w:tcPr>
            <w:tcW w:type="dxa" w:w="1134"/>
          </w:tcPr>
          <w:p>
            <w:pPr>
              <w:jc w:val="center"/>
            </w:pPr>
            <w:r>
              <w:rPr>
                <w:rFonts w:ascii="Times New Roman" w:hAnsi="Times New Roman" w:eastAsia="宋体"/>
                <w:b w:val="0"/>
                <w:color w:val="000000"/>
                <w:sz w:val="18"/>
              </w:rPr>
              <w:t>32.4</w:t>
            </w:r>
          </w:p>
        </w:tc>
      </w:tr>
      <w:tr>
        <w:tc>
          <w:tcPr>
            <w:tcW w:type="dxa" w:w="1701"/>
          </w:tcPr>
          <w:p>
            <w:pPr>
              <w:jc w:val="left"/>
            </w:pPr>
            <w:r>
              <w:rPr>
                <w:rFonts w:ascii="Times New Roman" w:hAnsi="Times New Roman" w:eastAsia="宋体"/>
                <w:b w:val="0"/>
                <w:color w:val="000000"/>
                <w:sz w:val="18"/>
              </w:rPr>
              <w:t>SSPO</w:t>
            </w:r>
          </w:p>
        </w:tc>
        <w:tc>
          <w:tcPr>
            <w:tcW w:type="dxa" w:w="1247"/>
          </w:tcPr>
          <w:p>
            <w:pPr>
              <w:jc w:val="center"/>
            </w:pPr>
            <w:r>
              <w:rPr>
                <w:rFonts w:ascii="Times New Roman" w:hAnsi="Times New Roman" w:eastAsia="宋体"/>
                <w:b w:val="0"/>
                <w:color w:val="000000"/>
                <w:sz w:val="18"/>
              </w:rPr>
              <w:t>0.062</w:t>
            </w:r>
          </w:p>
        </w:tc>
        <w:tc>
          <w:tcPr>
            <w:tcW w:type="dxa" w:w="1247"/>
          </w:tcPr>
          <w:p>
            <w:pPr>
              <w:jc w:val="center"/>
            </w:pPr>
            <w:r>
              <w:rPr>
                <w:rFonts w:ascii="Times New Roman" w:hAnsi="Times New Roman" w:eastAsia="宋体"/>
                <w:b w:val="0"/>
                <w:color w:val="000000"/>
                <w:sz w:val="18"/>
              </w:rPr>
              <w:t>0.136</w:t>
            </w:r>
          </w:p>
        </w:tc>
        <w:tc>
          <w:tcPr>
            <w:tcW w:type="dxa" w:w="1134"/>
          </w:tcPr>
          <w:p>
            <w:pPr>
              <w:jc w:val="center"/>
            </w:pPr>
            <w:r>
              <w:rPr>
                <w:rFonts w:ascii="Times New Roman" w:hAnsi="Times New Roman" w:eastAsia="宋体"/>
                <w:b w:val="0"/>
                <w:color w:val="000000"/>
                <w:sz w:val="18"/>
              </w:rPr>
              <w:t>0.167</w:t>
            </w:r>
          </w:p>
        </w:tc>
        <w:tc>
          <w:tcPr>
            <w:tcW w:type="dxa" w:w="1134"/>
          </w:tcPr>
          <w:p>
            <w:pPr>
              <w:jc w:val="center"/>
            </w:pPr>
            <w:r>
              <w:rPr>
                <w:rFonts w:ascii="Times New Roman" w:hAnsi="Times New Roman" w:eastAsia="宋体"/>
                <w:b w:val="0"/>
                <w:color w:val="000000"/>
                <w:sz w:val="18"/>
              </w:rPr>
              <w:t>33.7</w:t>
            </w:r>
          </w:p>
        </w:tc>
      </w:tr>
      <w:tr>
        <w:tc>
          <w:tcPr>
            <w:tcW w:type="dxa" w:w="1701"/>
          </w:tcPr>
          <w:p>
            <w:pPr>
              <w:jc w:val="left"/>
            </w:pPr>
            <w:r>
              <w:rPr>
                <w:rFonts w:ascii="Times New Roman" w:hAnsi="Times New Roman" w:eastAsia="宋体"/>
                <w:b w:val="0"/>
                <w:color w:val="000000"/>
                <w:sz w:val="18"/>
              </w:rPr>
              <w:t>Supervised PAC</w:t>
            </w:r>
          </w:p>
        </w:tc>
        <w:tc>
          <w:tcPr>
            <w:tcW w:type="dxa" w:w="1247"/>
          </w:tcPr>
          <w:p>
            <w:pPr>
              <w:jc w:val="center"/>
            </w:pPr>
            <w:r>
              <w:rPr>
                <w:rFonts w:ascii="Times New Roman" w:hAnsi="Times New Roman" w:eastAsia="宋体"/>
                <w:b w:val="0"/>
                <w:color w:val="000000"/>
                <w:sz w:val="18"/>
              </w:rPr>
              <w:t>0.064</w:t>
            </w:r>
          </w:p>
        </w:tc>
        <w:tc>
          <w:tcPr>
            <w:tcW w:type="dxa" w:w="1247"/>
          </w:tcPr>
          <w:p>
            <w:pPr>
              <w:jc w:val="center"/>
            </w:pPr>
            <w:r>
              <w:rPr>
                <w:rFonts w:ascii="Times New Roman" w:hAnsi="Times New Roman" w:eastAsia="宋体"/>
                <w:b w:val="0"/>
                <w:color w:val="000000"/>
                <w:sz w:val="18"/>
              </w:rPr>
              <w:t>0.161</w:t>
            </w:r>
          </w:p>
        </w:tc>
        <w:tc>
          <w:tcPr>
            <w:tcW w:type="dxa" w:w="1134"/>
          </w:tcPr>
          <w:p>
            <w:pPr>
              <w:jc w:val="center"/>
            </w:pPr>
            <w:r>
              <w:rPr>
                <w:rFonts w:ascii="Times New Roman" w:hAnsi="Times New Roman" w:eastAsia="宋体"/>
                <w:b w:val="0"/>
                <w:color w:val="000000"/>
                <w:sz w:val="18"/>
              </w:rPr>
              <w:t>0.168</w:t>
            </w:r>
          </w:p>
        </w:tc>
        <w:tc>
          <w:tcPr>
            <w:tcW w:type="dxa" w:w="1134"/>
          </w:tcPr>
          <w:p>
            <w:pPr>
              <w:jc w:val="center"/>
            </w:pPr>
            <w:r>
              <w:rPr>
                <w:rFonts w:ascii="Times New Roman" w:hAnsi="Times New Roman" w:eastAsia="宋体"/>
                <w:b w:val="0"/>
                <w:color w:val="000000"/>
                <w:sz w:val="18"/>
              </w:rPr>
              <w:t>33.7</w:t>
            </w:r>
          </w:p>
        </w:tc>
      </w:tr>
      <w:tr>
        <w:tc>
          <w:tcPr>
            <w:tcW w:type="dxa" w:w="1701"/>
          </w:tcPr>
          <w:p>
            <w:pPr>
              <w:jc w:val="left"/>
            </w:pPr>
            <w:r>
              <w:rPr>
                <w:rFonts w:ascii="Times New Roman" w:hAnsi="Times New Roman" w:eastAsia="宋体"/>
                <w:b w:val="0"/>
                <w:color w:val="000000"/>
                <w:sz w:val="18"/>
              </w:rPr>
              <w:t>Residual PAC</w:t>
            </w:r>
          </w:p>
        </w:tc>
        <w:tc>
          <w:tcPr>
            <w:tcW w:type="dxa" w:w="1247"/>
          </w:tcPr>
          <w:p>
            <w:pPr>
              <w:jc w:val="center"/>
            </w:pPr>
            <w:r>
              <w:rPr>
                <w:rFonts w:ascii="Times New Roman" w:hAnsi="Times New Roman" w:eastAsia="宋体"/>
                <w:b w:val="0"/>
                <w:color w:val="000000"/>
                <w:sz w:val="18"/>
              </w:rPr>
              <w:t>0.066</w:t>
            </w:r>
          </w:p>
        </w:tc>
        <w:tc>
          <w:tcPr>
            <w:tcW w:type="dxa" w:w="1247"/>
          </w:tcPr>
          <w:p>
            <w:pPr>
              <w:jc w:val="center"/>
            </w:pPr>
            <w:r>
              <w:rPr>
                <w:rFonts w:ascii="Times New Roman" w:hAnsi="Times New Roman" w:eastAsia="宋体"/>
                <w:b w:val="0"/>
                <w:color w:val="000000"/>
                <w:sz w:val="18"/>
              </w:rPr>
              <w:t>0.116</w:t>
            </w:r>
          </w:p>
        </w:tc>
        <w:tc>
          <w:tcPr>
            <w:tcW w:type="dxa" w:w="1134"/>
          </w:tcPr>
          <w:p>
            <w:pPr>
              <w:jc w:val="center"/>
            </w:pPr>
            <w:r>
              <w:rPr>
                <w:rFonts w:ascii="Times New Roman" w:hAnsi="Times New Roman" w:eastAsia="宋体"/>
                <w:b w:val="0"/>
                <w:color w:val="000000"/>
                <w:sz w:val="18"/>
              </w:rPr>
              <w:t>0.126</w:t>
            </w:r>
          </w:p>
        </w:tc>
        <w:tc>
          <w:tcPr>
            <w:tcW w:type="dxa" w:w="1134"/>
          </w:tcPr>
          <w:p>
            <w:pPr>
              <w:jc w:val="center"/>
            </w:pPr>
            <w:r>
              <w:rPr>
                <w:rFonts w:ascii="Times New Roman" w:hAnsi="Times New Roman" w:eastAsia="宋体"/>
                <w:b w:val="0"/>
                <w:color w:val="000000"/>
                <w:sz w:val="18"/>
              </w:rPr>
              <w:t>31.9</w:t>
            </w:r>
          </w:p>
        </w:tc>
      </w:tr>
    </w:tbl>
    <w:p>
      <w:pPr>
        <w:spacing w:after="40"/>
      </w:pPr>
    </w:p>
    <w:p>
      <w:r>
        <w:br w:type="page"/>
      </w:r>
    </w:p>
    <w:p>
      <w:pPr>
        <w:keepNext/>
        <w:spacing w:before="360" w:after="160" w:line="360" w:lineRule="auto"/>
      </w:pPr>
      <w:r>
        <w:rPr>
          <w:rFonts w:ascii="Times New Roman" w:hAnsi="Times New Roman" w:eastAsia="黑体"/>
          <w:b/>
          <w:color w:val="000000"/>
          <w:sz w:val="28"/>
        </w:rPr>
        <w:t>4  课题进度安排</w:t>
      </w:r>
    </w:p>
    <w:p>
      <w:pPr>
        <w:keepNext/>
        <w:jc w:val="center"/>
      </w:pPr>
      <w:r>
        <w:rPr>
          <w:rFonts w:ascii="Times New Roman" w:hAnsi="Times New Roman" w:eastAsia="宋体"/>
          <w:b/>
          <w:color w:val="000000"/>
          <w:sz w:val="18"/>
        </w:rPr>
        <w:t>表4.1  课题进度安排</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val="clear" w:fill="F2F2F2"/>
          </w:tcPr>
          <w:p>
            <w:pPr>
              <w:jc w:val="center"/>
            </w:pPr>
            <w:r>
              <w:rPr>
                <w:rFonts w:ascii="Times New Roman" w:hAnsi="Times New Roman" w:eastAsia="宋体"/>
                <w:b/>
                <w:color w:val="000000"/>
                <w:sz w:val="18"/>
              </w:rPr>
              <w:t>任务名称</w:t>
            </w:r>
          </w:p>
        </w:tc>
        <w:tc>
          <w:tcPr>
            <w:tcW w:type="dxa" w:w="1701"/>
            <w:shd w:val="clear" w:fill="F2F2F2"/>
          </w:tcPr>
          <w:p>
            <w:pPr>
              <w:jc w:val="center"/>
            </w:pPr>
            <w:r>
              <w:rPr>
                <w:rFonts w:ascii="Times New Roman" w:hAnsi="Times New Roman" w:eastAsia="宋体"/>
                <w:b/>
                <w:color w:val="000000"/>
                <w:sz w:val="18"/>
              </w:rPr>
              <w:t>时间安排</w:t>
            </w:r>
          </w:p>
        </w:tc>
        <w:tc>
          <w:tcPr>
            <w:tcW w:type="dxa" w:w="4819"/>
            <w:shd w:val="clear" w:fill="F2F2F2"/>
          </w:tcPr>
          <w:p>
            <w:pPr>
              <w:jc w:val="center"/>
            </w:pPr>
            <w:r>
              <w:rPr>
                <w:rFonts w:ascii="Times New Roman" w:hAnsi="Times New Roman" w:eastAsia="宋体"/>
                <w:b/>
                <w:color w:val="000000"/>
                <w:sz w:val="18"/>
              </w:rPr>
              <w:t>具体任务</w:t>
            </w:r>
          </w:p>
        </w:tc>
      </w:tr>
      <w:tr>
        <w:tc>
          <w:tcPr>
            <w:tcW w:type="dxa" w:w="1701"/>
          </w:tcPr>
          <w:p>
            <w:pPr>
              <w:jc w:val="left"/>
            </w:pPr>
            <w:r>
              <w:rPr>
                <w:rFonts w:ascii="Times New Roman" w:hAnsi="Times New Roman" w:eastAsia="宋体"/>
                <w:b w:val="0"/>
                <w:color w:val="000000"/>
                <w:sz w:val="18"/>
              </w:rPr>
              <w:t>文献调研与</w:t>
              <w:br/>
              <w:t>理论框架</w:t>
            </w:r>
          </w:p>
        </w:tc>
        <w:tc>
          <w:tcPr>
            <w:tcW w:type="dxa" w:w="1701"/>
          </w:tcPr>
          <w:p>
            <w:pPr>
              <w:jc w:val="center"/>
            </w:pPr>
            <w:r>
              <w:rPr>
                <w:rFonts w:ascii="Times New Roman" w:hAnsi="Times New Roman" w:eastAsia="宋体"/>
                <w:b w:val="0"/>
                <w:color w:val="000000"/>
                <w:sz w:val="18"/>
              </w:rPr>
              <w:t>2024.09–2024.12</w:t>
            </w:r>
          </w:p>
        </w:tc>
        <w:tc>
          <w:tcPr>
            <w:tcW w:type="dxa" w:w="4819"/>
          </w:tcPr>
          <w:p>
            <w:pPr>
              <w:jc w:val="center"/>
            </w:pPr>
            <w:r>
              <w:rPr>
                <w:rFonts w:ascii="Times New Roman" w:hAnsi="Times New Roman" w:eastAsia="宋体"/>
                <w:b w:val="0"/>
                <w:color w:val="000000"/>
                <w:sz w:val="18"/>
              </w:rPr>
              <w:t>完成PAC理论框架设计，实现仿真环境</w:t>
              <w:br/>
              <w:t>与Oracle数据生成管线，初步验证</w:t>
            </w:r>
          </w:p>
        </w:tc>
      </w:tr>
      <w:tr>
        <w:tc>
          <w:tcPr>
            <w:tcW w:type="dxa" w:w="1701"/>
          </w:tcPr>
          <w:p>
            <w:pPr>
              <w:jc w:val="left"/>
            </w:pPr>
            <w:r>
              <w:rPr>
                <w:rFonts w:ascii="Times New Roman" w:hAnsi="Times New Roman" w:eastAsia="宋体"/>
                <w:b w:val="0"/>
                <w:color w:val="000000"/>
                <w:sz w:val="18"/>
              </w:rPr>
              <w:t>监督基线</w:t>
              <w:br/>
              <w:t>与架构迭代</w:t>
            </w:r>
          </w:p>
        </w:tc>
        <w:tc>
          <w:tcPr>
            <w:tcW w:type="dxa" w:w="1701"/>
          </w:tcPr>
          <w:p>
            <w:pPr>
              <w:jc w:val="center"/>
            </w:pPr>
            <w:r>
              <w:rPr>
                <w:rFonts w:ascii="Times New Roman" w:hAnsi="Times New Roman" w:eastAsia="宋体"/>
                <w:b w:val="0"/>
                <w:color w:val="000000"/>
                <w:sz w:val="18"/>
              </w:rPr>
              <w:t>2025.01–2025.06</w:t>
            </w:r>
          </w:p>
        </w:tc>
        <w:tc>
          <w:tcPr>
            <w:tcW w:type="dxa" w:w="4819"/>
          </w:tcPr>
          <w:p>
            <w:pPr>
              <w:jc w:val="center"/>
            </w:pPr>
            <w:r>
              <w:rPr>
                <w:rFonts w:ascii="Times New Roman" w:hAnsi="Times New Roman" w:eastAsia="宋体"/>
                <w:b w:val="0"/>
                <w:color w:val="000000"/>
                <w:sz w:val="18"/>
              </w:rPr>
              <w:t>完成v1–v3监督PAC迭代与正式评估，</w:t>
              <w:br/>
              <w:t>建立冻结基线和预注册协议</w:t>
            </w:r>
          </w:p>
        </w:tc>
      </w:tr>
      <w:tr>
        <w:tc>
          <w:tcPr>
            <w:tcW w:type="dxa" w:w="1701"/>
          </w:tcPr>
          <w:p>
            <w:pPr>
              <w:jc w:val="left"/>
            </w:pPr>
            <w:r>
              <w:rPr>
                <w:rFonts w:ascii="Times New Roman" w:hAnsi="Times New Roman" w:eastAsia="宋体"/>
                <w:b w:val="0"/>
                <w:color w:val="000000"/>
                <w:sz w:val="18"/>
              </w:rPr>
              <w:t>残差强化学习</w:t>
              <w:br/>
              <w:t>与正式评估</w:t>
            </w:r>
          </w:p>
        </w:tc>
        <w:tc>
          <w:tcPr>
            <w:tcW w:type="dxa" w:w="1701"/>
          </w:tcPr>
          <w:p>
            <w:pPr>
              <w:jc w:val="center"/>
            </w:pPr>
            <w:r>
              <w:rPr>
                <w:rFonts w:ascii="Times New Roman" w:hAnsi="Times New Roman" w:eastAsia="宋体"/>
                <w:b w:val="0"/>
                <w:color w:val="000000"/>
                <w:sz w:val="18"/>
              </w:rPr>
              <w:t>2025.07–2026.06</w:t>
            </w:r>
          </w:p>
        </w:tc>
        <w:tc>
          <w:tcPr>
            <w:tcW w:type="dxa" w:w="4819"/>
          </w:tcPr>
          <w:p>
            <w:pPr>
              <w:jc w:val="center"/>
            </w:pPr>
            <w:r>
              <w:rPr>
                <w:rFonts w:ascii="Times New Roman" w:hAnsi="Times New Roman" w:eastAsia="宋体"/>
                <w:b w:val="0"/>
                <w:color w:val="000000"/>
                <w:sz w:val="18"/>
              </w:rPr>
              <w:t>实现受约束残差RL，完成8个扰动族</w:t>
              <w:br/>
              <w:t>预注册配对评估，撰写SCI论文</w:t>
            </w:r>
          </w:p>
        </w:tc>
      </w:tr>
      <w:tr>
        <w:tc>
          <w:tcPr>
            <w:tcW w:type="dxa" w:w="1701"/>
          </w:tcPr>
          <w:p>
            <w:pPr>
              <w:jc w:val="left"/>
            </w:pPr>
            <w:r>
              <w:rPr>
                <w:rFonts w:ascii="Times New Roman" w:hAnsi="Times New Roman" w:eastAsia="宋体"/>
                <w:b w:val="0"/>
                <w:color w:val="000000"/>
                <w:sz w:val="18"/>
              </w:rPr>
              <w:t>硬件平台</w:t>
              <w:br/>
              <w:t>搭建与验证</w:t>
            </w:r>
          </w:p>
        </w:tc>
        <w:tc>
          <w:tcPr>
            <w:tcW w:type="dxa" w:w="1701"/>
          </w:tcPr>
          <w:p>
            <w:pPr>
              <w:jc w:val="center"/>
            </w:pPr>
            <w:r>
              <w:rPr>
                <w:rFonts w:ascii="Times New Roman" w:hAnsi="Times New Roman" w:eastAsia="宋体"/>
                <w:b w:val="0"/>
                <w:color w:val="000000"/>
                <w:sz w:val="18"/>
              </w:rPr>
              <w:t>2026.07–2027.03</w:t>
            </w:r>
          </w:p>
        </w:tc>
        <w:tc>
          <w:tcPr>
            <w:tcW w:type="dxa" w:w="4819"/>
          </w:tcPr>
          <w:p>
            <w:pPr>
              <w:jc w:val="center"/>
            </w:pPr>
            <w:r>
              <w:rPr>
                <w:rFonts w:ascii="Times New Roman" w:hAnsi="Times New Roman" w:eastAsia="宋体"/>
                <w:b w:val="0"/>
                <w:color w:val="000000"/>
                <w:sz w:val="18"/>
              </w:rPr>
              <w:t>搭建AUV实验平台，水池硬件在环实验，</w:t>
              <w:br/>
              <w:t>执行器退化注入，部署时延测量</w:t>
            </w:r>
          </w:p>
        </w:tc>
      </w:tr>
      <w:tr>
        <w:tc>
          <w:tcPr>
            <w:tcW w:type="dxa" w:w="1701"/>
          </w:tcPr>
          <w:p>
            <w:pPr>
              <w:jc w:val="left"/>
            </w:pPr>
            <w:r>
              <w:rPr>
                <w:rFonts w:ascii="Times New Roman" w:hAnsi="Times New Roman" w:eastAsia="宋体"/>
                <w:b w:val="0"/>
                <w:color w:val="000000"/>
                <w:sz w:val="18"/>
              </w:rPr>
              <w:t>论文撰写</w:t>
              <w:br/>
              <w:t>与答辩</w:t>
            </w:r>
          </w:p>
        </w:tc>
        <w:tc>
          <w:tcPr>
            <w:tcW w:type="dxa" w:w="1701"/>
          </w:tcPr>
          <w:p>
            <w:pPr>
              <w:jc w:val="center"/>
            </w:pPr>
            <w:r>
              <w:rPr>
                <w:rFonts w:ascii="Times New Roman" w:hAnsi="Times New Roman" w:eastAsia="宋体"/>
                <w:b w:val="0"/>
                <w:color w:val="000000"/>
                <w:sz w:val="18"/>
              </w:rPr>
              <w:t>2027.03–2027.06</w:t>
            </w:r>
          </w:p>
        </w:tc>
        <w:tc>
          <w:tcPr>
            <w:tcW w:type="dxa" w:w="4819"/>
          </w:tcPr>
          <w:p>
            <w:pPr>
              <w:jc w:val="center"/>
            </w:pPr>
            <w:r>
              <w:rPr>
                <w:rFonts w:ascii="Times New Roman" w:hAnsi="Times New Roman" w:eastAsia="宋体"/>
                <w:b w:val="0"/>
                <w:color w:val="000000"/>
                <w:sz w:val="18"/>
              </w:rPr>
              <w:t>撰写硕士学位论文，准备答辩</w:t>
            </w:r>
          </w:p>
        </w:tc>
      </w:tr>
    </w:tbl>
    <w:p>
      <w:pPr>
        <w:spacing w:after="40"/>
      </w:pPr>
    </w:p>
    <w:p>
      <w:pPr>
        <w:keepNext/>
        <w:spacing w:before="360" w:after="160" w:line="360" w:lineRule="auto"/>
      </w:pPr>
      <w:r>
        <w:rPr>
          <w:rFonts w:ascii="Times New Roman" w:hAnsi="Times New Roman" w:eastAsia="黑体"/>
          <w:b/>
          <w:color w:val="000000"/>
          <w:sz w:val="28"/>
        </w:rPr>
        <w:t>5  课题预期成果及创新性</w:t>
      </w:r>
    </w:p>
    <w:p>
      <w:pPr>
        <w:keepNext/>
        <w:spacing w:before="200" w:after="100" w:line="360" w:lineRule="auto"/>
      </w:pPr>
      <w:r>
        <w:rPr>
          <w:rFonts w:ascii="Times New Roman" w:hAnsi="Times New Roman" w:eastAsia="黑体"/>
          <w:b/>
          <w:color w:val="000000"/>
          <w:sz w:val="24"/>
        </w:rPr>
        <w:t>5.1  课题研究特色及创新之处</w:t>
      </w:r>
    </w:p>
    <w:p>
      <w:pPr>
        <w:spacing w:line="360" w:lineRule="auto" w:after="120"/>
        <w:ind w:firstLine="420"/>
        <w:jc w:val="both"/>
      </w:pPr>
      <w:r>
        <w:rPr>
          <w:rFonts w:ascii="Times New Roman" w:hAnsi="Times New Roman" w:eastAsia="宋体"/>
          <w:b w:val="0"/>
          <w:color w:val="000000"/>
          <w:sz w:val="21"/>
        </w:rPr>
        <w:t>（1）权限分配接口：将学习组件的输出从6维推杆指令缩减为1维有界标量α，使安全审计和行为解释直接可行。这是接口层面的创新，使学习控制器的安全认证成为可能。</w:t>
      </w:r>
    </w:p>
    <w:p>
      <w:pPr>
        <w:spacing w:line="360" w:lineRule="auto" w:after="120"/>
        <w:ind w:firstLine="420"/>
        <w:jc w:val="both"/>
      </w:pPr>
      <w:r>
        <w:rPr>
          <w:rFonts w:ascii="Times New Roman" w:hAnsi="Times New Roman" w:eastAsia="宋体"/>
          <w:b w:val="0"/>
          <w:color w:val="000000"/>
          <w:sz w:val="21"/>
        </w:rPr>
        <w:t>（2）零初始化安全保证：残差头末层零初始化，部署起点与已验证基线逐位一致（全回合单元测试锁定），配合分层安全滤波栈，最坏情形退化为已验证的监督基线。这是安全层面的创新。</w:t>
      </w:r>
    </w:p>
    <w:p>
      <w:pPr>
        <w:spacing w:line="360" w:lineRule="auto" w:after="120"/>
        <w:ind w:firstLine="420"/>
        <w:jc w:val="both"/>
      </w:pPr>
      <w:r>
        <w:rPr>
          <w:rFonts w:ascii="Times New Roman" w:hAnsi="Times New Roman" w:eastAsia="宋体"/>
          <w:b w:val="0"/>
          <w:color w:val="000000"/>
          <w:sz w:val="21"/>
        </w:rPr>
        <w:t>（3）预注册配对评估协议：训练前冻结全部比较、种子和准则，120配对回合覆盖8个扰动族，8方法同场竞技。这是评估方法学的创新。</w:t>
      </w:r>
    </w:p>
    <w:p>
      <w:pPr>
        <w:spacing w:line="360" w:lineRule="auto" w:after="120"/>
        <w:ind w:firstLine="420"/>
        <w:jc w:val="both"/>
      </w:pPr>
      <w:r>
        <w:rPr>
          <w:rFonts w:ascii="Times New Roman" w:hAnsi="Times New Roman" w:eastAsia="宋体"/>
          <w:b w:val="0"/>
          <w:color w:val="000000"/>
          <w:sz w:val="21"/>
        </w:rPr>
        <w:t>（4）极轻量化：整个学习系统16,290参数（63.6 KB），为同类深度学习控制器的1/4至1/20，可在嵌入式平台100 Hz实时运行。这是部署层面的优势。</w:t>
      </w:r>
    </w:p>
    <w:p>
      <w:pPr>
        <w:keepNext/>
        <w:spacing w:before="200" w:after="100" w:line="360" w:lineRule="auto"/>
      </w:pPr>
      <w:r>
        <w:rPr>
          <w:rFonts w:ascii="Times New Roman" w:hAnsi="Times New Roman" w:eastAsia="黑体"/>
          <w:b/>
          <w:color w:val="000000"/>
          <w:sz w:val="24"/>
        </w:rPr>
        <w:t>5.2  预期研究成果</w:t>
      </w:r>
    </w:p>
    <w:p>
      <w:pPr>
        <w:spacing w:line="360" w:lineRule="auto" w:after="120"/>
        <w:ind w:firstLine="420"/>
        <w:jc w:val="both"/>
      </w:pPr>
      <w:r>
        <w:rPr>
          <w:rFonts w:ascii="Times New Roman" w:hAnsi="Times New Roman" w:eastAsia="宋体"/>
          <w:b w:val="0"/>
          <w:color w:val="000000"/>
          <w:sz w:val="21"/>
        </w:rPr>
        <w:t>（1）发表高水平SCI论文2篇（其中1篇已投/在投）。</w:t>
      </w:r>
    </w:p>
    <w:p>
      <w:pPr>
        <w:spacing w:line="360" w:lineRule="auto" w:after="120"/>
        <w:ind w:firstLine="420"/>
        <w:jc w:val="both"/>
      </w:pPr>
      <w:r>
        <w:rPr>
          <w:rFonts w:ascii="Times New Roman" w:hAnsi="Times New Roman" w:eastAsia="宋体"/>
          <w:b w:val="0"/>
          <w:color w:val="000000"/>
          <w:sz w:val="21"/>
        </w:rPr>
        <w:t>（2）申请发明专利2项。</w:t>
      </w:r>
    </w:p>
    <w:p>
      <w:pPr>
        <w:spacing w:line="360" w:lineRule="auto" w:after="120"/>
        <w:ind w:firstLine="420"/>
        <w:jc w:val="both"/>
      </w:pPr>
      <w:r>
        <w:rPr>
          <w:rFonts w:ascii="Times New Roman" w:hAnsi="Times New Roman" w:eastAsia="宋体"/>
          <w:b w:val="0"/>
          <w:color w:val="000000"/>
          <w:sz w:val="21"/>
        </w:rPr>
        <w:t>（3）完成水下机器人实验平台搭建及硬件在环验证。</w:t>
      </w:r>
    </w:p>
    <w:p>
      <w:pPr>
        <w:keepNext/>
        <w:spacing w:before="360" w:after="160" w:line="360" w:lineRule="auto"/>
      </w:pPr>
      <w:r>
        <w:rPr>
          <w:rFonts w:ascii="Times New Roman" w:hAnsi="Times New Roman" w:eastAsia="黑体"/>
          <w:b/>
          <w:color w:val="000000"/>
          <w:sz w:val="28"/>
        </w:rPr>
        <w:t>6  参考文献</w:t>
      </w:r>
    </w:p>
    <w:p>
      <w:pPr>
        <w:spacing w:line="312" w:lineRule="auto" w:after="60"/>
        <w:ind w:left="425" w:hanging="425"/>
      </w:pPr>
      <w:r>
        <w:rPr>
          <w:rFonts w:ascii="Times New Roman" w:hAnsi="Times New Roman" w:eastAsia="宋体"/>
          <w:b w:val="0"/>
          <w:color w:val="000000"/>
          <w:sz w:val="19"/>
        </w:rPr>
        <w:t>[1]  K. Alter, J. Jacquemont, J. Claudet, et al. Hidden impacts of ocean warming and acidification on biological responses of marine animals revealed through meta-analysis[J]. Nature Communications, 2024, 15: 2885.</w:t>
      </w:r>
    </w:p>
    <w:p>
      <w:pPr>
        <w:spacing w:line="312" w:lineRule="auto" w:after="60"/>
        <w:ind w:left="425" w:hanging="425"/>
      </w:pPr>
      <w:r>
        <w:rPr>
          <w:rFonts w:ascii="Times New Roman" w:hAnsi="Times New Roman" w:eastAsia="宋体"/>
          <w:b w:val="0"/>
          <w:color w:val="000000"/>
          <w:sz w:val="19"/>
        </w:rPr>
        <w:t>[2]  K. Skaugset, J. Borges de Sousa, and A. J. Sørensen. Autonomous robotic organizations for marine operations[J]. Science Robotics, 2025, 10(100): eadl2976.</w:t>
      </w:r>
    </w:p>
    <w:p>
      <w:pPr>
        <w:spacing w:line="312" w:lineRule="auto" w:after="60"/>
        <w:ind w:left="425" w:hanging="425"/>
      </w:pPr>
      <w:r>
        <w:rPr>
          <w:rFonts w:ascii="Times New Roman" w:hAnsi="Times New Roman" w:eastAsia="宋体"/>
          <w:b w:val="0"/>
          <w:color w:val="000000"/>
          <w:sz w:val="19"/>
        </w:rPr>
        <w:t>[3]  T. I. Fossen. Handbook of Marine Craft Hydrodynamics and Motion Control[M]. 2nd ed. Wiley, 2021.</w:t>
      </w:r>
    </w:p>
    <w:p>
      <w:pPr>
        <w:spacing w:line="312" w:lineRule="auto" w:after="60"/>
        <w:ind w:left="425" w:hanging="425"/>
      </w:pPr>
      <w:r>
        <w:rPr>
          <w:rFonts w:ascii="Times New Roman" w:hAnsi="Times New Roman" w:eastAsia="宋体"/>
          <w:b w:val="0"/>
          <w:color w:val="000000"/>
          <w:sz w:val="19"/>
        </w:rPr>
        <w:t>[4]  G. Antonelli. Underwater Robots: Motion and Force Control of Vehicle-Manipulator Systems[M]. 3rd ed. Springer, 2014.</w:t>
      </w:r>
    </w:p>
    <w:p>
      <w:pPr>
        <w:spacing w:line="312" w:lineRule="auto" w:after="60"/>
        <w:ind w:left="425" w:hanging="425"/>
      </w:pPr>
      <w:r>
        <w:rPr>
          <w:rFonts w:ascii="Times New Roman" w:hAnsi="Times New Roman" w:eastAsia="宋体"/>
          <w:b w:val="0"/>
          <w:color w:val="000000"/>
          <w:sz w:val="19"/>
        </w:rPr>
        <w:t>[5]  V. I. Utkin. Sliding Modes in Control and Optimization[M]. Springer, 1992.</w:t>
      </w:r>
    </w:p>
    <w:p>
      <w:pPr>
        <w:spacing w:line="312" w:lineRule="auto" w:after="60"/>
        <w:ind w:left="425" w:hanging="425"/>
      </w:pPr>
      <w:r>
        <w:rPr>
          <w:rFonts w:ascii="Times New Roman" w:hAnsi="Times New Roman" w:eastAsia="宋体"/>
          <w:b w:val="0"/>
          <w:color w:val="000000"/>
          <w:sz w:val="19"/>
        </w:rPr>
        <w:t>[6]  E. F. Camacho and C. Bordons Alba. Model Predictive Control[M]. 2nd ed. Springer, 2013.</w:t>
      </w:r>
    </w:p>
    <w:p>
      <w:pPr>
        <w:spacing w:line="312" w:lineRule="auto" w:after="60"/>
        <w:ind w:left="425" w:hanging="425"/>
      </w:pPr>
      <w:r>
        <w:rPr>
          <w:rFonts w:ascii="Times New Roman" w:hAnsi="Times New Roman" w:eastAsia="宋体"/>
          <w:b w:val="0"/>
          <w:color w:val="000000"/>
          <w:sz w:val="19"/>
        </w:rPr>
        <w:t>[7]  L. Hewing, K. P. Wabersich, M. Menner, and M. N. Zeilinger. Learning-based model predictive control: Toward safe learning in control[J]. Annual Review of Control, Robotics, and Autonomous Systems, 2020, 3: 269–296.</w:t>
      </w:r>
    </w:p>
    <w:p>
      <w:pPr>
        <w:spacing w:line="312" w:lineRule="auto" w:after="60"/>
        <w:ind w:left="425" w:hanging="425"/>
      </w:pPr>
      <w:r>
        <w:rPr>
          <w:rFonts w:ascii="Times New Roman" w:hAnsi="Times New Roman" w:eastAsia="宋体"/>
          <w:b w:val="0"/>
          <w:color w:val="000000"/>
          <w:sz w:val="19"/>
        </w:rPr>
        <w:t>[8]  Z. Zhao, X. Liu, T. Wang, Z. Zhou, and M. Zhang. Hybrid control scheme of nonlinear model prediction and adaptive terminal sliding mode for underwater vehicles based on threshold switching[J]. ISA Transactions, 2026, 176: 580–590.</w:t>
      </w:r>
    </w:p>
    <w:p>
      <w:pPr>
        <w:spacing w:line="312" w:lineRule="auto" w:after="60"/>
        <w:ind w:left="425" w:hanging="425"/>
      </w:pPr>
      <w:r>
        <w:rPr>
          <w:rFonts w:ascii="Times New Roman" w:hAnsi="Times New Roman" w:eastAsia="宋体"/>
          <w:b w:val="0"/>
          <w:color w:val="000000"/>
          <w:sz w:val="19"/>
        </w:rPr>
        <w:t>[9]  Y. Fan, H. Dong, X. Zhao, and P. Denissenko. Path-following control of unmanned underwater vehicle based on an improved TD3 deep reinforcement learning[J]. IEEE Transactions on Control Systems Technology, 2024, 32(5): 1904–1919.</w:t>
      </w:r>
    </w:p>
    <w:p>
      <w:pPr>
        <w:spacing w:line="312" w:lineRule="auto" w:after="60"/>
        <w:ind w:left="425" w:hanging="425"/>
      </w:pPr>
      <w:r>
        <w:rPr>
          <w:rFonts w:ascii="Times New Roman" w:hAnsi="Times New Roman" w:eastAsia="宋体"/>
          <w:b w:val="0"/>
          <w:color w:val="000000"/>
          <w:sz w:val="19"/>
        </w:rPr>
        <w:t>[10]  L. Cai, K. Chang, and Y. Girdhar. Learning to swim: Reinforcement learning for 6-DOF control of thruster-driven autonomous underwater vehicles[C]//Proc. IEEE ICRA, 2025: 11286–11293.</w:t>
      </w:r>
    </w:p>
    <w:p>
      <w:pPr>
        <w:spacing w:line="312" w:lineRule="auto" w:after="60"/>
        <w:ind w:left="425" w:hanging="425"/>
      </w:pPr>
      <w:r>
        <w:rPr>
          <w:rFonts w:ascii="Times New Roman" w:hAnsi="Times New Roman" w:eastAsia="宋体"/>
          <w:b w:val="0"/>
          <w:color w:val="000000"/>
          <w:sz w:val="19"/>
        </w:rPr>
        <w:t>[11]  T. Johannink, S. Bahl, A. Nair, et al. Residual reinforcement learning for robot control[C]//Proc. IEEE ICRA, 2019: 6023–6029.</w:t>
      </w:r>
    </w:p>
    <w:p>
      <w:pPr>
        <w:spacing w:line="312" w:lineRule="auto" w:after="60"/>
        <w:ind w:left="425" w:hanging="425"/>
      </w:pPr>
      <w:r>
        <w:rPr>
          <w:rFonts w:ascii="Times New Roman" w:hAnsi="Times New Roman" w:eastAsia="宋体"/>
          <w:b w:val="0"/>
          <w:color w:val="000000"/>
          <w:sz w:val="19"/>
        </w:rPr>
        <w:t>[12]  T. Silver, K. Allen, A. Tenenbaum, and J. Koltun. Residual policy learning[J]. arXiv preprint arXiv:1812.06298, 2018.</w:t>
      </w:r>
    </w:p>
    <w:p>
      <w:pPr>
        <w:spacing w:line="312" w:lineRule="auto" w:after="60"/>
        <w:ind w:left="425" w:hanging="425"/>
      </w:pPr>
      <w:r>
        <w:rPr>
          <w:rFonts w:ascii="Times New Roman" w:hAnsi="Times New Roman" w:eastAsia="宋体"/>
          <w:b w:val="0"/>
          <w:color w:val="000000"/>
          <w:sz w:val="19"/>
        </w:rPr>
        <w:t>[13]  S. Fujimoto, H. van Hoof, and D. Meger. Addressing function approximation error in actor-critic methods[C]//Proc. ICML, 2018: 1587–1596.</w:t>
      </w:r>
    </w:p>
    <w:p>
      <w:pPr>
        <w:spacing w:line="312" w:lineRule="auto" w:after="60"/>
        <w:ind w:left="425" w:hanging="425"/>
      </w:pPr>
      <w:r>
        <w:rPr>
          <w:rFonts w:ascii="Times New Roman" w:hAnsi="Times New Roman" w:eastAsia="宋体"/>
          <w:b w:val="0"/>
          <w:color w:val="000000"/>
          <w:sz w:val="19"/>
        </w:rPr>
        <w:t>[14]  A. Romero, Y. Song, and D. Scaramuzza. Actor-critic model predictive control[C]//Proc. IEEE ICRA, 2024: 14777–14784.</w:t>
      </w:r>
    </w:p>
    <w:p>
      <w:pPr>
        <w:spacing w:line="312" w:lineRule="auto" w:after="60"/>
        <w:ind w:left="425" w:hanging="425"/>
      </w:pPr>
      <w:r>
        <w:rPr>
          <w:rFonts w:ascii="Times New Roman" w:hAnsi="Times New Roman" w:eastAsia="宋体"/>
          <w:b w:val="0"/>
          <w:color w:val="000000"/>
          <w:sz w:val="19"/>
        </w:rPr>
        <w:t>[15]  K. Nguyen, S. Schoedel, A. Alavilli, B. Plancher, and Z. Manchester. TinyMPC: Model-predictive control on resource-constrained microcontrollers[C]//Proc. IEEE ICRA, 2024.</w:t>
      </w:r>
    </w:p>
    <w:p>
      <w:pPr>
        <w:spacing w:line="312" w:lineRule="auto" w:after="60"/>
        <w:ind w:left="425" w:hanging="425"/>
      </w:pPr>
      <w:r>
        <w:rPr>
          <w:rFonts w:ascii="Times New Roman" w:hAnsi="Times New Roman" w:eastAsia="宋体"/>
          <w:b w:val="0"/>
          <w:color w:val="000000"/>
          <w:sz w:val="19"/>
        </w:rPr>
        <w:t>[16]  O. So, Z. Serlin, M. Mann, et al. How to train your neural control barrier function: Learning safety filters for complex input-constrained systems[C]//Proc. IEEE ICRA, 2024: 11532–11539.</w:t>
      </w:r>
    </w:p>
    <w:p>
      <w:pPr>
        <w:spacing w:line="312" w:lineRule="auto" w:after="60"/>
        <w:ind w:left="425" w:hanging="425"/>
      </w:pPr>
      <w:r>
        <w:rPr>
          <w:rFonts w:ascii="Times New Roman" w:hAnsi="Times New Roman" w:eastAsia="宋体"/>
          <w:b w:val="0"/>
          <w:color w:val="000000"/>
          <w:sz w:val="19"/>
        </w:rPr>
        <w:t>[17]  A. Vaswani, N. Shazeer, N. Parmar, et al. Attention is all you need[C]//Advances in Neural Information Processing Systems, 2017, 30: 5998–6008.</w:t>
      </w:r>
    </w:p>
    <w:p>
      <w:pPr>
        <w:spacing w:line="312" w:lineRule="auto" w:after="60"/>
        <w:ind w:left="425" w:hanging="425"/>
      </w:pPr>
      <w:r>
        <w:rPr>
          <w:rFonts w:ascii="Times New Roman" w:hAnsi="Times New Roman" w:eastAsia="宋体"/>
          <w:b w:val="0"/>
          <w:color w:val="000000"/>
          <w:sz w:val="19"/>
        </w:rPr>
        <w:t>[18]  L. Chen, K. Lu, A. Rajeswaran, et al. Decision Transformer: Reinforcement learning via sequence modeling[C]//Advances in Neural Information Processing Systems, 2021, 34: 15084–15097.</w:t>
      </w:r>
    </w:p>
    <w:p>
      <w:pPr>
        <w:spacing w:line="312" w:lineRule="auto" w:after="60"/>
        <w:ind w:left="425" w:hanging="425"/>
      </w:pPr>
      <w:r>
        <w:rPr>
          <w:rFonts w:ascii="Times New Roman" w:hAnsi="Times New Roman" w:eastAsia="宋体"/>
          <w:b w:val="0"/>
          <w:color w:val="000000"/>
          <w:sz w:val="19"/>
        </w:rPr>
        <w:t>[19]  M. Janner, Q. Li, and S. Levine. Offline reinforcement learning as one big sequence modeling problem[C]//Advances in Neural Information Processing Systems, 2021, 34: 1273–1286.</w:t>
      </w:r>
    </w:p>
    <w:p>
      <w:pPr>
        <w:spacing w:line="312" w:lineRule="auto" w:after="60"/>
        <w:ind w:left="425" w:hanging="425"/>
      </w:pPr>
      <w:r>
        <w:rPr>
          <w:rFonts w:ascii="Times New Roman" w:hAnsi="Times New Roman" w:eastAsia="宋体"/>
          <w:b w:val="0"/>
          <w:color w:val="000000"/>
          <w:sz w:val="19"/>
        </w:rPr>
        <w:t>[20]  C. Chi, S. Feng, Y. Du, et al. Diffusion policy: Visuomotor policy learning via action diffusion[C]//Robotics: Science and Systems, 2023.</w:t>
      </w:r>
    </w:p>
    <w:p>
      <w:pPr>
        <w:spacing w:line="312" w:lineRule="auto" w:after="60"/>
        <w:ind w:left="425" w:hanging="425"/>
      </w:pPr>
      <w:r>
        <w:rPr>
          <w:rFonts w:ascii="Times New Roman" w:hAnsi="Times New Roman" w:eastAsia="宋体"/>
          <w:b w:val="0"/>
          <w:color w:val="000000"/>
          <w:sz w:val="19"/>
        </w:rPr>
        <w:t>[21]  D. Liberzon. Switching in Systems and Control[M]. Birkhäuser, 2003.</w:t>
      </w:r>
    </w:p>
    <w:p>
      <w:r>
        <w:br w:type="page"/>
      </w:r>
    </w:p>
    <w:p>
      <w:pPr>
        <w:keepNext/>
        <w:spacing w:before="360" w:after="160" w:line="360" w:lineRule="auto"/>
      </w:pPr>
      <w:r>
        <w:rPr>
          <w:rFonts w:ascii="Times New Roman" w:hAnsi="Times New Roman" w:eastAsia="黑体"/>
          <w:b/>
          <w:color w:val="000000"/>
          <w:sz w:val="28"/>
        </w:rPr>
        <w:t>二、导师评语及意见</w:t>
      </w:r>
    </w:p>
    <w:p>
      <w:pPr>
        <w:spacing w:line="360" w:lineRule="auto" w:after="800"/>
        <w:ind w:firstLine="420"/>
        <w:jc w:val="both"/>
      </w:pPr>
    </w:p>
    <w:p>
      <w:pPr>
        <w:spacing w:line="360" w:lineRule="auto" w:after="120"/>
        <w:jc w:val="both"/>
      </w:pPr>
      <w:r>
        <w:rPr>
          <w:rFonts w:ascii="Times New Roman" w:hAnsi="Times New Roman" w:eastAsia="宋体"/>
          <w:b w:val="0"/>
          <w:color w:val="000000"/>
          <w:sz w:val="21"/>
        </w:rPr>
        <w:t>同意开题。</w:t>
      </w:r>
    </w:p>
    <w:p>
      <w:pPr>
        <w:spacing w:line="360" w:lineRule="auto" w:after="600"/>
        <w:ind w:firstLine="420"/>
        <w:jc w:val="both"/>
      </w:pPr>
    </w:p>
    <w:p>
      <w:pPr>
        <w:spacing w:line="360" w:lineRule="auto" w:after="120"/>
        <w:jc w:val="right"/>
      </w:pPr>
      <w:r>
        <w:rPr>
          <w:rFonts w:ascii="Times New Roman" w:hAnsi="Times New Roman" w:eastAsia="宋体"/>
          <w:b w:val="0"/>
          <w:color w:val="000000"/>
          <w:sz w:val="21"/>
        </w:rPr>
        <w:t>导师签名：                    年    月    日</w:t>
      </w:r>
    </w:p>
    <w:p>
      <w:pPr>
        <w:keepNext/>
        <w:spacing w:before="360" w:after="160" w:line="360" w:lineRule="auto"/>
      </w:pPr>
      <w:r>
        <w:rPr>
          <w:rFonts w:ascii="Times New Roman" w:hAnsi="Times New Roman" w:eastAsia="黑体"/>
          <w:b/>
          <w:color w:val="000000"/>
          <w:sz w:val="28"/>
        </w:rPr>
        <w:t>三、讨论意见</w:t>
      </w:r>
    </w:p>
    <w:p>
      <w:pPr>
        <w:spacing w:line="360" w:lineRule="auto" w:after="600"/>
        <w:ind w:firstLine="420"/>
        <w:jc w:val="both"/>
      </w:pPr>
    </w:p>
    <w:p>
      <w:pPr>
        <w:spacing w:line="360" w:lineRule="auto" w:after="120"/>
        <w:jc w:val="both"/>
      </w:pPr>
      <w:r>
        <w:rPr>
          <w:rFonts w:ascii="Times New Roman" w:hAnsi="Times New Roman" w:eastAsia="宋体"/>
          <w:b w:val="0"/>
          <w:color w:val="000000"/>
          <w:sz w:val="21"/>
        </w:rPr>
        <w:t>同意通过开题报告。</w:t>
      </w:r>
    </w:p>
    <w:p>
      <w:pPr>
        <w:spacing w:line="360" w:lineRule="auto" w:after="400"/>
        <w:ind w:firstLine="420"/>
        <w:jc w:val="both"/>
      </w:pPr>
    </w:p>
    <w:p>
      <w:pPr>
        <w:spacing w:line="360" w:lineRule="auto" w:after="120"/>
        <w:jc w:val="both"/>
      </w:pPr>
      <w:r>
        <w:rPr>
          <w:rFonts w:ascii="Times New Roman" w:hAnsi="Times New Roman" w:eastAsia="宋体"/>
          <w:b w:val="0"/>
          <w:color w:val="000000"/>
          <w:sz w:val="21"/>
        </w:rPr>
        <w:t>时间：    年  月  日    地点：</w:t>
      </w:r>
    </w:p>
    <w:p>
      <w:pPr>
        <w:spacing w:line="360" w:lineRule="auto" w:after="400"/>
        <w:ind w:firstLine="420"/>
        <w:jc w:val="both"/>
      </w:pPr>
    </w:p>
    <w:p>
      <w:pPr>
        <w:spacing w:line="360" w:lineRule="auto" w:after="120"/>
        <w:jc w:val="right"/>
      </w:pPr>
      <w:r>
        <w:rPr>
          <w:rFonts w:ascii="Times New Roman" w:hAnsi="Times New Roman" w:eastAsia="宋体"/>
          <w:b w:val="0"/>
          <w:color w:val="000000"/>
          <w:sz w:val="21"/>
        </w:rPr>
        <w:t>答辩小组负责人签名：                    年    月    日</w:t>
      </w:r>
    </w:p>
    <w:p>
      <w:pPr>
        <w:keepNext/>
        <w:spacing w:before="360" w:after="160" w:line="360" w:lineRule="auto"/>
      </w:pPr>
      <w:r>
        <w:rPr>
          <w:rFonts w:ascii="Times New Roman" w:hAnsi="Times New Roman" w:eastAsia="黑体"/>
          <w:b/>
          <w:color w:val="000000"/>
          <w:sz w:val="28"/>
        </w:rPr>
        <w:t>四、研究所意见</w:t>
      </w:r>
    </w:p>
    <w:p>
      <w:pPr>
        <w:spacing w:line="360" w:lineRule="auto" w:after="600"/>
        <w:ind w:firstLine="420"/>
        <w:jc w:val="both"/>
      </w:pPr>
    </w:p>
    <w:p>
      <w:pPr>
        <w:spacing w:line="360" w:lineRule="auto" w:after="120"/>
        <w:jc w:val="right"/>
      </w:pPr>
      <w:r>
        <w:rPr>
          <w:rFonts w:ascii="Times New Roman" w:hAnsi="Times New Roman" w:eastAsia="宋体"/>
          <w:b w:val="0"/>
          <w:color w:val="000000"/>
          <w:sz w:val="21"/>
        </w:rPr>
        <w:t>所长签名：                    年    月    日</w:t>
      </w:r>
    </w:p>
    <w:p>
      <w:pPr>
        <w:keepNext/>
        <w:spacing w:before="360" w:after="160" w:line="360" w:lineRule="auto"/>
      </w:pPr>
      <w:r>
        <w:rPr>
          <w:rFonts w:ascii="Times New Roman" w:hAnsi="Times New Roman" w:eastAsia="黑体"/>
          <w:b/>
          <w:color w:val="000000"/>
          <w:sz w:val="28"/>
        </w:rPr>
        <w:t>五、学科意见</w:t>
      </w:r>
    </w:p>
    <w:p>
      <w:pPr>
        <w:spacing w:line="360" w:lineRule="auto" w:after="600"/>
        <w:ind w:firstLine="420"/>
        <w:jc w:val="both"/>
      </w:pPr>
    </w:p>
    <w:p>
      <w:pPr>
        <w:spacing w:line="360" w:lineRule="auto" w:after="120"/>
        <w:jc w:val="right"/>
      </w:pPr>
      <w:r>
        <w:rPr>
          <w:rFonts w:ascii="Times New Roman" w:hAnsi="Times New Roman" w:eastAsia="宋体"/>
          <w:b w:val="0"/>
          <w:color w:val="000000"/>
          <w:sz w:val="21"/>
        </w:rPr>
        <w:t>学科负责人签名：                    年    月    日</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arabic \* MERGEFORMAT">
      <w:r>
        <w:rPr>
          <w:sz w:val="18"/>
          <w:color w:val="80808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8"/>
      </w:rPr>
      <w:t>浙江大学硕士学位论文开题报告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