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7 / 14 天比 7 / 14 天前那份的日均高 1.3 倍以上，满足一个就拉日数据按规则判，新进名单的都拉；快照和基准按父体对（名单每次给出的“代表子体”常常不一样：相邻两个月的头部名单里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次，按本月剩下几期平均分（每期预算 = 本月剩下的额度 ÷ 本月还剩几期，2026-10-27 起；以前每期固定 1,300 / 1,500 次，11 月最后一期只剩约 1,200 次）：11 月 5 期每期约 1,400 次（初筛出来的够拉全市场的 22%~27%，召回约 85%~93%），12 月 4 期每期约 1,750 次（约 99%）。初筛用约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>留评率和两种评论/销量比都先除以变体数再判</w:t>
      </w:r>
      <w:r>
        <w:rPr>
          <w:rFonts w:ascii="Microsoft YaHei" w:cs="Microsoft YaHei" w:eastAsia="Microsoft YaHei" w:hAnsi="Microsoft YaHei"/>
        </w:rPr>
        <w:t>（相当于假设每个变体都卖得和它一样多；名单里的多是父体里卖得最多的子体，销量本来就是父体的时只会少算）。以前整项不算：10-23 那期 4 个变体、名单留评率 89%（÷4 后 21%）的商品 0 分；按 ÷变体数，那期 5 个商品 +2 分。这个子体几乎没卖、评论却在涨的，变体多的不计（评论可能是别的变体带来的）。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条（子类目中位数也只用变体不超过 3 个的商品算）；当月新增评论比商品总评论还多的是父体的数据，不计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倍），或几乎没有销量却在涨评论（变体超过 3 个的不算这一项）；新增评论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报告里的突然爆火、潜力（以前只查可疑的，10-23 那期 31 个爆火 / 潜力一个都没查过评论）；③ 不在榜单上、异常分 ≥2 的（只有一条信号的，查了才可能有第二条；以前不查，永远到不了 3 分；10-23 那期 7 个，多查 6 个，一共 39 个）；④ 按“可能是 Vine”扣过才不够评论信号的新品（见下表最后一行）。14 天内查过的不重查。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