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部分）里，可以调整。整理日期：2026-10-21。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三种都不是的标“上涨形态不稳定”，不算爆火。另外要求没有回落（见第七节）、异常分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 xml:space="preserve">（不影响上榜）：这个商品自己去年同期也涨了 1.5 倍以上的标“季节性”（上架满一年才看得到）；价格中位数降了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个月月均销量（实际销量，不调整）。注意：持续热销不检查“回落”和“数据陈旧”，只看月度稳定性和近 28 天有没有掉下来。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（报告顶部第 5 个数字，不是板块，不影响上榜）：商品不从原板块移走，满足任一的在“季节性商品”小窗里再列一遍：① 突然爆火，且这个商品自己去年同期同样的窗口也涨了 ≥1.5 倍（标签“季节性”，要上架满一年才看得到）；② 突然爆火、潜力、上升中里带“品类季节性”标签的；③ 持续热销里原始销量不达标、按品类季节调整后才达标的（卡片注明“已按品类季节调整”）。异常信号、评分不达标的不列。按 突然爆火 → 潜力 → 上升中 → 持续热销 排，每张卡片写出为什么列在这里、所在子类目的季节结论；钉钉消息里也单列前 3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