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4FC" w:rsidRDefault="009434FC"/>
    <w:p w:rsidR="00F34EEA" w:rsidRDefault="00F34EEA" w:rsidP="00A775C4">
      <w:pPr>
        <w:pStyle w:val="ListParagraph"/>
        <w:ind w:firstLine="602"/>
        <w:rPr>
          <w:rFonts w:ascii="仿宋" w:eastAsia="仿宋" w:hAnsi="仿宋"/>
          <w:b/>
          <w:bCs/>
          <w:color w:val="EE0000"/>
          <w:sz w:val="30"/>
          <w:szCs w:val="30"/>
        </w:rPr>
      </w:pPr>
      <w:r>
        <w:rPr>
          <w:rFonts w:ascii="仿宋" w:eastAsia="仿宋" w:hAnsi="仿宋" w:hint="eastAsia"/>
          <w:b/>
          <w:bCs/>
          <w:color w:val="EE0000"/>
          <w:sz w:val="30"/>
          <w:szCs w:val="30"/>
        </w:rPr>
        <w:t>1.</w:t>
      </w:r>
      <w:r>
        <w:rPr>
          <w:rFonts w:hint="eastAsia"/>
          <w:b/>
          <w:bCs/>
          <w:color w:val="EE0000"/>
        </w:rPr>
        <w:t xml:space="preserve"> </w:t>
      </w:r>
      <w:r w:rsidRPr="00F34EEA">
        <w:rPr>
          <w:rFonts w:ascii="仿宋" w:eastAsia="仿宋" w:hAnsi="仿宋"/>
          <w:b/>
          <w:bCs/>
          <w:color w:val="EE0000"/>
          <w:sz w:val="30"/>
          <w:szCs w:val="30"/>
        </w:rPr>
        <w:t>政治举措及地缘环境</w:t>
      </w:r>
    </w:p>
    <w:p w:rsidR="00F34EEA" w:rsidRDefault="00F34EEA" w:rsidP="00F34EEA">
      <w:pPr>
        <w:pStyle w:val="ListParagraph"/>
        <w:ind w:firstLine="602"/>
        <w:rPr>
          <w:rFonts w:ascii="仿宋" w:eastAsia="仿宋" w:hAnsi="仿宋" w:hint="eastAsia"/>
          <w:b/>
          <w:bCs/>
          <w:color w:val="EE0000"/>
          <w:sz w:val="30"/>
          <w:szCs w:val="30"/>
        </w:rPr>
      </w:pPr>
      <w:r>
        <w:rPr>
          <w:rFonts w:ascii="仿宋" w:eastAsia="仿宋" w:hAnsi="仿宋" w:hint="eastAsia"/>
          <w:b/>
          <w:bCs/>
          <w:color w:val="EE0000"/>
          <w:sz w:val="30"/>
          <w:szCs w:val="30"/>
        </w:rPr>
        <w:t>主要包括政府治理能力与公共服务水平，如行政效率、政策透明度、政府机构调整、重要政策出台、营商环境改革举措、数字政府建设等，重点反映政府在优化治国理政和改善营商环境方面的制度供给与执行情况。</w:t>
      </w:r>
    </w:p>
    <w:p w:rsidR="00A775C4" w:rsidRDefault="00F34EEA" w:rsidP="00A775C4">
      <w:pPr>
        <w:pStyle w:val="ListParagraph"/>
        <w:ind w:firstLine="602"/>
        <w:rPr>
          <w:rFonts w:ascii="仿宋" w:eastAsia="仿宋" w:hAnsi="仿宋"/>
          <w:b/>
          <w:bCs/>
          <w:color w:val="EE0000"/>
          <w:sz w:val="30"/>
          <w:szCs w:val="30"/>
        </w:rPr>
      </w:pPr>
      <w:r>
        <w:rPr>
          <w:rFonts w:ascii="仿宋" w:eastAsia="仿宋" w:hAnsi="仿宋" w:hint="eastAsia"/>
          <w:b/>
          <w:bCs/>
          <w:color w:val="EE0000"/>
          <w:sz w:val="30"/>
          <w:szCs w:val="30"/>
        </w:rPr>
        <w:t>2.</w:t>
      </w:r>
      <w:r w:rsidRPr="00A775C4">
        <w:rPr>
          <w:rFonts w:ascii="仿宋" w:eastAsia="仿宋" w:hAnsi="仿宋" w:hint="eastAsia"/>
          <w:b/>
          <w:bCs/>
          <w:color w:val="EE0000"/>
          <w:sz w:val="30"/>
          <w:szCs w:val="30"/>
        </w:rPr>
        <w:t xml:space="preserve"> </w:t>
      </w:r>
      <w:r w:rsidR="00A775C4" w:rsidRPr="00A775C4">
        <w:rPr>
          <w:rFonts w:ascii="仿宋" w:eastAsia="仿宋" w:hAnsi="仿宋" w:hint="eastAsia"/>
          <w:b/>
          <w:bCs/>
          <w:color w:val="EE0000"/>
          <w:sz w:val="30"/>
          <w:szCs w:val="30"/>
        </w:rPr>
        <w:t>金融投资环境</w:t>
      </w:r>
    </w:p>
    <w:p w:rsidR="00A775C4" w:rsidRDefault="00A775C4" w:rsidP="00A775C4">
      <w:pPr>
        <w:pStyle w:val="ListParagraph"/>
        <w:ind w:firstLine="602"/>
        <w:rPr>
          <w:rFonts w:ascii="仿宋" w:eastAsia="仿宋" w:hAnsi="仿宋" w:hint="eastAsia"/>
          <w:b/>
          <w:bCs/>
          <w:color w:val="EE0000"/>
          <w:sz w:val="30"/>
          <w:szCs w:val="30"/>
        </w:rPr>
      </w:pPr>
      <w:r>
        <w:rPr>
          <w:rFonts w:ascii="仿宋" w:eastAsia="仿宋" w:hAnsi="仿宋" w:hint="eastAsia"/>
          <w:b/>
          <w:bCs/>
          <w:color w:val="EE0000"/>
          <w:sz w:val="30"/>
          <w:szCs w:val="30"/>
        </w:rPr>
        <w:t>主要包括投资环境、金融体系、融资渠道、要素流动（资金、土地、劳动力等）</w:t>
      </w:r>
      <w:r>
        <w:rPr>
          <w:rFonts w:ascii="仿宋" w:eastAsia="仿宋" w:hAnsi="仿宋" w:hint="eastAsia"/>
          <w:b/>
          <w:bCs/>
          <w:color w:val="EE0000"/>
          <w:sz w:val="30"/>
          <w:szCs w:val="30"/>
        </w:rPr>
        <w:t>等</w:t>
      </w:r>
      <w:r>
        <w:rPr>
          <w:rFonts w:ascii="仿宋" w:eastAsia="仿宋" w:hAnsi="仿宋" w:hint="eastAsia"/>
          <w:b/>
          <w:bCs/>
          <w:color w:val="EE0000"/>
          <w:sz w:val="30"/>
          <w:szCs w:val="30"/>
        </w:rPr>
        <w:t>。</w:t>
      </w:r>
    </w:p>
    <w:p w:rsidR="00F34EEA" w:rsidRDefault="00A775C4" w:rsidP="00A775C4">
      <w:pPr>
        <w:pStyle w:val="ListParagraph"/>
        <w:ind w:firstLine="602"/>
        <w:rPr>
          <w:rFonts w:ascii="仿宋" w:eastAsia="仿宋" w:hAnsi="仿宋" w:hint="eastAsia"/>
          <w:b/>
          <w:bCs/>
          <w:color w:val="EE0000"/>
          <w:sz w:val="30"/>
          <w:szCs w:val="30"/>
        </w:rPr>
      </w:pPr>
      <w:r>
        <w:rPr>
          <w:rFonts w:ascii="仿宋" w:eastAsia="仿宋" w:hAnsi="仿宋" w:hint="eastAsia"/>
          <w:b/>
          <w:bCs/>
          <w:color w:val="EE0000"/>
          <w:sz w:val="30"/>
          <w:szCs w:val="30"/>
        </w:rPr>
        <w:t>3.</w:t>
      </w:r>
      <w:r w:rsidRPr="00A775C4">
        <w:rPr>
          <w:rFonts w:hint="eastAsia"/>
        </w:rPr>
        <w:t xml:space="preserve"> </w:t>
      </w:r>
      <w:r>
        <w:rPr>
          <w:rFonts w:ascii="仿宋" w:eastAsia="仿宋" w:hAnsi="仿宋" w:hint="eastAsia"/>
          <w:b/>
          <w:bCs/>
          <w:color w:val="EE0000"/>
          <w:sz w:val="30"/>
          <w:szCs w:val="30"/>
        </w:rPr>
        <w:t>产业政策及</w:t>
      </w:r>
      <w:r>
        <w:rPr>
          <w:rFonts w:ascii="仿宋" w:eastAsia="仿宋" w:hAnsi="仿宋" w:hint="eastAsia"/>
          <w:b/>
          <w:bCs/>
          <w:color w:val="EE0000"/>
          <w:sz w:val="30"/>
          <w:szCs w:val="30"/>
        </w:rPr>
        <w:t>市场环境</w:t>
      </w:r>
      <w:bookmarkStart w:id="0" w:name="_GoBack"/>
      <w:bookmarkEnd w:id="0"/>
    </w:p>
    <w:p w:rsidR="00F34EEA" w:rsidRDefault="00F34EEA" w:rsidP="00A775C4">
      <w:pPr>
        <w:pStyle w:val="ListParagraph"/>
        <w:ind w:firstLine="602"/>
        <w:rPr>
          <w:rFonts w:ascii="仿宋" w:eastAsia="仿宋" w:hAnsi="仿宋" w:hint="eastAsia"/>
          <w:b/>
          <w:bCs/>
          <w:color w:val="EE0000"/>
          <w:sz w:val="30"/>
          <w:szCs w:val="30"/>
        </w:rPr>
      </w:pPr>
      <w:bookmarkStart w:id="1" w:name="OLE_LINK4"/>
      <w:r>
        <w:rPr>
          <w:rFonts w:ascii="仿宋" w:eastAsia="仿宋" w:hAnsi="仿宋" w:hint="eastAsia"/>
          <w:b/>
          <w:bCs/>
          <w:color w:val="EE0000"/>
          <w:sz w:val="30"/>
          <w:szCs w:val="30"/>
        </w:rPr>
        <w:t>主要包括市场准入政策、产业发展、要素流动（资金、土地、劳动力等）以及重大经贸合作项目等，重点呈现资源配置效率与市场开放程度。</w:t>
      </w:r>
    </w:p>
    <w:p w:rsidR="00F34EEA" w:rsidRDefault="00A775C4" w:rsidP="00F34EEA">
      <w:pPr>
        <w:pStyle w:val="ListParagraph"/>
        <w:ind w:firstLine="602"/>
        <w:rPr>
          <w:rFonts w:ascii="仿宋" w:eastAsia="仿宋" w:hAnsi="仿宋" w:hint="eastAsia"/>
          <w:b/>
          <w:bCs/>
          <w:color w:val="EE0000"/>
          <w:sz w:val="30"/>
          <w:szCs w:val="30"/>
        </w:rPr>
      </w:pPr>
      <w:bookmarkStart w:id="2" w:name="OLE_LINK2"/>
      <w:bookmarkStart w:id="3" w:name="OLE_LINK3"/>
      <w:bookmarkEnd w:id="1"/>
      <w:r>
        <w:rPr>
          <w:rFonts w:ascii="仿宋" w:eastAsia="仿宋" w:hAnsi="仿宋"/>
          <w:b/>
          <w:bCs/>
          <w:color w:val="EE0000"/>
          <w:sz w:val="30"/>
          <w:szCs w:val="30"/>
        </w:rPr>
        <w:t>4</w:t>
      </w:r>
      <w:r w:rsidR="00F34EEA">
        <w:rPr>
          <w:rFonts w:ascii="仿宋" w:eastAsia="仿宋" w:hAnsi="仿宋" w:hint="eastAsia"/>
          <w:b/>
          <w:bCs/>
          <w:color w:val="EE0000"/>
          <w:sz w:val="30"/>
          <w:szCs w:val="30"/>
        </w:rPr>
        <w:t>.</w:t>
      </w:r>
      <w:r w:rsidR="00F34EEA">
        <w:rPr>
          <w:rFonts w:hint="eastAsia"/>
          <w:b/>
          <w:bCs/>
          <w:color w:val="EE0000"/>
        </w:rPr>
        <w:t xml:space="preserve"> </w:t>
      </w:r>
      <w:bookmarkStart w:id="4" w:name="OLE_LINK5"/>
      <w:bookmarkEnd w:id="2"/>
      <w:bookmarkEnd w:id="3"/>
      <w:r w:rsidRPr="00A775C4">
        <w:rPr>
          <w:rFonts w:ascii="仿宋" w:eastAsia="仿宋" w:hAnsi="仿宋" w:hint="eastAsia"/>
          <w:b/>
          <w:bCs/>
          <w:color w:val="EE0000"/>
          <w:sz w:val="30"/>
          <w:szCs w:val="30"/>
        </w:rPr>
        <w:t>合</w:t>
      </w:r>
      <w:proofErr w:type="gramStart"/>
      <w:r w:rsidRPr="00A775C4">
        <w:rPr>
          <w:rFonts w:ascii="仿宋" w:eastAsia="仿宋" w:hAnsi="仿宋" w:hint="eastAsia"/>
          <w:b/>
          <w:bCs/>
          <w:color w:val="EE0000"/>
          <w:sz w:val="30"/>
          <w:szCs w:val="30"/>
        </w:rPr>
        <w:t>规</w:t>
      </w:r>
      <w:proofErr w:type="gramEnd"/>
      <w:r w:rsidRPr="00A775C4">
        <w:rPr>
          <w:rFonts w:ascii="仿宋" w:eastAsia="仿宋" w:hAnsi="仿宋" w:hint="eastAsia"/>
          <w:b/>
          <w:bCs/>
          <w:color w:val="EE0000"/>
          <w:sz w:val="30"/>
          <w:szCs w:val="30"/>
        </w:rPr>
        <w:t>与</w:t>
      </w:r>
      <w:r w:rsidR="00F34EEA">
        <w:rPr>
          <w:rFonts w:ascii="仿宋" w:eastAsia="仿宋" w:hAnsi="仿宋" w:hint="eastAsia"/>
          <w:b/>
          <w:bCs/>
          <w:color w:val="EE0000"/>
          <w:sz w:val="30"/>
          <w:szCs w:val="30"/>
        </w:rPr>
        <w:t>法治环境</w:t>
      </w:r>
      <w:bookmarkEnd w:id="4"/>
    </w:p>
    <w:p w:rsidR="00F34EEA" w:rsidRDefault="00F34EEA" w:rsidP="00F34EEA">
      <w:pPr>
        <w:pStyle w:val="ListParagraph"/>
        <w:ind w:firstLine="602"/>
        <w:rPr>
          <w:rFonts w:ascii="仿宋" w:eastAsia="仿宋" w:hAnsi="仿宋" w:hint="eastAsia"/>
          <w:color w:val="EE0000"/>
          <w:sz w:val="30"/>
          <w:szCs w:val="30"/>
        </w:rPr>
      </w:pPr>
      <w:r>
        <w:rPr>
          <w:rFonts w:ascii="仿宋" w:eastAsia="仿宋" w:hAnsi="仿宋" w:hint="eastAsia"/>
          <w:b/>
          <w:bCs/>
          <w:color w:val="EE0000"/>
          <w:sz w:val="30"/>
          <w:szCs w:val="30"/>
        </w:rPr>
        <w:t>主要包括法律制度建设、商业法律体系、合同执行、知识产权保护、监管政策调整、争端解决机制等</w:t>
      </w:r>
      <w:r w:rsidR="00A775C4">
        <w:rPr>
          <w:rFonts w:ascii="仿宋" w:eastAsia="仿宋" w:hAnsi="仿宋" w:hint="eastAsia"/>
          <w:b/>
          <w:bCs/>
          <w:color w:val="EE0000"/>
          <w:sz w:val="30"/>
          <w:szCs w:val="30"/>
        </w:rPr>
        <w:t>合</w:t>
      </w:r>
      <w:proofErr w:type="gramStart"/>
      <w:r w:rsidR="00A775C4">
        <w:rPr>
          <w:rFonts w:ascii="仿宋" w:eastAsia="仿宋" w:hAnsi="仿宋" w:hint="eastAsia"/>
          <w:b/>
          <w:bCs/>
          <w:color w:val="EE0000"/>
          <w:sz w:val="30"/>
          <w:szCs w:val="30"/>
        </w:rPr>
        <w:t>规</w:t>
      </w:r>
      <w:proofErr w:type="gramEnd"/>
      <w:r w:rsidR="00A775C4">
        <w:rPr>
          <w:rFonts w:ascii="仿宋" w:eastAsia="仿宋" w:hAnsi="仿宋" w:hint="eastAsia"/>
          <w:b/>
          <w:bCs/>
          <w:color w:val="EE0000"/>
          <w:sz w:val="30"/>
          <w:szCs w:val="30"/>
        </w:rPr>
        <w:t>经营问题</w:t>
      </w:r>
      <w:r>
        <w:rPr>
          <w:rFonts w:ascii="仿宋" w:eastAsia="仿宋" w:hAnsi="仿宋" w:hint="eastAsia"/>
          <w:b/>
          <w:bCs/>
          <w:color w:val="EE0000"/>
          <w:sz w:val="30"/>
          <w:szCs w:val="30"/>
        </w:rPr>
        <w:t>，重点关注法治稳定性与可预期性对地区企业经营和中</w:t>
      </w:r>
      <w:proofErr w:type="gramStart"/>
      <w:r>
        <w:rPr>
          <w:rFonts w:ascii="仿宋" w:eastAsia="仿宋" w:hAnsi="仿宋" w:hint="eastAsia"/>
          <w:b/>
          <w:bCs/>
          <w:color w:val="EE0000"/>
          <w:sz w:val="30"/>
          <w:szCs w:val="30"/>
        </w:rPr>
        <w:t>阿经贸</w:t>
      </w:r>
      <w:proofErr w:type="gramEnd"/>
      <w:r>
        <w:rPr>
          <w:rFonts w:ascii="仿宋" w:eastAsia="仿宋" w:hAnsi="仿宋" w:hint="eastAsia"/>
          <w:b/>
          <w:bCs/>
          <w:color w:val="EE0000"/>
          <w:sz w:val="30"/>
          <w:szCs w:val="30"/>
        </w:rPr>
        <w:t>往来、企业合作的影响</w:t>
      </w:r>
      <w:r>
        <w:rPr>
          <w:rFonts w:ascii="仿宋" w:eastAsia="仿宋" w:hAnsi="仿宋" w:hint="eastAsia"/>
          <w:color w:val="EE0000"/>
          <w:sz w:val="30"/>
          <w:szCs w:val="30"/>
        </w:rPr>
        <w:t>。</w:t>
      </w:r>
    </w:p>
    <w:p w:rsidR="00F34EEA" w:rsidRDefault="00A775C4" w:rsidP="00F34EEA">
      <w:pPr>
        <w:pStyle w:val="ListParagraph"/>
        <w:ind w:firstLine="602"/>
        <w:rPr>
          <w:rFonts w:ascii="仿宋" w:eastAsia="仿宋" w:hAnsi="仿宋" w:hint="eastAsia"/>
          <w:b/>
          <w:bCs/>
          <w:color w:val="EE0000"/>
          <w:sz w:val="30"/>
          <w:szCs w:val="30"/>
        </w:rPr>
      </w:pPr>
      <w:r>
        <w:rPr>
          <w:rFonts w:ascii="仿宋" w:eastAsia="仿宋" w:hAnsi="仿宋"/>
          <w:b/>
          <w:bCs/>
          <w:color w:val="EE0000"/>
          <w:sz w:val="30"/>
          <w:szCs w:val="30"/>
        </w:rPr>
        <w:t>5</w:t>
      </w:r>
      <w:r w:rsidR="00F34EEA">
        <w:rPr>
          <w:rFonts w:ascii="仿宋" w:eastAsia="仿宋" w:hAnsi="仿宋" w:hint="eastAsia"/>
          <w:b/>
          <w:bCs/>
          <w:color w:val="EE0000"/>
          <w:sz w:val="30"/>
          <w:szCs w:val="30"/>
        </w:rPr>
        <w:t>.</w:t>
      </w:r>
      <w:r w:rsidR="00F34EEA">
        <w:rPr>
          <w:rFonts w:hint="eastAsia"/>
          <w:b/>
          <w:bCs/>
          <w:color w:val="EE0000"/>
        </w:rPr>
        <w:t xml:space="preserve"> </w:t>
      </w:r>
      <w:r w:rsidRPr="00A775C4">
        <w:rPr>
          <w:rFonts w:ascii="仿宋" w:eastAsia="仿宋" w:hAnsi="仿宋" w:hint="eastAsia"/>
          <w:b/>
          <w:bCs/>
          <w:color w:val="EE0000"/>
          <w:sz w:val="30"/>
          <w:szCs w:val="30"/>
        </w:rPr>
        <w:t>新质生产力</w:t>
      </w:r>
      <w:proofErr w:type="gramStart"/>
      <w:r w:rsidRPr="00A775C4">
        <w:rPr>
          <w:rFonts w:ascii="仿宋" w:eastAsia="仿宋" w:hAnsi="仿宋" w:hint="eastAsia"/>
          <w:b/>
          <w:bCs/>
          <w:color w:val="EE0000"/>
          <w:sz w:val="30"/>
          <w:szCs w:val="30"/>
        </w:rPr>
        <w:t>与</w:t>
      </w:r>
      <w:r w:rsidR="00F34EEA">
        <w:rPr>
          <w:rFonts w:ascii="仿宋" w:eastAsia="仿宋" w:hAnsi="仿宋" w:hint="eastAsia"/>
          <w:b/>
          <w:bCs/>
          <w:color w:val="EE0000"/>
          <w:sz w:val="30"/>
          <w:szCs w:val="30"/>
        </w:rPr>
        <w:t>科创环境</w:t>
      </w:r>
      <w:proofErr w:type="gramEnd"/>
    </w:p>
    <w:p w:rsidR="00F34EEA" w:rsidRDefault="00F34EEA" w:rsidP="00F34EEA">
      <w:pPr>
        <w:pStyle w:val="ListParagraph"/>
        <w:ind w:firstLine="602"/>
        <w:rPr>
          <w:rFonts w:ascii="仿宋" w:eastAsia="仿宋" w:hAnsi="仿宋" w:hint="eastAsia"/>
          <w:b/>
          <w:bCs/>
          <w:color w:val="EE0000"/>
          <w:sz w:val="30"/>
          <w:szCs w:val="30"/>
        </w:rPr>
      </w:pPr>
      <w:r>
        <w:rPr>
          <w:rFonts w:ascii="仿宋" w:eastAsia="仿宋" w:hAnsi="仿宋" w:hint="eastAsia"/>
          <w:b/>
          <w:bCs/>
          <w:color w:val="EE0000"/>
          <w:sz w:val="30"/>
          <w:szCs w:val="30"/>
        </w:rPr>
        <w:t>主要关注科技创新政策、数字经济发展、人工智能、信息通信、科研投入及产业技术升级和最新成果等，重点反映科技进步对阿拉伯国家营商环境优化的重要支撑作用。</w:t>
      </w:r>
    </w:p>
    <w:p w:rsidR="00F34EEA" w:rsidRDefault="00A775C4" w:rsidP="00A775C4">
      <w:pPr>
        <w:pStyle w:val="ListParagraph"/>
        <w:ind w:firstLine="602"/>
        <w:rPr>
          <w:rFonts w:ascii="仿宋" w:eastAsia="仿宋" w:hAnsi="仿宋" w:hint="eastAsia"/>
          <w:b/>
          <w:bCs/>
          <w:color w:val="EE0000"/>
          <w:sz w:val="30"/>
          <w:szCs w:val="30"/>
        </w:rPr>
      </w:pPr>
      <w:bookmarkStart w:id="5" w:name="OLE_LINK1"/>
      <w:r>
        <w:rPr>
          <w:rFonts w:ascii="仿宋" w:eastAsia="仿宋" w:hAnsi="仿宋"/>
          <w:b/>
          <w:bCs/>
          <w:color w:val="EE0000"/>
          <w:sz w:val="30"/>
          <w:szCs w:val="30"/>
        </w:rPr>
        <w:t>6</w:t>
      </w:r>
      <w:r w:rsidR="00F34EEA">
        <w:rPr>
          <w:rFonts w:ascii="仿宋" w:eastAsia="仿宋" w:hAnsi="仿宋" w:hint="eastAsia"/>
          <w:b/>
          <w:bCs/>
          <w:color w:val="EE0000"/>
          <w:sz w:val="30"/>
          <w:szCs w:val="30"/>
        </w:rPr>
        <w:t>.</w:t>
      </w:r>
      <w:r w:rsidR="00F34EEA">
        <w:rPr>
          <w:rFonts w:hint="eastAsia"/>
          <w:b/>
          <w:bCs/>
          <w:color w:val="EE0000"/>
        </w:rPr>
        <w:t xml:space="preserve"> </w:t>
      </w:r>
      <w:r w:rsidR="00F34EEA">
        <w:rPr>
          <w:rFonts w:ascii="仿宋" w:eastAsia="仿宋" w:hAnsi="仿宋" w:hint="eastAsia"/>
          <w:b/>
          <w:bCs/>
          <w:color w:val="EE0000"/>
          <w:sz w:val="30"/>
          <w:szCs w:val="30"/>
        </w:rPr>
        <w:t>社会</w:t>
      </w:r>
      <w:r>
        <w:rPr>
          <w:rFonts w:ascii="仿宋" w:eastAsia="仿宋" w:hAnsi="仿宋" w:hint="eastAsia"/>
          <w:b/>
          <w:bCs/>
          <w:color w:val="EE0000"/>
          <w:sz w:val="30"/>
          <w:szCs w:val="30"/>
        </w:rPr>
        <w:t>人文</w:t>
      </w:r>
      <w:r w:rsidR="00F34EEA">
        <w:rPr>
          <w:rFonts w:ascii="仿宋" w:eastAsia="仿宋" w:hAnsi="仿宋" w:hint="eastAsia"/>
          <w:b/>
          <w:bCs/>
          <w:color w:val="EE0000"/>
          <w:sz w:val="30"/>
          <w:szCs w:val="30"/>
        </w:rPr>
        <w:t>环境</w:t>
      </w:r>
    </w:p>
    <w:p w:rsidR="00F34EEA" w:rsidRDefault="00F34EEA" w:rsidP="00A775C4">
      <w:pPr>
        <w:pStyle w:val="ListParagraph"/>
        <w:ind w:firstLine="602"/>
        <w:rPr>
          <w:rFonts w:ascii="仿宋" w:eastAsia="仿宋" w:hAnsi="仿宋" w:hint="eastAsia"/>
          <w:b/>
          <w:bCs/>
          <w:color w:val="EE0000"/>
          <w:sz w:val="30"/>
          <w:szCs w:val="30"/>
        </w:rPr>
      </w:pPr>
      <w:r>
        <w:rPr>
          <w:rFonts w:ascii="仿宋" w:eastAsia="仿宋" w:hAnsi="仿宋" w:hint="eastAsia"/>
          <w:b/>
          <w:bCs/>
          <w:color w:val="EE0000"/>
          <w:sz w:val="30"/>
          <w:szCs w:val="30"/>
        </w:rPr>
        <w:lastRenderedPageBreak/>
        <w:t>主要关注人口结构、劳动力市场、教育水平、公共服务保障、社会稳定性等，</w:t>
      </w:r>
      <w:r w:rsidR="00A775C4">
        <w:rPr>
          <w:rFonts w:ascii="仿宋" w:eastAsia="仿宋" w:hAnsi="仿宋" w:hint="eastAsia"/>
          <w:b/>
          <w:bCs/>
          <w:color w:val="EE0000"/>
          <w:sz w:val="30"/>
          <w:szCs w:val="30"/>
        </w:rPr>
        <w:t>以及</w:t>
      </w:r>
      <w:r>
        <w:rPr>
          <w:rFonts w:ascii="仿宋" w:eastAsia="仿宋" w:hAnsi="仿宋" w:hint="eastAsia"/>
          <w:b/>
          <w:bCs/>
          <w:color w:val="EE0000"/>
          <w:sz w:val="30"/>
          <w:szCs w:val="30"/>
        </w:rPr>
        <w:t>文化传统、语言环境、商业文化及中阿人文交流与合作等内容，</w:t>
      </w:r>
      <w:r w:rsidR="00A775C4">
        <w:rPr>
          <w:rFonts w:ascii="仿宋" w:eastAsia="仿宋" w:hAnsi="仿宋" w:hint="eastAsia"/>
          <w:b/>
          <w:bCs/>
          <w:color w:val="EE0000"/>
          <w:sz w:val="30"/>
          <w:szCs w:val="30"/>
        </w:rPr>
        <w:t>重点关注相应环境及其变化对当地企业和中国企业建设、运营及长期发展的影响</w:t>
      </w:r>
      <w:r w:rsidR="00A775C4">
        <w:rPr>
          <w:rFonts w:ascii="仿宋" w:eastAsia="仿宋" w:hAnsi="仿宋" w:hint="eastAsia"/>
          <w:b/>
          <w:bCs/>
          <w:color w:val="EE0000"/>
          <w:sz w:val="30"/>
          <w:szCs w:val="30"/>
        </w:rPr>
        <w:t>，</w:t>
      </w:r>
      <w:proofErr w:type="gramStart"/>
      <w:r w:rsidR="00A775C4">
        <w:rPr>
          <w:rFonts w:ascii="仿宋" w:eastAsia="仿宋" w:hAnsi="仿宋" w:hint="eastAsia"/>
          <w:b/>
          <w:bCs/>
          <w:color w:val="EE0000"/>
          <w:sz w:val="30"/>
          <w:szCs w:val="30"/>
        </w:rPr>
        <w:t>及</w:t>
      </w:r>
      <w:r>
        <w:rPr>
          <w:rFonts w:ascii="仿宋" w:eastAsia="仿宋" w:hAnsi="仿宋" w:hint="eastAsia"/>
          <w:b/>
          <w:bCs/>
          <w:color w:val="EE0000"/>
          <w:sz w:val="30"/>
          <w:szCs w:val="30"/>
        </w:rPr>
        <w:t>跨文化</w:t>
      </w:r>
      <w:proofErr w:type="gramEnd"/>
      <w:r>
        <w:rPr>
          <w:rFonts w:ascii="仿宋" w:eastAsia="仿宋" w:hAnsi="仿宋" w:hint="eastAsia"/>
          <w:b/>
          <w:bCs/>
          <w:color w:val="EE0000"/>
          <w:sz w:val="30"/>
          <w:szCs w:val="30"/>
        </w:rPr>
        <w:t>交往与经营的适应性及对企业投资与合作的影响。</w:t>
      </w:r>
    </w:p>
    <w:bookmarkEnd w:id="5"/>
    <w:p w:rsidR="00F34EEA" w:rsidRPr="00F34EEA" w:rsidRDefault="00F34EEA">
      <w:pPr>
        <w:rPr>
          <w:rFonts w:hint="eastAsia"/>
        </w:rPr>
      </w:pPr>
    </w:p>
    <w:sectPr w:rsidR="00F34EEA" w:rsidRPr="00F34E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EEA"/>
    <w:rsid w:val="009434FC"/>
    <w:rsid w:val="00A775C4"/>
    <w:rsid w:val="00F34E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A5D5"/>
  <w15:chartTrackingRefBased/>
  <w15:docId w15:val="{C72E4892-F450-4C40-8FBC-AFDBEF58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istParagraph">
    <w:name w:val="List Paragraph"/>
    <w:basedOn w:val="a"/>
    <w:rsid w:val="00F34EEA"/>
    <w:pPr>
      <w:ind w:firstLineChars="200" w:firstLine="420"/>
    </w:pPr>
    <w:rPr>
      <w:rFonts w:ascii="等线" w:eastAsia="等线" w:hAnsi="等线" w:cs="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149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1</cp:revision>
  <dcterms:created xsi:type="dcterms:W3CDTF">2026-06-08T09:49:00Z</dcterms:created>
  <dcterms:modified xsi:type="dcterms:W3CDTF">2026-06-08T10:06:00Z</dcterms:modified>
</cp:coreProperties>
</file>