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i w:val="0"/>
          <w:color w:val="111111"/>
          <w:sz w:val="52"/>
        </w:rPr>
        <w:t>Data Sources &amp; Provenance</w:t>
      </w:r>
    </w:p>
    <w:p>
      <w:pPr>
        <w:spacing w:after="40"/>
      </w:pPr>
      <w:r>
        <w:rPr>
          <w:rFonts w:ascii="Arial" w:hAnsi="Arial"/>
          <w:b w:val="0"/>
          <w:i w:val="0"/>
          <w:color w:val="D4A04A"/>
          <w:sz w:val="22"/>
        </w:rPr>
        <w:t>Measles Multimodal ML Pipeline  |  AI Scientist, Albany, NY, USA 12205  |  2026</w:t>
      </w:r>
    </w:p>
    <w:p>
      <w:pPr>
        <w:spacing w:after="280"/>
      </w:pPr>
      <w:r>
        <w:rPr>
          <w:rFonts w:ascii="Arial" w:hAnsi="Arial"/>
          <w:b w:val="0"/>
          <w:i/>
          <w:color w:val="8A8378"/>
          <w:sz w:val="20"/>
        </w:rPr>
        <w:t>Jiada Li, PhD  |  Clinical Infectious Diseases (submitted 2026)</w:t>
      </w:r>
    </w:p>
    <w:p>
      <w:pPr>
        <w:pBdr>
          <w:bottom w:val="single" w:sz="6" w:color="D4A04A" w:space="1"/>
        </w:pBdr>
        <w:spacing w:before="80" w:after="200"/>
      </w:pPr>
    </w:p>
    <w:p>
      <w:pPr>
        <w:pStyle w:val="Heading1"/>
        <w:spacing w:before="360" w:after="160"/>
      </w:pPr>
      <w:r>
        <w:rPr>
          <w:rFonts w:ascii="Arial" w:hAnsi="Arial"/>
          <w:color w:val="111111"/>
        </w:rPr>
        <w:t>1. Overview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This document describes every data source used in the Measles Multimodal ML Pipeline. For each source it records: the origin and URL, how the data were collected and processed, where the processed files are saved in the reproducibility package, and which pipeline outputs they produce. A final section identifies high-value public datasets that would most improve Stage 1 (genomic transmission linkage) and Stage 2 (outbreak risk prediction) if incorporated in future work.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Pipeline stages and data modalities: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Stage 1 — Genomic transmission linkage (WGS + N450 sequences, pairwise SNP features)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Stage 2 — Outbreak risk prediction (wastewater surveillance, MMR coverage, case counts, mobility)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Stage 3 — Rash image classification (MSLD v2.0 skin lesion images, BiomedCLIP embeddings)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Phase 2 — Cross-modal contrastive alignment (genomic ↔ imaging embedding space)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Phase 3 — Multimodal fusion ablation (G, E, I, G+E, G+I, E+I, G+E+I combinations)</w:t>
      </w:r>
    </w:p>
    <w:p>
      <w:pPr>
        <w:spacing w:after="8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File naming conventions in reproduce/data/: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88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648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Content type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genomic_oaw_*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Raw FASTA sequences from the OAW 2021 outbreak</w:t>
            </w:r>
          </w:p>
        </w:tc>
      </w:tr>
      <w:tr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stage1_*</w:t>
            </w:r>
          </w:p>
        </w:tc>
        <w:tc>
          <w:tcPr>
            <w:tcW w:type="dxa" w:w="64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Processed Stage 1 inputs (pairwise features, SNP matrices, embeddings)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stage2_*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Processed Stage 2 inputs (wastewater, MMR, case counts, mobility, feature matrix)</w:t>
            </w:r>
          </w:p>
        </w:tc>
      </w:tr>
      <w:tr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stage3_*</w:t>
            </w:r>
          </w:p>
        </w:tc>
        <w:tc>
          <w:tcPr>
            <w:tcW w:type="dxa" w:w="64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Stage 3 inputs (imaging manifest, BiomedCLIP embedding cache)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output_*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Pipeline result files (CV metrics, feature importance, ablation results)</w:t>
            </w:r>
          </w:p>
        </w:tc>
      </w:tr>
      <w:tr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model_*</w:t>
            </w:r>
          </w:p>
        </w:tc>
        <w:tc>
          <w:tcPr>
            <w:tcW w:type="dxa" w:w="64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Saved model weights (LSTM, contrastive projection heads)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color w:val="111111"/>
        </w:rPr>
        <w:t>2. Stage 1 — Genomic Data (OAW 2021 Outbreak)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2.1  Source &amp; Origin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Genomic sequences were obtained from the Outbreak at a Workplace (OAW) 2021 measles outbreak (Wisconsin/Virginia, USA). This was a B3 genotype outbreak comprising 43 confirmed cases in 3 transmission clusters. Sequences were deposited in NCBI GenBank by the CDC and state health departments as part of routine outbreak investigation.</w:t>
      </w:r>
    </w:p>
    <w:p>
      <w:pPr>
        <w:spacing w:after="80" w:before="0" w:line="300" w:lineRule="exact"/>
      </w:pPr>
      <w:r>
        <w:rPr>
          <w:rFonts w:ascii="Arial" w:hAnsi="Arial"/>
          <w:b w:val="0"/>
          <w:i/>
          <w:color w:val="0563C1"/>
          <w:sz w:val="22"/>
        </w:rPr>
        <w:t>Access URL: https://www.ncbi.nlm.nih.gov/genbank/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2.2  Data Collection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Sequences were retrieved programmatically using the NCBI Entrez API (Biopython Entrez module). WGS accessions (n=41) and N450 accessions (n=42) were extracted from the OAW metadata table (oaw_metadata_cleaned.csv, columns WGS_GENBANK_ACCESSION and N450_GENBANK_ACCESSION). Sequences were downloaded in FASTA format and saved as raw input files.</w:t>
      </w:r>
    </w:p>
    <w:p>
      <w:pPr>
        <w:spacing w:after="40" w:before="0" w:line="300" w:lineRule="exact"/>
      </w:pPr>
      <w:r>
        <w:rPr>
          <w:rFonts w:ascii="Arial" w:hAnsi="Arial"/>
          <w:b w:val="0"/>
          <w:i/>
          <w:color w:val="2C2A26"/>
          <w:sz w:val="22"/>
        </w:rPr>
        <w:t>Sample WGS accessions (first 8 of 41 total):</w:t>
      </w:r>
    </w:p>
    <w:p>
      <w:pPr>
        <w:spacing w:after="120" w:before="0" w:line="300" w:lineRule="exact"/>
      </w:pPr>
      <w:r>
        <w:rPr>
          <w:rFonts w:ascii="Arial" w:hAnsi="Arial"/>
          <w:b w:val="0"/>
          <w:i w:val="0"/>
          <w:color w:val="8A8378"/>
          <w:sz w:val="18"/>
        </w:rPr>
        <w:t xml:space="preserve">  OP314484,  OP314513,  OP314498,  OP314500,  OP314502,  OP314503,  OP314512,  OP314516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2.3  Processing Steps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Multiple sequence alignment: MAFFT v7.5 (--auto mode) applied separately to WGS and N450 sets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SNP distance matrix: pairwise Hamming distances computed from aligned FASTA (phase0_alignment.py)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Pairwise feature engineering: 903 case pairs generated from 43 cases; features include temporal distance (days), epi-week distance, shared flight, shared barrack, shared base, same import status, cluster membership, and WGS SNP distance (phase0_data_ingestion.py)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Genomic embeddings: k-mer TF-IDF (k=4,5,6) + SVD (n_components=41) applied to aligned WGS sequences as DNABERT-2 fallback (phase0_metadata_cleaning.py)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Label: IS_LINKED (binary) derived from epidemiological investigation records in OAW metadata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2.4  Processed Files in reproduce/data/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3024"/>
        <w:gridCol w:w="3024"/>
        <w:gridCol w:w="3024"/>
      </w:tblGrid>
      <w:tr>
        <w:tc>
          <w:tcPr>
            <w:tcW w:type="dxa" w:w="3456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32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Rows/Size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genomic_oaw_wgs_42seqs.fasta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Raw WGS sequences (42 sequences, B3 genotype)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42 seqs, 663 KB</w:t>
            </w:r>
          </w:p>
        </w:tc>
      </w:tr>
      <w:tr>
        <w:tc>
          <w:tcPr>
            <w:tcW w:type="dxa" w:w="345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genomic_oaw_n450_14seqs.fasta</w:t>
            </w:r>
          </w:p>
        </w:tc>
        <w:tc>
          <w:tcPr>
            <w:tcW w:type="dxa" w:w="432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Raw N450 sequences (14 sequences)</w:t>
            </w:r>
          </w:p>
        </w:tc>
        <w:tc>
          <w:tcPr>
            <w:tcW w:type="dxa" w:w="216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14 seqs, 6.7 KB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genomic_oaw_wgs_aligned.fasta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MAFFT-aligned WGS sequences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42 seqs, 664 KB</w:t>
            </w:r>
          </w:p>
        </w:tc>
      </w:tr>
      <w:tr>
        <w:tc>
          <w:tcPr>
            <w:tcW w:type="dxa" w:w="345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genomic_oaw_n450_aligned.fasta</w:t>
            </w:r>
          </w:p>
        </w:tc>
        <w:tc>
          <w:tcPr>
            <w:tcW w:type="dxa" w:w="432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MAFFT-aligned N450 sequences</w:t>
            </w:r>
          </w:p>
        </w:tc>
        <w:tc>
          <w:tcPr>
            <w:tcW w:type="dxa" w:w="216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14 seqs, 6.7 KB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oaw_metadata_cleaned.csv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Case metadata: 116 rows x 38 cols (IS_OAW, cluster, flight, barrack, accessions)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116 x 38</w:t>
            </w:r>
          </w:p>
        </w:tc>
      </w:tr>
      <w:tr>
        <w:tc>
          <w:tcPr>
            <w:tcW w:type="dxa" w:w="345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stage1_pairwise_features.csv</w:t>
            </w:r>
          </w:p>
        </w:tc>
        <w:tc>
          <w:tcPr>
            <w:tcW w:type="dxa" w:w="432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Pairwise case features for Stage 1 ML (903 pairs x 15 features)</w:t>
            </w:r>
          </w:p>
        </w:tc>
        <w:tc>
          <w:tcPr>
            <w:tcW w:type="dxa" w:w="216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903 x 15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stage1_snp_distance_wgs.csv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WGS pairwise SNP distance matrix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42 x 42</w:t>
            </w:r>
          </w:p>
        </w:tc>
      </w:tr>
      <w:tr>
        <w:tc>
          <w:tcPr>
            <w:tcW w:type="dxa" w:w="345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stage1_snp_distance_n450.csv</w:t>
            </w:r>
          </w:p>
        </w:tc>
        <w:tc>
          <w:tcPr>
            <w:tcW w:type="dxa" w:w="432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N450 pairwise SNP distance matrix</w:t>
            </w:r>
          </w:p>
        </w:tc>
        <w:tc>
          <w:tcPr>
            <w:tcW w:type="dxa" w:w="216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14 x 14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stage1_genomic_embeddings_kmer_tfidf.csv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k-mer TF-IDF SVD embeddings (42 seqs x 41 dims)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42 x 41</w:t>
            </w:r>
          </w:p>
        </w:tc>
      </w:tr>
    </w:tbl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2.5  Pipeline Outputs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40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 file</w:t>
            </w:r>
          </w:p>
        </w:tc>
        <w:tc>
          <w:tcPr>
            <w:tcW w:type="dxa" w:w="59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result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output_stage1_cv_results.csv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LOCO-CV AUC: LogReg=0.924, RF=0.922, GB=0.650 (n=903 pairs)</w:t>
            </w:r>
          </w:p>
        </w:tc>
      </w:tr>
      <w:tr>
        <w:tc>
          <w:tcPr>
            <w:tcW w:type="dxa" w:w="40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output_stage1_feature_importance.csv</w:t>
            </w:r>
          </w:p>
        </w:tc>
        <w:tc>
          <w:tcPr>
            <w:tcW w:type="dxa" w:w="59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Top features: SNP distance, temporal distance, same_flight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AF9F3" w:val="clear"/>
            <w:tcBorders>
              <w:start w:val="single" w:sz="18" w:color="D4A04A" w:space="0"/>
              <w:top w:val="single" w:sz="4" w:color="D5CFC5" w:space="0"/>
              <w:bottom w:val="single" w:sz="4" w:color="D5CFC5" w:space="0"/>
              <w:end w:val="single" w:sz="4" w:color="D5CFC5" w:space="0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20"/>
              </w:rPr>
              <w:t xml:space="preserve">Limitation: </w:t>
            </w:r>
            <w:r>
              <w:rPr>
                <w:rFonts w:ascii="Arial" w:hAnsi="Arial"/>
                <w:b w:val="0"/>
                <w:i w:val="0"/>
                <w:color w:val="2C2A26"/>
                <w:sz w:val="20"/>
              </w:rPr>
              <w:t>All 43 cases are from a single B3 genotype outbreak (OAW 2021). The model has not been validated on other genotypes (D8, A) or other outbreaks. See Section 6 for recommended additional datasets.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rPr>
          <w:rFonts w:ascii="Arial" w:hAnsi="Arial"/>
          <w:color w:val="111111"/>
        </w:rPr>
        <w:t>3. Stage 2 — Epidemiological &amp; Environmental Data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Stage 2 predicts weekly outbreak risk at the state level using five data streams integrated into a single state×week feature matrix (11,900 rows × 19 features, covering 50 US states, 2022–2026). Each stream is described below.</w:t>
      </w:r>
    </w:p>
    <w:p>
      <w:pPr>
        <w:pStyle w:val="Heading2"/>
        <w:spacing w:before="240" w:after="160"/>
      </w:pPr>
      <w:r>
        <w:rPr>
          <w:rFonts w:ascii="Arial" w:hAnsi="Arial"/>
          <w:color w:val="111111"/>
        </w:rPr>
        <w:t>3.1  Individual Data Streams</w:t>
      </w:r>
    </w:p>
    <w:p>
      <w:pPr>
        <w:spacing w:after="4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NWSS Wastewater Surveillance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3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Source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NWSS (data.cdc.gov)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URL / Access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https://data.cdc.gov/Public-Health-Surveillance/NWSS-Public-SARS-CoV-2-Wastewater-Metric-Data/2ew6-ywp6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Collection method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Socrata REST API (JSON)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Size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53,050 rows, 38 cols; 50 states; 2024–2026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Processed file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stage2_nwss_wastewater.csv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Key columns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nwss_n_sites, nwss_n_detected, nwss_detection_rate, nwss_mean_conc</w:t>
            </w:r>
          </w:p>
        </w:tc>
      </w:tr>
    </w:tbl>
    <w:p>
      <w:pPr>
        <w:spacing w:after="80"/>
      </w:pPr>
    </w:p>
    <w:p>
      <w:pPr>
        <w:spacing w:after="4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MMR Vaccination Coverage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3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Source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SchoolVaxView (NIS-Child / MMWR SchoolVaxView)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URL / Access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https://www.cdc.gov/schoolvaxview/data/index.html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Collection method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Manual download (CSV from CDC data portal)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Size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459 rows; 51 states; 2016–2024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Processed file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stage2_mmr_coverage_state.csv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Key columns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mmr_coverage_pct, nme_rate_pct, below_herd_immunity</w:t>
            </w:r>
          </w:p>
        </w:tc>
      </w:tr>
    </w:tbl>
    <w:p>
      <w:pPr>
        <w:spacing w:after="80"/>
      </w:pPr>
    </w:p>
    <w:p>
      <w:pPr>
        <w:spacing w:after="4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NNDSS Weekly Measles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3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Source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WONDER / NNDSS (data.cdc.gov)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URL / Access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https://wonder.cdc.gov/nndss.html  |  Dataset ID: x9gk-5huc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Collection method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Socrata REST API — returned API error (dataset.missing); national totals used as proxy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Size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 row (API error response)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Processed file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stage2_nndss_weekly.csv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Key columns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national_cases_week, annual_total (sourced from CDC measles data page)</w:t>
            </w:r>
          </w:p>
        </w:tc>
      </w:tr>
    </w:tbl>
    <w:p>
      <w:pPr>
        <w:spacing w:after="80"/>
      </w:pPr>
    </w:p>
    <w:p>
      <w:pPr>
        <w:spacing w:after="4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Google Trends (Measles Search Volume)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3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Source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Google Trends API (pytrends)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URL / Access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https://trends.google.com/trends/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Collection method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pytrends API — rate-limited; synthetic proxy generated from seasonal pattern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Size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395 rows; 2019–2026 weekly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Processed file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stage2_google_trends_synthetic.csv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Key columns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measles, measles_rash, measles_symptoms, MMR_vaccine  [source=synthetic_proxy]</w:t>
            </w:r>
          </w:p>
        </w:tc>
      </w:tr>
    </w:tbl>
    <w:p>
      <w:pPr>
        <w:spacing w:after="80"/>
      </w:pPr>
    </w:p>
    <w:p>
      <w:pPr>
        <w:spacing w:after="4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BTS Air Passengers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3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Source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Bureau of Transportation Statistics T-100 Domestic Segment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URL / Access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https://www.transtats.bts.gov/Fields.asp?gnoyr_VQ=FIL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Collection method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BTS data portal download (CSV); aggregated to state×month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Size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3,094 rows; 50 states; 2022–2026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Processed file</w:t>
            </w:r>
          </w:p>
        </w:tc>
        <w:tc>
          <w:tcPr>
            <w:tcW w:type="dxa" w:w="76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stage2_bts_air_passengers.csv</w:t>
            </w:r>
          </w:p>
        </w:tc>
      </w:tr>
      <w:tr>
        <w:tc>
          <w:tcPr>
            <w:tcW w:type="dxa" w:w="23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Key columns</w:t>
            </w:r>
          </w:p>
        </w:tc>
        <w:tc>
          <w:tcPr>
            <w:tcW w:type="dxa" w:w="76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domestic_passengers_millions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hAnsi="Arial"/>
          <w:color w:val="111111"/>
        </w:rPr>
        <w:t>3.2  Feature Matrix Construction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The five streams were merged on (state, year, week) to produce the state×week feature matrix (phase1_epi_model_v2.py). The binary outcome is_outbreak_week is defined as weeks with ≥1 confirmed measles case in a state with ≥1 NWSS detection. Class imbalance is severe: 3–7% positive rate across LOYO-CV folds (2025, 2026).</w:t>
      </w:r>
    </w:p>
    <w:p>
      <w:pPr>
        <w:spacing w:after="160" w:before="0" w:line="300" w:lineRule="exact"/>
      </w:pPr>
      <w:r>
        <w:rPr>
          <w:rFonts w:ascii="Arial" w:hAnsi="Arial"/>
          <w:b w:val="0"/>
          <w:i/>
          <w:color w:val="8A8378"/>
          <w:sz w:val="22"/>
        </w:rPr>
        <w:t>Processed file: stage2_state_week_feature_matrix.csv  (11,900 rows × 19 cols)</w:t>
      </w:r>
    </w:p>
    <w:p>
      <w:pPr>
        <w:pStyle w:val="Heading2"/>
        <w:spacing w:before="240" w:after="160"/>
      </w:pPr>
      <w:r>
        <w:rPr>
          <w:rFonts w:ascii="Arial" w:hAnsi="Arial"/>
          <w:color w:val="111111"/>
        </w:rPr>
        <w:t>3.3  Pipeline Outputs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40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 file</w:t>
            </w:r>
          </w:p>
        </w:tc>
        <w:tc>
          <w:tcPr>
            <w:tcW w:type="dxa" w:w="59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result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output_stage2_cv_results.csv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LOYO-CV AUC: LogReg=0.707, XGBoost=0.627, RF=0.654 (2025+2026 folds)</w:t>
            </w:r>
          </w:p>
        </w:tc>
      </w:tr>
      <w:tr>
        <w:tc>
          <w:tcPr>
            <w:tcW w:type="dxa" w:w="40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output_stage2_cv_results_all.csv</w:t>
            </w:r>
          </w:p>
        </w:tc>
        <w:tc>
          <w:tcPr>
            <w:tcW w:type="dxa" w:w="59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All-model all-fold raw results including LSTM (AUC=0.461 mean)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output_stage2_feature_importance.csv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Top features: nwss_detection_rate, mmr_coverage, air_passengers</w:t>
            </w:r>
          </w:p>
        </w:tc>
      </w:tr>
      <w:tr>
        <w:tc>
          <w:tcPr>
            <w:tcW w:type="dxa" w:w="40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model_stage2_lstm.pt</w:t>
            </w:r>
          </w:p>
        </w:tc>
        <w:tc>
          <w:tcPr>
            <w:tcW w:type="dxa" w:w="59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Trained LSTM model weights (2-layer, hidden=64, seq_len=12)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AF9F3" w:val="clear"/>
            <w:tcBorders>
              <w:start w:val="single" w:sz="18" w:color="D4A04A" w:space="0"/>
              <w:top w:val="single" w:sz="4" w:color="D5CFC5" w:space="0"/>
              <w:bottom w:val="single" w:sz="4" w:color="D5CFC5" w:space="0"/>
              <w:end w:val="single" w:sz="4" w:color="D5CFC5" w:space="0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20"/>
              </w:rPr>
              <w:t xml:space="preserve">Data gaps: </w:t>
            </w:r>
            <w:r>
              <w:rPr>
                <w:rFonts w:ascii="Arial" w:hAnsi="Arial"/>
                <w:b w:val="0"/>
                <w:i w:val="0"/>
                <w:color w:val="2C2A26"/>
                <w:sz w:val="20"/>
              </w:rPr>
              <w:t>NNDSS API returned an error (dataset.missing); national case totals were sourced manually from the CDC measles data page. Google Trends data is a synthetic proxy (real API rate-limited). NWSS data covers only 2024–2026; 2022–2023 wastewater positives were zero, limiting temporal range.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rPr>
          <w:rFonts w:ascii="Arial" w:hAnsi="Arial"/>
          <w:color w:val="111111"/>
        </w:rPr>
        <w:t>4. Stage 3 — Rash Image Classification (MSLD v2.0)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4.1  Source &amp; Origin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The Mpox Skin Lesion Dataset Version 2.0 (MSLD v2.0) is a publicly available, dermatologist-verified skin lesion image dataset comprising 755 images across six classes: Mpox (284), Chickenpox (75), Measles (55), Cowpox (66), HFMD (161), and Healthy (114). The dataset provides five pre-defined patient-independent folds for cross-validation.</w:t>
      </w:r>
    </w:p>
    <w:p>
      <w:pPr>
        <w:spacing w:after="40" w:before="0" w:line="300" w:lineRule="exact"/>
      </w:pPr>
      <w:r>
        <w:rPr>
          <w:rFonts w:ascii="Arial" w:hAnsi="Arial"/>
          <w:b w:val="0"/>
          <w:i/>
          <w:color w:val="8A8378"/>
          <w:sz w:val="22"/>
        </w:rPr>
        <w:t>Citation: Ali, S.N. et al. (2024). Biomed Signal Process Control.</w:t>
      </w:r>
    </w:p>
    <w:p>
      <w:pPr>
        <w:spacing w:after="80" w:before="0" w:line="300" w:lineRule="exact"/>
      </w:pPr>
      <w:r>
        <w:rPr>
          <w:rFonts w:ascii="Arial" w:hAnsi="Arial"/>
          <w:b w:val="0"/>
          <w:i/>
          <w:color w:val="8A8378"/>
          <w:sz w:val="22"/>
        </w:rPr>
        <w:t>License: CC BY-NC 4.0 (non-commercial use only)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4.2  Data Collection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59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34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Primary source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Google Drive mirror (no credentials required)</w:t>
            </w:r>
          </w:p>
        </w:tc>
      </w:tr>
      <w:tr>
        <w:tc>
          <w:tcPr>
            <w:tcW w:type="dxa" w:w="259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Google Drive ID</w:t>
            </w:r>
          </w:p>
        </w:tc>
        <w:tc>
          <w:tcPr>
            <w:tcW w:type="dxa" w:w="734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1_bGmbDQNgJViQenjZ4QUhhzpdiubga48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Download command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gdown.download_folder(id='1_bGmbDQNgJViQenjZ4QUhhzpdiubga48', output='/workspace/msld_v2')</w:t>
            </w:r>
          </w:p>
        </w:tc>
      </w:tr>
      <w:tr>
        <w:tc>
          <w:tcPr>
            <w:tcW w:type="dxa" w:w="259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Alternative</w:t>
            </w:r>
          </w:p>
        </w:tc>
        <w:tc>
          <w:tcPr>
            <w:tcW w:type="dxa" w:w="734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Kaggle: joydippaul/mpox-skin-lesion-dataset-version-20-msld-v20 (requires API key)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Local path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/workspace/msld_v2/MSLD v2/original_images/FOLDS/</w:t>
            </w:r>
          </w:p>
        </w:tc>
      </w:tr>
      <w:tr>
        <w:tc>
          <w:tcPr>
            <w:tcW w:type="dxa" w:w="259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Total images</w:t>
            </w:r>
          </w:p>
        </w:tc>
        <w:tc>
          <w:tcPr>
            <w:tcW w:type="dxa" w:w="734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755 originals; 3,775 including augmented copies across 5 folds</w:t>
            </w:r>
          </w:p>
        </w:tc>
      </w:tr>
    </w:tbl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4.3  Processing Steps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BiomedCLIP ViT-B/16 loaded from HuggingFace Hub: hf-hub:microsoft/BiomedCLIP-PubMedBERT_256-vit_base_patch16_224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Encoder frozen (no fine-tuning); standard BiomedCLIP preprocessing applied (224×224, normalize)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Embeddings extracted for all 3,775 images in batches of 32; L2-normalized to unit sphere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Output: 512-dimensional embedding per image; cached to stage3_all_embeddings_cache.npz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MLP classifier (512→256→128→6) trained per fold with weighted cross-entropy (class weights ∝ 1/freq)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Optimizer: AdamW (lr=1e-3, weight_decay=1e-4); scheduler: CosineAnnealingLR (T_max=150)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Early stopping: patience=15 epochs on validation macro-F1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Validation: 5-fold CV using official MSLD folds (fold1–fold5); test set per fold: ~73 images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C2A26"/>
          <w:sz w:val="21"/>
        </w:rPr>
        <w:t>Runtime: ~27 min embedding extraction (CPU) + &lt;1 min MLP training per fold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4.4  Processed Files in reproduce/data/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3024"/>
        <w:gridCol w:w="3024"/>
        <w:gridCol w:w="3024"/>
      </w:tblGrid>
      <w:tr>
        <w:tc>
          <w:tcPr>
            <w:tcW w:type="dxa" w:w="40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608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stage3_imaging_dataset_manifest.csv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10-row manifest of imaging datasets considered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1.0 KB</w:t>
            </w:r>
          </w:p>
        </w:tc>
      </w:tr>
      <w:tr>
        <w:tc>
          <w:tcPr>
            <w:tcW w:type="dxa" w:w="40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stage3_biomedclip_embeddings_cache.npz</w:t>
            </w:r>
          </w:p>
        </w:tc>
        <w:tc>
          <w:tcPr>
            <w:tcW w:type="dxa" w:w="4608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Pre-extracted BiomedCLIP embeddings (3,775 × 512); keys: paths, embeddings, labels</w:t>
            </w:r>
          </w:p>
        </w:tc>
        <w:tc>
          <w:tcPr>
            <w:tcW w:type="dxa" w:w="129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8.5 MB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MSLD_v2_images/README.txt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Download instructions for raw MSLD v2.0 images (not included — 500 MB)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2.3 KB</w:t>
            </w:r>
          </w:p>
        </w:tc>
      </w:tr>
    </w:tbl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4.5  Pipeline Outputs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40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 file</w:t>
            </w:r>
          </w:p>
        </w:tc>
        <w:tc>
          <w:tcPr>
            <w:tcW w:type="dxa" w:w="59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result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output_stage3_imaging_results.json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Macro AUC=0.9513, Macro F1=0.8341, Accuracy=0.8352; Measles AUC=0.9946</w:t>
            </w:r>
          </w:p>
        </w:tc>
      </w:tr>
      <w:tr>
        <w:tc>
          <w:tcPr>
            <w:tcW w:type="dxa" w:w="40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output_stage3_fold_results.csv</w:t>
            </w:r>
          </w:p>
        </w:tc>
        <w:tc>
          <w:tcPr>
            <w:tcW w:type="dxa" w:w="59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Per-fold accuracy, macro F1, macro AUC across 5 folds</w:t>
            </w:r>
          </w:p>
        </w:tc>
      </w:tr>
    </w:tbl>
    <w:p>
      <w:pPr>
        <w:pStyle w:val="Heading1"/>
        <w:spacing w:before="360" w:after="160"/>
      </w:pPr>
      <w:r>
        <w:rPr>
          <w:rFonts w:ascii="Arial" w:hAnsi="Arial"/>
          <w:color w:val="111111"/>
        </w:rPr>
        <w:t>5. Phase 2 &amp; 3 — Contrastive Alignment &amp; Fusion Ablation</w:t>
      </w:r>
    </w:p>
    <w:p>
      <w:pPr>
        <w:spacing w:after="80" w:before="0" w:line="300" w:lineRule="exact"/>
      </w:pPr>
      <w:r>
        <w:rPr>
          <w:rFonts w:ascii="Arial" w:hAnsi="Arial"/>
          <w:b/>
          <w:i w:val="0"/>
          <w:color w:val="2C2A26"/>
          <w:sz w:val="22"/>
        </w:rPr>
        <w:t>5.1  Phase 2 — Cross-Modal Contrastive Alignment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Phase 2 trains projection heads (MLP: input→256→128) to align genomic and imaging embeddings into a shared 128-dimensional space using InfoNCE contrastive loss. Real paired data (one genome + one rash image per patient) does not exist in the OAW dataset; alignment was validated on 200 synthetic pairs generated from the real embedding distributions (4 classes, balanced). This is an architectural validation only.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259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734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Genomic embeddings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k-mer TF-IDF SVD (42 sequences × 41 dims) from stage1_genomic_embeddings_kmer_tfidf.csv</w:t>
            </w:r>
          </w:p>
        </w:tc>
      </w:tr>
      <w:tr>
        <w:tc>
          <w:tcPr>
            <w:tcW w:type="dxa" w:w="259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Imaging embeddings</w:t>
            </w:r>
          </w:p>
        </w:tc>
        <w:tc>
          <w:tcPr>
            <w:tcW w:type="dxa" w:w="734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BiomedCLIP embeddings (22 MSLD images × 512 dims) from stage3_biomedclip_embeddings_cache.npz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Synthetic pairs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200 pairs generated from real embedding distributions; 4 classes</w:t>
            </w:r>
          </w:p>
        </w:tc>
      </w:tr>
    </w:tbl>
    <w:p>
      <w:pPr>
        <w:spacing w:after="80" w:before="0" w:line="300" w:lineRule="exact"/>
      </w:pPr>
      <w:r>
        <w:rPr>
          <w:rFonts w:ascii="Arial" w:hAnsi="Arial"/>
          <w:b w:val="0"/>
          <w:i/>
          <w:color w:val="8A8378"/>
          <w:sz w:val="22"/>
        </w:rPr>
        <w:t>Processed files: output_phase2_alignment_results.csv (Recall@1=0.985, InfoNCE=0.087)</w:t>
      </w:r>
    </w:p>
    <w:p>
      <w:pPr>
        <w:spacing w:after="160" w:before="0" w:line="300" w:lineRule="exact"/>
      </w:pPr>
      <w:r>
        <w:rPr>
          <w:rFonts w:ascii="Arial" w:hAnsi="Arial"/>
          <w:b w:val="0"/>
          <w:i/>
          <w:color w:val="8A8378"/>
          <w:sz w:val="22"/>
        </w:rPr>
        <w:t>Model artifact: model_phase2_projection_heads.pt (genomic: 41→256→128; imaging: 512→256→128)</w:t>
      </w:r>
    </w:p>
    <w:p>
      <w:pPr>
        <w:spacing w:after="80" w:before="160" w:line="300" w:lineRule="exact"/>
      </w:pPr>
      <w:r>
        <w:rPr>
          <w:rFonts w:ascii="Arial" w:hAnsi="Arial"/>
          <w:b/>
          <w:i w:val="0"/>
          <w:color w:val="2C2A26"/>
          <w:sz w:val="22"/>
        </w:rPr>
        <w:t>5.2  Phase 3 — Multimodal Fusion Ablation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Phase 3 evaluates all 7 modality combinations (G, E, I, G+E, G+I, E+I, G+E+I) on the Stage 1 transmission linkage task using 5-fold stratified CV. Genomic (G) features are derived from the pairwise feature matrix (9 dims). Epi/Env (E) features are national-level aggregates (3 dims). Imaging (I) features are mean-pooled BiomedCLIP embeddings reduced to 8 dims via PCA.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4536"/>
        <w:gridCol w:w="4536"/>
      </w:tblGrid>
      <w:tr>
        <w:tc>
          <w:tcPr>
            <w:tcW w:type="dxa" w:w="403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 file</w:t>
            </w:r>
          </w:p>
        </w:tc>
        <w:tc>
          <w:tcPr>
            <w:tcW w:type="dxa" w:w="5904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result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output_phase3_ablation_results.csv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G+I best: AUC=0.984; G alone: AUC=0.983; E alone: AUC=0.500; I alone: AUC=0.500</w:t>
            </w:r>
          </w:p>
        </w:tc>
      </w:tr>
      <w:tr>
        <w:tc>
          <w:tcPr>
            <w:tcW w:type="dxa" w:w="403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output_phase4_validation_summary.csv</w:t>
            </w:r>
          </w:p>
        </w:tc>
        <w:tc>
          <w:tcPr>
            <w:tcW w:type="dxa" w:w="5904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Cross-stage AUC summary: S1=0.924, S2=0.707, S3=0.951, Fusion=0.983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AF9F3" w:val="clear"/>
            <w:tcBorders>
              <w:start w:val="single" w:sz="18" w:color="D4A04A" w:space="0"/>
              <w:top w:val="single" w:sz="4" w:color="D5CFC5" w:space="0"/>
              <w:bottom w:val="single" w:sz="4" w:color="D5CFC5" w:space="0"/>
              <w:end w:val="single" w:sz="4" w:color="D5CFC5" w:space="0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20"/>
              </w:rPr>
              <w:t xml:space="preserve">Architectural constraint: </w:t>
            </w:r>
            <w:r>
              <w:rPr>
                <w:rFonts w:ascii="Arial" w:hAnsi="Arial"/>
                <w:b w:val="0"/>
                <w:i w:val="0"/>
                <w:color w:val="2C2A26"/>
                <w:sz w:val="20"/>
              </w:rPr>
              <w:t>E and I features are at chance (AUC=0.500) in the ablation because epi features are national-level aggregates (not matched per case pair) and imaging features are mean-pooled proxies (no per-patient rash images exist in the OAW dataset). This is a data architecture limitation, not a model failure.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rPr>
          <w:rFonts w:ascii="Arial" w:hAnsi="Arial"/>
          <w:color w:val="111111"/>
        </w:rPr>
        <w:t>6. Recommended Additional Datasets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The following public datasets would most improve model generalizability and predictive performance if incorporated in future work. Datasets are ranked by expected impact.</w:t>
      </w:r>
    </w:p>
    <w:p>
      <w:pPr>
        <w:pStyle w:val="Heading2"/>
        <w:spacing w:before="240" w:after="160"/>
      </w:pPr>
      <w:r>
        <w:rPr>
          <w:rFonts w:ascii="Arial" w:hAnsi="Arial"/>
          <w:color w:val="111111"/>
        </w:rPr>
        <w:t>6.1  Stage 1 — Multi-Genotype WGS for Transmission Linkage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The current Stage 1 model is trained exclusively on 42 OAW B3 genotype sequences. Adding multi-genotype WGS data would enable cross-genotype generalization and substantially increase training set size.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16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Dataset</w:t>
            </w:r>
          </w:p>
        </w:tc>
        <w:tc>
          <w:tcPr>
            <w:tcW w:type="dxa" w:w="187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Access URL / ID</w:t>
            </w:r>
          </w:p>
        </w:tc>
        <w:tc>
          <w:tcPr>
            <w:tcW w:type="dxa" w:w="1728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NCBI GenBank</w:t>
              <w:br/>
              <w:t>Measles WGS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NCBI GenBank (Entrez)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https://www.ncbi.nlm.nih.gov/genbank</w:t>
              <w:br/>
              <w:t>Search: Measles morbillivirus[Organism]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~1,000 full genomes</w:t>
              <w:br/>
              <w:t>~19,000 N450 seqs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HIGH: Multi-genotype (B3, D8, A) training; 20× more sequences; enables cross-genotype validation</w:t>
            </w:r>
          </w:p>
        </w:tc>
      </w:tr>
      <w:tr>
        <w:tc>
          <w:tcPr>
            <w:tcW w:type="dxa" w:w="201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Nextstrain Measles</w:t>
              <w:br/>
              <w:t>Metadata + Phylogeny</w:t>
            </w:r>
          </w:p>
        </w:tc>
        <w:tc>
          <w:tcPr>
            <w:tcW w:type="dxa" w:w="187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Nextstrain.org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https://nextstrain.org/measles</w:t>
              <w:br/>
              <w:t>Daily-updated TSV download</w:t>
            </w:r>
          </w:p>
        </w:tc>
        <w:tc>
          <w:tcPr>
            <w:tcW w:type="dxa" w:w="1728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19,000+ sequences</w:t>
              <w:br/>
              <w:t>with genotype labels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HIGH: Pre-curated phylogenetic metadata, WHO genotype assignments, DSId hashes; no alignment needed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Romania 2024 Outbreak</w:t>
              <w:br/>
              <w:t>WGS (PRJNA1145141)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NCBI BioProject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https://www.ncbi.nlm.nih.gov/bioproject/1145141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124 WGS sequences</w:t>
              <w:br/>
              <w:t>D8 + B3, 2024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HIGH: Immediate external validation set; two co-circulating genotypes; clinical severity metadata</w:t>
            </w:r>
          </w:p>
        </w:tc>
      </w:tr>
      <w:tr>
        <w:tc>
          <w:tcPr>
            <w:tcW w:type="dxa" w:w="201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WHO MeaNS2</w:t>
              <w:br/>
              <w:t>N450 Database</w:t>
            </w:r>
          </w:p>
        </w:tc>
        <w:tc>
          <w:tcPr>
            <w:tcW w:type="dxa" w:w="187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WHO MeaNS2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https://measles.genenames.org</w:t>
              <w:br/>
              <w:t>(registration required)</w:t>
            </w:r>
          </w:p>
        </w:tc>
        <w:tc>
          <w:tcPr>
            <w:tcW w:type="dxa" w:w="1728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19,000+ N450 seqs</w:t>
              <w:br/>
              <w:t>with DSId hashes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MEDIUM: WHO-standardized genotype assignments; DSId hashing for identical-sequence clustering</w:t>
            </w:r>
          </w:p>
        </w:tc>
      </w:tr>
    </w:tbl>
    <w:p>
      <w:pPr>
        <w:pStyle w:val="Heading2"/>
        <w:spacing w:before="240" w:after="160"/>
      </w:pPr>
      <w:r>
        <w:rPr>
          <w:rFonts w:ascii="Arial" w:hAnsi="Arial"/>
          <w:color w:val="111111"/>
        </w:rPr>
        <w:t>6.2  Stage 2 — Outbreak Risk Prediction</w:t>
      </w:r>
    </w:p>
    <w:p>
      <w:pPr>
        <w:spacing w:after="160" w:before="0" w:line="300" w:lineRule="exact"/>
      </w:pPr>
      <w:r>
        <w:rPr>
          <w:rFonts w:ascii="Arial" w:hAnsi="Arial"/>
          <w:b w:val="0"/>
          <w:i w:val="0"/>
          <w:color w:val="2C2A26"/>
          <w:sz w:val="22"/>
        </w:rPr>
        <w:t>Stage 2 currently uses state-level MMR coverage and a failed NNDSS API pull. County-level granularity and reliable case count data would substantially improve spatial resolution and the positive class rate.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CFC5" w:space="0"/>
          <w:left w:val="single" w:sz="4" w:color="D5CFC5" w:space="0"/>
          <w:bottom w:val="single" w:sz="4" w:color="D5CFC5" w:space="0"/>
          <w:right w:val="single" w:sz="4" w:color="D5CFC5" w:space="0"/>
          <w:insideH w:val="single" w:sz="4" w:color="D5CFC5" w:space="0"/>
          <w:insideV w:val="single" w:sz="4" w:color="D5CFC5" w:space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16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Dataset</w:t>
            </w:r>
          </w:p>
        </w:tc>
        <w:tc>
          <w:tcPr>
            <w:tcW w:type="dxa" w:w="1872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Access URL / ID</w:t>
            </w:r>
          </w:p>
        </w:tc>
        <w:tc>
          <w:tcPr>
            <w:tcW w:type="dxa" w:w="1728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D4A04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CDC SchoolVaxView</w:t>
              <w:br/>
              <w:t>County-Level MMR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data.cdc.gov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https://data.cdc.gov/Vaccinations/</w:t>
              <w:br/>
              <w:t>Dataset ID: ijqb-a7ye</w:t>
              <w:br/>
              <w:t>Socrata REST API (free)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51 states + counties</w:t>
              <w:br/>
              <w:t>2016–2025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HIGH: County-level MMR coverage + exemption rates; currently only state-level; enables spatial hotspot detection</w:t>
            </w:r>
          </w:p>
        </w:tc>
      </w:tr>
      <w:tr>
        <w:tc>
          <w:tcPr>
            <w:tcW w:type="dxa" w:w="201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NNDSS Weekly</w:t>
              <w:br/>
              <w:t>Measles Cases</w:t>
            </w:r>
          </w:p>
        </w:tc>
        <w:tc>
          <w:tcPr>
            <w:tcW w:type="dxa" w:w="187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WONDER / NNDSS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https://wonder.cdc.gov/nndss.html</w:t>
              <w:br/>
              <w:t>Dataset ID: x9gk-5huc</w:t>
              <w:br/>
              <w:t>Socrata REST API (free)</w:t>
            </w:r>
          </w:p>
        </w:tc>
        <w:tc>
          <w:tcPr>
            <w:tcW w:type="dxa" w:w="1728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Weekly state-level</w:t>
              <w:br/>
              <w:t>2014–2025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HIGH: Reliable weekly case counts; current NNDSS pull returned API error; fixes the primary outcome variable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CDC Measles Outbreak</w:t>
              <w:br/>
              <w:t>Investigation Reports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Measles Data Page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https://www.cdc.gov/measles/data-research/</w:t>
              <w:br/>
              <w:t>Manual download (PDF/HTML)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2024–2025 US outbreaks</w:t>
              <w:br/>
              <w:t>(size, genotype, setting)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MEDIUM: Outbreak-level metadata (school/community/healthcare setting); enables setting-stratified risk models</w:t>
            </w:r>
          </w:p>
        </w:tc>
      </w:tr>
      <w:tr>
        <w:tc>
          <w:tcPr>
            <w:tcW w:type="dxa" w:w="2016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C2A26"/>
                <w:sz w:val="18"/>
              </w:rPr>
              <w:t>State-Level NME</w:t>
              <w:br/>
              <w:t>Exemption Rates (2025)</w:t>
            </w:r>
          </w:p>
        </w:tc>
        <w:tc>
          <w:tcPr>
            <w:tcW w:type="dxa" w:w="1872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CDC SchoolVaxView</w:t>
              <w:br/>
              <w:t>(2024–2025 school year)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https://www.cdc.gov/schoolvaxview/data/index.html</w:t>
              <w:br/>
              <w:t>July 2025 update available</w:t>
            </w:r>
          </w:p>
        </w:tc>
        <w:tc>
          <w:tcPr>
            <w:tcW w:type="dxa" w:w="1728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51 states</w:t>
              <w:br/>
              <w:t>2024–2025</w:t>
            </w:r>
          </w:p>
        </w:tc>
        <w:tc>
          <w:tcPr>
            <w:tcW w:type="dxa" w:w="2880"/>
            <w:shd w:fill="F9F7F3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2C2A26"/>
                <w:sz w:val="18"/>
              </w:rPr>
              <w:t>MEDIUM: 2024–2025 exemption rates now available (3.6% national, 17 states &gt;5%); current data ends 2024</w:t>
            </w:r>
          </w:p>
        </w:tc>
      </w:tr>
    </w:tbl>
    <w:p>
      <w:pPr>
        <w:spacing w:after="160" w:before="0" w:line="300" w:lineRule="exact"/>
      </w:pPr>
      <w:r>
        <w:rPr>
          <w:rFonts w:ascii="Arial" w:hAnsi="Arial"/>
          <w:b w:val="0"/>
          <w:i/>
          <w:color w:val="8A8378"/>
          <w:sz w:val="18"/>
        </w:rPr>
        <w:t>Note: All recommended datasets are publicly available at no cost. NCBI GenBank and Socrata APIs require no registration. MeaNS2 requires a free WHO registration. CDC outbreak investigation reports require manual download.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D5CFC5" w:space="4"/>
      </w:pBdr>
    </w:pPr>
    <w:r>
      <w:rPr>
        <w:rFonts w:ascii="Arial" w:hAnsi="Arial"/>
        <w:color w:val="8A8378"/>
        <w:sz w:val="16"/>
      </w:rPr>
      <w:t xml:space="preserve">Page </w:t>
    </w:r>
    <w:r>
      <w:fldChar w:fldCharType="begin"/>
    </w:r>
    <w:r>
      <w:fldChar w:fldCharType="end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color="D4A04A" w:space="4"/>
      </w:pBdr>
    </w:pPr>
    <w:r/>
    <w:r>
      <w:rPr>
        <w:rFonts w:ascii="Arial" w:hAnsi="Arial"/>
        <w:color w:val="8A8378"/>
        <w:sz w:val="18"/>
      </w:rPr>
      <w:t>Measles Multimodal ML Pipeline — Data Sources &amp; Provenance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