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i w:val="0"/>
          <w:color w:val="111111"/>
          <w:sz w:val="52"/>
        </w:rPr>
        <w:t>Measles Multimodal ML Pipeline — Run Walkthrough</w:t>
      </w:r>
    </w:p>
    <w:p>
      <w:r>
        <w:rPr>
          <w:rFonts w:ascii="Arial" w:hAnsi="Arial"/>
          <w:b w:val="0"/>
          <w:i w:val="0"/>
          <w:color w:val="D4A04A"/>
          <w:sz w:val="22"/>
        </w:rPr>
        <w:t>Genomic + epidemiological + environmental + imaging fusion  |  reproducibility notebook</w:t>
      </w:r>
    </w:p>
    <w:p>
      <w:r>
        <w:rPr>
          <w:rFonts w:ascii="Arial" w:hAnsi="Arial"/>
          <w:b w:val="0"/>
          <w:i/>
          <w:color w:val="8A8378"/>
          <w:sz w:val="20"/>
        </w:rPr>
        <w:t>Measles Multimodal ML  |  AI Scientist, Albany, NY, USA 12205  |  Jiada Li</w:t>
      </w:r>
    </w:p>
    <w:p>
      <w:pPr>
        <w:pStyle w:val="Heading1"/>
      </w:pPr>
      <w:r>
        <w:rPr>
          <w:rFonts w:ascii="Arial" w:hAnsi="Arial"/>
          <w:b/>
          <w:i w:val="0"/>
          <w:color w:val="111111"/>
          <w:sz w:val="36"/>
        </w:rPr>
        <w:t>1. Overview</w:t>
      </w:r>
    </w:p>
    <w:p>
      <w:pPr>
        <w:spacing w:after="160" w:line="300" w:lineRule="exact"/>
      </w:pPr>
      <w:r>
        <w:rPr>
          <w:rFonts w:ascii="Arial" w:hAnsi="Arial"/>
          <w:b w:val="0"/>
          <w:i w:val="0"/>
          <w:color w:val="2C2A26"/>
          <w:sz w:val="22"/>
        </w:rPr>
        <w:t>End-to-end reproducibility notebook for the multimodal machine learning framework integrating genomic, epidemiological, environmental, and clinical imaging data for measles detection and transmission inference (manuscript prepared for Clinical Infectious Diseases). Covers Stage 1 (genomic embeddings + SNP features), Stage 2 (outbreak/temporal modeling), Stage 3 (imaging + BiomedCLIP), and Phases 2-4 (contrastive alignment, ablation, validation).</w:t>
      </w:r>
    </w:p>
    <w:p>
      <w:pPr>
        <w:spacing w:after="160" w:line="300" w:lineRule="exact"/>
      </w:pPr>
      <w:r>
        <w:rPr>
          <w:rFonts w:ascii="Arial" w:hAnsi="Arial"/>
          <w:b w:val="0"/>
          <w:i w:val="0"/>
          <w:color w:val="2C2A26"/>
          <w:sz w:val="22"/>
        </w:rPr>
        <w:t>Folder: measles_multimodal  |  Notebook: reproduce/reproduce_pipeline_v2.ipynb (33 cells).</w:t>
      </w:r>
    </w:p>
    <w:p>
      <w:pPr>
        <w:pStyle w:val="Heading1"/>
      </w:pPr>
      <w:r>
        <w:rPr>
          <w:rFonts w:ascii="Arial" w:hAnsi="Arial"/>
          <w:b/>
          <w:i w:val="0"/>
          <w:color w:val="111111"/>
          <w:sz w:val="36"/>
        </w:rPr>
        <w:t>2. Prerequisites</w:t>
      </w:r>
    </w:p>
    <w:tbl>
      <w:tblPr>
        <w:tblW w:type="auto" w:w="0"/>
        <w:jc w:val="center"/>
        <w:tblLook w:firstColumn="1" w:firstRow="1" w:lastColumn="0" w:lastRow="0" w:noHBand="0" w:noVBand="1" w:val="04A0"/>
        <w:tblBorders>
          <w:top w:val="single" w:sz="4" w:color="D5CFC5" w:space="0"/>
          <w:left w:val="single" w:sz="4" w:color="D5CFC5" w:space="0"/>
          <w:bottom w:val="single" w:sz="4" w:color="D5CFC5" w:space="0"/>
          <w:right w:val="single" w:sz="4" w:color="D5CFC5" w:space="0"/>
          <w:insideH w:val="single" w:sz="4" w:color="D5CFC5" w:space="0"/>
          <w:insideV w:val="single" w:sz="4" w:color="D5CFC5" w:space="0"/>
        </w:tblBorders>
      </w:tblPr>
      <w:tblGrid>
        <w:gridCol w:w="4680"/>
        <w:gridCol w:w="4680"/>
      </w:tblGrid>
      <w:tr>
        <w:tc>
          <w:tcPr>
            <w:tcW w:type="dxa" w:w="2304"/>
            <w:shd w:fill="D4A04A" w:val="clear"/>
            <w:tcMar>
              <w:top w:w="80" w:type="dxa"/>
              <w:bottom w:w="80" w:type="dxa"/>
              <w:start w:w="120" w:type="dxa"/>
              <w:end w:w="120" w:type="dxa"/>
            </w:tcMar>
          </w:tcPr>
          <w:p>
            <w:r/>
            <w:r>
              <w:rPr>
                <w:rFonts w:ascii="Arial" w:hAnsi="Arial"/>
                <w:b/>
                <w:i w:val="0"/>
                <w:color w:val="FFFFFF"/>
                <w:sz w:val="20"/>
              </w:rPr>
              <w:t>Requirement</w:t>
            </w:r>
          </w:p>
        </w:tc>
        <w:tc>
          <w:tcPr>
            <w:tcW w:type="dxa" w:w="7056"/>
            <w:shd w:fill="D4A04A" w:val="clear"/>
            <w:tcMar>
              <w:top w:w="80" w:type="dxa"/>
              <w:bottom w:w="80" w:type="dxa"/>
              <w:start w:w="120" w:type="dxa"/>
              <w:end w:w="120" w:type="dxa"/>
            </w:tcMar>
          </w:tcPr>
          <w:p>
            <w:r/>
            <w:r>
              <w:rPr>
                <w:rFonts w:ascii="Arial" w:hAnsi="Arial"/>
                <w:b/>
                <w:i w:val="0"/>
                <w:color w:val="FFFFFF"/>
                <w:sz w:val="20"/>
              </w:rPr>
              <w:t>Details</w:t>
            </w:r>
          </w:p>
        </w:tc>
      </w:tr>
      <w:tr>
        <w:tc>
          <w:tcPr>
            <w:tcW w:type="dxa" w:w="2304"/>
            <w:tcMar>
              <w:top w:w="80" w:type="dxa"/>
              <w:bottom w:w="80" w:type="dxa"/>
              <w:start w:w="120" w:type="dxa"/>
              <w:end w:w="120" w:type="dxa"/>
            </w:tcMar>
          </w:tcPr>
          <w:p>
            <w:r/>
            <w:r>
              <w:rPr>
                <w:rFonts w:ascii="Arial" w:hAnsi="Arial"/>
                <w:b/>
                <w:i w:val="0"/>
                <w:color w:val="2C2A26"/>
                <w:sz w:val="20"/>
              </w:rPr>
              <w:t>Python</w:t>
            </w:r>
          </w:p>
        </w:tc>
        <w:tc>
          <w:tcPr>
            <w:tcW w:type="dxa" w:w="7056"/>
            <w:tcMar>
              <w:top w:w="80" w:type="dxa"/>
              <w:bottom w:w="80" w:type="dxa"/>
              <w:start w:w="120" w:type="dxa"/>
              <w:end w:w="120" w:type="dxa"/>
            </w:tcMar>
          </w:tcPr>
          <w:p>
            <w:r/>
            <w:r>
              <w:rPr>
                <w:rFonts w:ascii="Arial" w:hAnsi="Arial"/>
                <w:b w:val="0"/>
                <w:i w:val="0"/>
                <w:color w:val="2C2A26"/>
                <w:sz w:val="20"/>
              </w:rPr>
              <w:t>3.10+ — `pip install -r reproduce/requirements.txt` (torch, open-clip-torch, scikit-learn, biopython, gdown, python-docx, ...)</w:t>
            </w:r>
          </w:p>
        </w:tc>
      </w:tr>
      <w:tr>
        <w:tc>
          <w:tcPr>
            <w:tcW w:type="dxa" w:w="2304"/>
            <w:shd w:fill="F9F7F3" w:val="clear"/>
            <w:tcMar>
              <w:top w:w="80" w:type="dxa"/>
              <w:bottom w:w="80" w:type="dxa"/>
              <w:start w:w="120" w:type="dxa"/>
              <w:end w:w="120" w:type="dxa"/>
            </w:tcMar>
          </w:tcPr>
          <w:p>
            <w:r/>
            <w:r>
              <w:rPr>
                <w:rFonts w:ascii="Arial" w:hAnsi="Arial"/>
                <w:b/>
                <w:i w:val="0"/>
                <w:color w:val="2C2A26"/>
                <w:sz w:val="20"/>
              </w:rPr>
              <w:t>MAFFT</w:t>
            </w:r>
          </w:p>
        </w:tc>
        <w:tc>
          <w:tcPr>
            <w:tcW w:type="dxa" w:w="7056"/>
            <w:shd w:fill="F9F7F3" w:val="clear"/>
            <w:tcMar>
              <w:top w:w="80" w:type="dxa"/>
              <w:bottom w:w="80" w:type="dxa"/>
              <w:start w:w="120" w:type="dxa"/>
              <w:end w:w="120" w:type="dxa"/>
            </w:tcMar>
          </w:tcPr>
          <w:p>
            <w:r/>
            <w:r>
              <w:rPr>
                <w:rFonts w:ascii="Consolas" w:hAnsi="Consolas"/>
                <w:b w:val="0"/>
                <w:i w:val="0"/>
                <w:color w:val="2C2A26"/>
                <w:sz w:val="18"/>
              </w:rPr>
              <w:t>conda install -c bioconda mafft` or `apt-get install mafft</w:t>
            </w:r>
          </w:p>
        </w:tc>
      </w:tr>
      <w:tr>
        <w:tc>
          <w:tcPr>
            <w:tcW w:type="dxa" w:w="2304"/>
            <w:tcMar>
              <w:top w:w="80" w:type="dxa"/>
              <w:bottom w:w="80" w:type="dxa"/>
              <w:start w:w="120" w:type="dxa"/>
              <w:end w:w="120" w:type="dxa"/>
            </w:tcMar>
          </w:tcPr>
          <w:p>
            <w:r/>
            <w:r>
              <w:rPr>
                <w:rFonts w:ascii="Arial" w:hAnsi="Arial"/>
                <w:b/>
                <w:i w:val="0"/>
                <w:color w:val="2C2A26"/>
                <w:sz w:val="20"/>
              </w:rPr>
              <w:t>MSLD v2.0 images</w:t>
            </w:r>
          </w:p>
        </w:tc>
        <w:tc>
          <w:tcPr>
            <w:tcW w:type="dxa" w:w="7056"/>
            <w:tcMar>
              <w:top w:w="80" w:type="dxa"/>
              <w:bottom w:w="80" w:type="dxa"/>
              <w:start w:w="120" w:type="dxa"/>
              <w:end w:w="120" w:type="dxa"/>
            </w:tcMar>
          </w:tcPr>
          <w:p>
            <w:r/>
            <w:r>
              <w:rPr>
                <w:rFonts w:ascii="Arial" w:hAnsi="Arial"/>
                <w:b w:val="0"/>
                <w:i w:val="0"/>
                <w:color w:val="2C2A26"/>
                <w:sz w:val="20"/>
              </w:rPr>
              <w:t>Downloaded automatically inside the notebook via gdown (Google Drive) — no Kaggle credentials needed</w:t>
            </w:r>
          </w:p>
        </w:tc>
      </w:tr>
      <w:tr>
        <w:tc>
          <w:tcPr>
            <w:tcW w:type="dxa" w:w="2304"/>
            <w:shd w:fill="F9F7F3" w:val="clear"/>
            <w:tcMar>
              <w:top w:w="80" w:type="dxa"/>
              <w:bottom w:w="80" w:type="dxa"/>
              <w:start w:w="120" w:type="dxa"/>
              <w:end w:w="120" w:type="dxa"/>
            </w:tcMar>
          </w:tcPr>
          <w:p>
            <w:r/>
            <w:r>
              <w:rPr>
                <w:rFonts w:ascii="Arial" w:hAnsi="Arial"/>
                <w:b/>
                <w:i w:val="0"/>
                <w:color w:val="2C2A26"/>
                <w:sz w:val="20"/>
              </w:rPr>
              <w:t>Input data</w:t>
            </w:r>
          </w:p>
        </w:tc>
        <w:tc>
          <w:tcPr>
            <w:tcW w:type="dxa" w:w="7056"/>
            <w:shd w:fill="F9F7F3" w:val="clear"/>
            <w:tcMar>
              <w:top w:w="80" w:type="dxa"/>
              <w:bottom w:w="80" w:type="dxa"/>
              <w:start w:w="120" w:type="dxa"/>
              <w:end w:w="120" w:type="dxa"/>
            </w:tcMar>
          </w:tcPr>
          <w:p>
            <w:r/>
            <w:r>
              <w:rPr>
                <w:rFonts w:ascii="Arial" w:hAnsi="Arial"/>
                <w:b w:val="0"/>
                <w:i w:val="0"/>
                <w:color w:val="2C2A26"/>
                <w:sz w:val="20"/>
              </w:rPr>
              <w:t>reproduce/data/ is pre-populated: genomic FASTAs (WGS 42 seqs, N450 14 seqs), OAW metadata, stage2 weekly feature matrices, stage3 imaging manifest + BiomedCLIP embedding cache</w:t>
            </w:r>
          </w:p>
        </w:tc>
      </w:tr>
      <w:tr>
        <w:tc>
          <w:tcPr>
            <w:tcW w:type="dxa" w:w="2304"/>
            <w:tcMar>
              <w:top w:w="80" w:type="dxa"/>
              <w:bottom w:w="80" w:type="dxa"/>
              <w:start w:w="120" w:type="dxa"/>
              <w:end w:w="120" w:type="dxa"/>
            </w:tcMar>
          </w:tcPr>
          <w:p>
            <w:r/>
            <w:r>
              <w:rPr>
                <w:rFonts w:ascii="Arial" w:hAnsi="Arial"/>
                <w:b/>
                <w:i w:val="0"/>
                <w:color w:val="2C2A26"/>
                <w:sz w:val="20"/>
              </w:rPr>
              <w:t>GPU</w:t>
            </w:r>
          </w:p>
        </w:tc>
        <w:tc>
          <w:tcPr>
            <w:tcW w:type="dxa" w:w="7056"/>
            <w:tcMar>
              <w:top w:w="80" w:type="dxa"/>
              <w:bottom w:w="80" w:type="dxa"/>
              <w:start w:w="120" w:type="dxa"/>
              <w:end w:w="120" w:type="dxa"/>
            </w:tcMar>
          </w:tcPr>
          <w:p>
            <w:r/>
            <w:r>
              <w:rPr>
                <w:rFonts w:ascii="Arial" w:hAnsi="Arial"/>
                <w:b w:val="0"/>
                <w:i w:val="0"/>
                <w:color w:val="2C2A26"/>
                <w:sz w:val="20"/>
              </w:rPr>
              <w:t>Optional but recommended for BiomedCLIP embedding; DNABERT-2 requires GPU + einops (k-mer TF-IDF SVD fallback is automatic and validated)</w:t>
            </w:r>
          </w:p>
        </w:tc>
      </w:tr>
    </w:tbl>
    <w:p>
      <w:pPr>
        <w:spacing w:after="80"/>
      </w:pPr>
    </w:p>
    <w:p>
      <w:pPr>
        <w:pStyle w:val="Heading1"/>
      </w:pPr>
      <w:r>
        <w:rPr>
          <w:rFonts w:ascii="Arial" w:hAnsi="Arial"/>
          <w:b/>
          <w:i w:val="0"/>
          <w:color w:val="111111"/>
          <w:sz w:val="36"/>
        </w:rPr>
        <w:t>3. How to run</w:t>
      </w:r>
    </w:p>
    <w:p>
      <w:pPr>
        <w:spacing w:after="120"/>
        <w:ind w:left="360"/>
        <w:shd w:fill="F9F7F3" w:val="clear"/>
      </w:pPr>
      <w:r>
        <w:rPr>
          <w:rFonts w:ascii="Consolas" w:hAnsi="Consolas"/>
          <w:b w:val="0"/>
          <w:i w:val="0"/>
          <w:color w:val="111111"/>
          <w:sz w:val="20"/>
        </w:rPr>
        <w:t>cd measles_multimodal/reproduce</w:t>
        <w:br/>
        <w:t>pip install -r requirements.txt</w:t>
        <w:br/>
        <w:t>jupyter notebook reproduce_pipeline_v2.ipynb</w:t>
      </w:r>
    </w:p>
    <w:p>
      <w:pPr>
        <w:pStyle w:val="ListBullet"/>
        <w:spacing w:after="80"/>
      </w:pPr>
      <w:r>
        <w:rPr>
          <w:rFonts w:ascii="Arial" w:hAnsi="Arial"/>
          <w:b/>
          <w:i w:val="0"/>
          <w:color w:val="2C2A26"/>
          <w:sz w:val="22"/>
        </w:rPr>
        <w:t xml:space="preserve">Step 1. </w:t>
      </w:r>
      <w:r>
        <w:rPr>
          <w:rFonts w:ascii="Arial" w:hAnsi="Arial"/>
          <w:b w:val="0"/>
          <w:i w:val="0"/>
          <w:color w:val="2C2A26"/>
          <w:sz w:val="22"/>
        </w:rPr>
        <w:t>Run cells in order. Cell 2 sets the pipeline root and checks packages.</w:t>
      </w:r>
    </w:p>
    <w:p>
      <w:pPr>
        <w:pStyle w:val="ListBullet"/>
        <w:spacing w:after="80"/>
      </w:pPr>
      <w:r>
        <w:rPr>
          <w:rFonts w:ascii="Arial" w:hAnsi="Arial"/>
          <w:b/>
          <w:i w:val="0"/>
          <w:color w:val="2C2A26"/>
          <w:sz w:val="22"/>
        </w:rPr>
        <w:t xml:space="preserve">Step 2. </w:t>
      </w:r>
      <w:r>
        <w:rPr>
          <w:rFonts w:ascii="Arial" w:hAnsi="Arial"/>
          <w:b w:val="0"/>
          <w:i w:val="0"/>
          <w:color w:val="2C2A26"/>
          <w:sz w:val="22"/>
        </w:rPr>
        <w:t>The input-file check cell reports any missing Phase 0 data; ingestion scripts are only needed if files are absent.</w:t>
      </w:r>
    </w:p>
    <w:p>
      <w:pPr>
        <w:pStyle w:val="ListBullet"/>
        <w:spacing w:after="80"/>
      </w:pPr>
      <w:r>
        <w:rPr>
          <w:rFonts w:ascii="Arial" w:hAnsi="Arial"/>
          <w:b/>
          <w:i w:val="0"/>
          <w:color w:val="2C2A26"/>
          <w:sz w:val="22"/>
        </w:rPr>
        <w:t xml:space="preserve">Step 3. </w:t>
      </w:r>
      <w:r>
        <w:rPr>
          <w:rFonts w:ascii="Arial" w:hAnsi="Arial"/>
          <w:b w:val="0"/>
          <w:i w:val="0"/>
          <w:color w:val="2C2A26"/>
          <w:sz w:val="22"/>
        </w:rPr>
        <w:t>The gdown cell downloads MSLD v2.0 images on first use.</w:t>
      </w:r>
    </w:p>
    <w:p>
      <w:pPr>
        <w:pStyle w:val="ListBullet"/>
        <w:spacing w:after="80"/>
      </w:pPr>
      <w:r>
        <w:rPr>
          <w:rFonts w:ascii="Arial" w:hAnsi="Arial"/>
          <w:b/>
          <w:i w:val="0"/>
          <w:color w:val="2C2A26"/>
          <w:sz w:val="22"/>
        </w:rPr>
        <w:t xml:space="preserve">Step 4. </w:t>
      </w:r>
      <w:r>
        <w:rPr>
          <w:rFonts w:ascii="Arial" w:hAnsi="Arial"/>
          <w:b w:val="0"/>
          <w:i w:val="0"/>
          <w:color w:val="2C2A26"/>
          <w:sz w:val="22"/>
        </w:rPr>
        <w:t>Continue through Stage 1-3 and Phase 2-4 sections; figures display inline and results are saved as CSV/JSON alongside the notebook.</w:t>
      </w:r>
    </w:p>
    <w:p>
      <w:pPr>
        <w:pStyle w:val="Heading1"/>
      </w:pPr>
      <w:r>
        <w:rPr>
          <w:rFonts w:ascii="Arial" w:hAnsi="Arial"/>
          <w:b/>
          <w:i w:val="0"/>
          <w:color w:val="111111"/>
          <w:sz w:val="36"/>
        </w:rPr>
        <w:t>4. Expected outputs</w:t>
      </w:r>
    </w:p>
    <w:tbl>
      <w:tblPr>
        <w:tblW w:type="auto" w:w="0"/>
        <w:jc w:val="center"/>
        <w:tblLook w:firstColumn="1" w:firstRow="1" w:lastColumn="0" w:lastRow="0" w:noHBand="0" w:noVBand="1" w:val="04A0"/>
        <w:tblBorders>
          <w:top w:val="single" w:sz="4" w:color="D5CFC5" w:space="0"/>
          <w:left w:val="single" w:sz="4" w:color="D5CFC5" w:space="0"/>
          <w:bottom w:val="single" w:sz="4" w:color="D5CFC5" w:space="0"/>
          <w:right w:val="single" w:sz="4" w:color="D5CFC5" w:space="0"/>
          <w:insideH w:val="single" w:sz="4" w:color="D5CFC5" w:space="0"/>
          <w:insideV w:val="single" w:sz="4" w:color="D5CFC5" w:space="0"/>
        </w:tblBorders>
      </w:tblPr>
      <w:tblGrid>
        <w:gridCol w:w="4680"/>
        <w:gridCol w:w="4680"/>
      </w:tblGrid>
      <w:tr>
        <w:tc>
          <w:tcPr>
            <w:tcW w:type="dxa" w:w="3456"/>
            <w:shd w:fill="D4A04A" w:val="clear"/>
            <w:tcMar>
              <w:top w:w="80" w:type="dxa"/>
              <w:bottom w:w="80" w:type="dxa"/>
              <w:start w:w="120" w:type="dxa"/>
              <w:end w:w="120" w:type="dxa"/>
            </w:tcMar>
          </w:tcPr>
          <w:p>
            <w:r/>
            <w:r>
              <w:rPr>
                <w:rFonts w:ascii="Arial" w:hAnsi="Arial"/>
                <w:b/>
                <w:i w:val="0"/>
                <w:color w:val="FFFFFF"/>
                <w:sz w:val="20"/>
              </w:rPr>
              <w:t>Output</w:t>
            </w:r>
          </w:p>
        </w:tc>
        <w:tc>
          <w:tcPr>
            <w:tcW w:type="dxa" w:w="5904"/>
            <w:shd w:fill="D4A04A" w:val="clear"/>
            <w:tcMar>
              <w:top w:w="80" w:type="dxa"/>
              <w:bottom w:w="80" w:type="dxa"/>
              <w:start w:w="120" w:type="dxa"/>
              <w:end w:w="120" w:type="dxa"/>
            </w:tcMar>
          </w:tcPr>
          <w:p>
            <w:r/>
            <w:r>
              <w:rPr>
                <w:rFonts w:ascii="Arial" w:hAnsi="Arial"/>
                <w:b/>
                <w:i w:val="0"/>
                <w:color w:val="FFFFFF"/>
                <w:sz w:val="20"/>
              </w:rPr>
              <w:t>Location</w:t>
            </w:r>
          </w:p>
        </w:tc>
      </w:tr>
      <w:tr>
        <w:tc>
          <w:tcPr>
            <w:tcW w:type="dxa" w:w="3456"/>
            <w:tcMar>
              <w:top w:w="80" w:type="dxa"/>
              <w:bottom w:w="80" w:type="dxa"/>
              <w:start w:w="120" w:type="dxa"/>
              <w:end w:w="120" w:type="dxa"/>
            </w:tcMar>
          </w:tcPr>
          <w:p>
            <w:r/>
            <w:r>
              <w:rPr>
                <w:rFonts w:ascii="Arial" w:hAnsi="Arial"/>
                <w:b/>
                <w:i w:val="0"/>
                <w:color w:val="2C2A26"/>
                <w:sz w:val="20"/>
              </w:rPr>
              <w:t>Stage 1-3 figures</w:t>
            </w:r>
          </w:p>
        </w:tc>
        <w:tc>
          <w:tcPr>
            <w:tcW w:type="dxa" w:w="5904"/>
            <w:tcMar>
              <w:top w:w="80" w:type="dxa"/>
              <w:bottom w:w="80" w:type="dxa"/>
              <w:start w:w="120" w:type="dxa"/>
              <w:end w:w="120" w:type="dxa"/>
            </w:tcMar>
          </w:tcPr>
          <w:p>
            <w:r/>
            <w:r>
              <w:rPr>
                <w:rFonts w:ascii="Arial" w:hAnsi="Arial"/>
                <w:b w:val="0"/>
                <w:i w:val="0"/>
                <w:color w:val="2C2A26"/>
                <w:sz w:val="20"/>
              </w:rPr>
              <w:t>measles_multimodal/ root: stage1_genomic_results.png, stage2_outbreak_results.png, stage2_temporal_analysis.png, stage3_imaging_results.png</w:t>
            </w:r>
          </w:p>
        </w:tc>
      </w:tr>
      <w:tr>
        <w:tc>
          <w:tcPr>
            <w:tcW w:type="dxa" w:w="3456"/>
            <w:shd w:fill="F9F7F3" w:val="clear"/>
            <w:tcMar>
              <w:top w:w="80" w:type="dxa"/>
              <w:bottom w:w="80" w:type="dxa"/>
              <w:start w:w="120" w:type="dxa"/>
              <w:end w:w="120" w:type="dxa"/>
            </w:tcMar>
          </w:tcPr>
          <w:p>
            <w:r/>
            <w:r>
              <w:rPr>
                <w:rFonts w:ascii="Arial" w:hAnsi="Arial"/>
                <w:b/>
                <w:i w:val="0"/>
                <w:color w:val="2C2A26"/>
                <w:sz w:val="20"/>
              </w:rPr>
              <w:t>Phase 2-4 figures</w:t>
            </w:r>
          </w:p>
        </w:tc>
        <w:tc>
          <w:tcPr>
            <w:tcW w:type="dxa" w:w="5904"/>
            <w:shd w:fill="F9F7F3" w:val="clear"/>
            <w:tcMar>
              <w:top w:w="80" w:type="dxa"/>
              <w:bottom w:w="80" w:type="dxa"/>
              <w:start w:w="120" w:type="dxa"/>
              <w:end w:w="120" w:type="dxa"/>
            </w:tcMar>
          </w:tcPr>
          <w:p>
            <w:r/>
            <w:r>
              <w:rPr>
                <w:rFonts w:ascii="Arial" w:hAnsi="Arial"/>
                <w:b w:val="0"/>
                <w:i w:val="0"/>
                <w:color w:val="2C2A26"/>
                <w:sz w:val="20"/>
              </w:rPr>
              <w:t>phase2_contrastive_alignment.png, phase2_oaw_genomic_shared_space.png, phase3_ablation_results.png, phase4_validation_summary.png</w:t>
            </w:r>
          </w:p>
        </w:tc>
      </w:tr>
      <w:tr>
        <w:tc>
          <w:tcPr>
            <w:tcW w:type="dxa" w:w="3456"/>
            <w:tcMar>
              <w:top w:w="80" w:type="dxa"/>
              <w:bottom w:w="80" w:type="dxa"/>
              <w:start w:w="120" w:type="dxa"/>
              <w:end w:w="120" w:type="dxa"/>
            </w:tcMar>
          </w:tcPr>
          <w:p>
            <w:r/>
            <w:r>
              <w:rPr>
                <w:rFonts w:ascii="Arial" w:hAnsi="Arial"/>
                <w:b/>
                <w:i w:val="0"/>
                <w:color w:val="2C2A26"/>
                <w:sz w:val="20"/>
              </w:rPr>
              <w:t>Result tables</w:t>
            </w:r>
          </w:p>
        </w:tc>
        <w:tc>
          <w:tcPr>
            <w:tcW w:type="dxa" w:w="5904"/>
            <w:tcMar>
              <w:top w:w="80" w:type="dxa"/>
              <w:bottom w:w="80" w:type="dxa"/>
              <w:start w:w="120" w:type="dxa"/>
              <w:end w:w="120" w:type="dxa"/>
            </w:tcMar>
          </w:tcPr>
          <w:p>
            <w:r/>
            <w:r>
              <w:rPr>
                <w:rFonts w:ascii="Arial" w:hAnsi="Arial"/>
                <w:b w:val="0"/>
                <w:i w:val="0"/>
                <w:color w:val="2C2A26"/>
                <w:sz w:val="20"/>
              </w:rPr>
              <w:t>reproduce/data/output_*.csv (CV results, feature importance, ablation, validation summary) and stage3_fold_results.csv</w:t>
            </w:r>
          </w:p>
        </w:tc>
      </w:tr>
      <w:tr>
        <w:tc>
          <w:tcPr>
            <w:tcW w:type="dxa" w:w="3456"/>
            <w:shd w:fill="F9F7F3" w:val="clear"/>
            <w:tcMar>
              <w:top w:w="80" w:type="dxa"/>
              <w:bottom w:w="80" w:type="dxa"/>
              <w:start w:w="120" w:type="dxa"/>
              <w:end w:w="120" w:type="dxa"/>
            </w:tcMar>
          </w:tcPr>
          <w:p>
            <w:r/>
            <w:r>
              <w:rPr>
                <w:rFonts w:ascii="Arial" w:hAnsi="Arial"/>
                <w:b/>
                <w:i w:val="0"/>
                <w:color w:val="2C2A26"/>
                <w:sz w:val="20"/>
              </w:rPr>
              <w:t>Model checkpoints</w:t>
            </w:r>
          </w:p>
        </w:tc>
        <w:tc>
          <w:tcPr>
            <w:tcW w:type="dxa" w:w="5904"/>
            <w:shd w:fill="F9F7F3" w:val="clear"/>
            <w:tcMar>
              <w:top w:w="80" w:type="dxa"/>
              <w:bottom w:w="80" w:type="dxa"/>
              <w:start w:w="120" w:type="dxa"/>
              <w:end w:w="120" w:type="dxa"/>
            </w:tcMar>
          </w:tcPr>
          <w:p>
            <w:r/>
            <w:r>
              <w:rPr>
                <w:rFonts w:ascii="Arial" w:hAnsi="Arial"/>
                <w:b w:val="0"/>
                <w:i w:val="0"/>
                <w:color w:val="2C2A26"/>
                <w:sz w:val="20"/>
              </w:rPr>
              <w:t>reproduce/data/model_phase2_projection_heads.pt, model_stage2_lstm.pt</w:t>
            </w:r>
          </w:p>
        </w:tc>
      </w:tr>
    </w:tbl>
    <w:p>
      <w:pPr>
        <w:spacing w:after="80"/>
      </w:pPr>
    </w:p>
    <w:p>
      <w:pPr>
        <w:pStyle w:val="Heading1"/>
      </w:pPr>
      <w:r>
        <w:rPr>
          <w:rFonts w:ascii="Arial" w:hAnsi="Arial"/>
          <w:b/>
          <w:i w:val="0"/>
          <w:color w:val="111111"/>
          <w:sz w:val="36"/>
        </w:rPr>
        <w:t>5. Known constraints and troubleshooting</w:t>
      </w:r>
    </w:p>
    <w:tbl>
      <w:tblPr>
        <w:tblW w:type="auto" w:w="0"/>
        <w:jc w:val="center"/>
        <w:tblLook w:firstColumn="1" w:firstRow="1" w:lastColumn="0" w:lastRow="0" w:noHBand="0" w:noVBand="1" w:val="04A0"/>
        <w:tblBorders>
          <w:top w:val="single" w:sz="4" w:color="D5CFC5" w:space="0"/>
          <w:left w:val="single" w:sz="4" w:color="D5CFC5" w:space="0"/>
          <w:bottom w:val="single" w:sz="4" w:color="D5CFC5" w:space="0"/>
          <w:right w:val="single" w:sz="4" w:color="D5CFC5" w:space="0"/>
          <w:insideH w:val="single" w:sz="4" w:color="D5CFC5" w:space="0"/>
          <w:insideV w:val="single" w:sz="4" w:color="D5CFC5" w:space="0"/>
        </w:tblBorders>
      </w:tblPr>
      <w:tblGrid>
        <w:gridCol w:w="4680"/>
        <w:gridCol w:w="4680"/>
      </w:tblGrid>
      <w:tr>
        <w:tc>
          <w:tcPr>
            <w:tcW w:type="dxa" w:w="3168"/>
            <w:shd w:fill="D4A04A" w:val="clear"/>
            <w:tcMar>
              <w:top w:w="80" w:type="dxa"/>
              <w:bottom w:w="80" w:type="dxa"/>
              <w:start w:w="120" w:type="dxa"/>
              <w:end w:w="120" w:type="dxa"/>
            </w:tcMar>
          </w:tcPr>
          <w:p>
            <w:r/>
            <w:r>
              <w:rPr>
                <w:rFonts w:ascii="Arial" w:hAnsi="Arial"/>
                <w:b/>
                <w:i w:val="0"/>
                <w:color w:val="FFFFFF"/>
                <w:sz w:val="20"/>
              </w:rPr>
              <w:t>Symptom / constraint</w:t>
            </w:r>
          </w:p>
        </w:tc>
        <w:tc>
          <w:tcPr>
            <w:tcW w:type="dxa" w:w="6192"/>
            <w:shd w:fill="D4A04A" w:val="clear"/>
            <w:tcMar>
              <w:top w:w="80" w:type="dxa"/>
              <w:bottom w:w="80" w:type="dxa"/>
              <w:start w:w="120" w:type="dxa"/>
              <w:end w:w="120" w:type="dxa"/>
            </w:tcMar>
          </w:tcPr>
          <w:p>
            <w:r/>
            <w:r>
              <w:rPr>
                <w:rFonts w:ascii="Arial" w:hAnsi="Arial"/>
                <w:b/>
                <w:i w:val="0"/>
                <w:color w:val="FFFFFF"/>
                <w:sz w:val="20"/>
              </w:rPr>
              <w:t>Fix / note</w:t>
            </w:r>
          </w:p>
        </w:tc>
      </w:tr>
      <w:tr>
        <w:tc>
          <w:tcPr>
            <w:tcW w:type="dxa" w:w="3168"/>
            <w:tcMar>
              <w:top w:w="80" w:type="dxa"/>
              <w:bottom w:w="80" w:type="dxa"/>
              <w:start w:w="120" w:type="dxa"/>
              <w:end w:w="120" w:type="dxa"/>
            </w:tcMar>
          </w:tcPr>
          <w:p>
            <w:r/>
            <w:r>
              <w:rPr>
                <w:rFonts w:ascii="Arial" w:hAnsi="Arial"/>
                <w:b/>
                <w:i w:val="0"/>
                <w:color w:val="2C2A26"/>
                <w:sz w:val="20"/>
              </w:rPr>
              <w:t>DNABERT-2 unavailable</w:t>
            </w:r>
          </w:p>
        </w:tc>
        <w:tc>
          <w:tcPr>
            <w:tcW w:type="dxa" w:w="6192"/>
            <w:tcMar>
              <w:top w:w="80" w:type="dxa"/>
              <w:bottom w:w="80" w:type="dxa"/>
              <w:start w:w="120" w:type="dxa"/>
              <w:end w:w="120" w:type="dxa"/>
            </w:tcMar>
          </w:tcPr>
          <w:p>
            <w:r/>
            <w:r>
              <w:rPr>
                <w:rFonts w:ascii="Arial" w:hAnsi="Arial"/>
                <w:b w:val="0"/>
                <w:i w:val="0"/>
                <w:color w:val="2C2A26"/>
                <w:sz w:val="20"/>
              </w:rPr>
              <w:t>Expected without GPU + einops; the k-mer TF-IDF SVD fallback runs automatically and is validated in the manuscript</w:t>
            </w:r>
          </w:p>
        </w:tc>
      </w:tr>
      <w:tr>
        <w:tc>
          <w:tcPr>
            <w:tcW w:type="dxa" w:w="3168"/>
            <w:shd w:fill="F9F7F3" w:val="clear"/>
            <w:tcMar>
              <w:top w:w="80" w:type="dxa"/>
              <w:bottom w:w="80" w:type="dxa"/>
              <w:start w:w="120" w:type="dxa"/>
              <w:end w:w="120" w:type="dxa"/>
            </w:tcMar>
          </w:tcPr>
          <w:p>
            <w:r/>
            <w:r>
              <w:rPr>
                <w:rFonts w:ascii="Arial" w:hAnsi="Arial"/>
                <w:b/>
                <w:i w:val="0"/>
                <w:color w:val="2C2A26"/>
                <w:sz w:val="20"/>
              </w:rPr>
              <w:t>Wastewater features zero for 2022-2023</w:t>
            </w:r>
          </w:p>
        </w:tc>
        <w:tc>
          <w:tcPr>
            <w:tcW w:type="dxa" w:w="6192"/>
            <w:shd w:fill="F9F7F3" w:val="clear"/>
            <w:tcMar>
              <w:top w:w="80" w:type="dxa"/>
              <w:bottom w:w="80" w:type="dxa"/>
              <w:start w:w="120" w:type="dxa"/>
              <w:end w:w="120" w:type="dxa"/>
            </w:tcMar>
          </w:tcPr>
          <w:p>
            <w:r/>
            <w:r>
              <w:rPr>
                <w:rFonts w:ascii="Arial" w:hAnsi="Arial"/>
                <w:b w:val="0"/>
                <w:i w:val="0"/>
                <w:color w:val="2C2A26"/>
                <w:sz w:val="20"/>
              </w:rPr>
              <w:t>NWSS measles data covers 2024-2026 only — documented, not an error</w:t>
            </w:r>
          </w:p>
        </w:tc>
      </w:tr>
      <w:tr>
        <w:tc>
          <w:tcPr>
            <w:tcW w:type="dxa" w:w="3168"/>
            <w:tcMar>
              <w:top w:w="80" w:type="dxa"/>
              <w:bottom w:w="80" w:type="dxa"/>
              <w:start w:w="120" w:type="dxa"/>
              <w:end w:w="120" w:type="dxa"/>
            </w:tcMar>
          </w:tcPr>
          <w:p>
            <w:r/>
            <w:r>
              <w:rPr>
                <w:rFonts w:ascii="Arial" w:hAnsi="Arial"/>
                <w:b/>
                <w:i w:val="0"/>
                <w:color w:val="2C2A26"/>
                <w:sz w:val="20"/>
              </w:rPr>
              <w:t>Google Trends feature</w:t>
            </w:r>
          </w:p>
        </w:tc>
        <w:tc>
          <w:tcPr>
            <w:tcW w:type="dxa" w:w="6192"/>
            <w:tcMar>
              <w:top w:w="80" w:type="dxa"/>
              <w:bottom w:w="80" w:type="dxa"/>
              <w:start w:w="120" w:type="dxa"/>
              <w:end w:w="120" w:type="dxa"/>
            </w:tcMar>
          </w:tcPr>
          <w:p>
            <w:r/>
            <w:r>
              <w:rPr>
                <w:rFonts w:ascii="Arial" w:hAnsi="Arial"/>
                <w:b w:val="0"/>
                <w:i w:val="0"/>
                <w:color w:val="2C2A26"/>
                <w:sz w:val="20"/>
              </w:rPr>
              <w:t>Synthetic proxy (real API is rate-limited); replace with real data for prospective use</w:t>
            </w:r>
          </w:p>
        </w:tc>
      </w:tr>
      <w:tr>
        <w:tc>
          <w:tcPr>
            <w:tcW w:type="dxa" w:w="3168"/>
            <w:shd w:fill="F9F7F3" w:val="clear"/>
            <w:tcMar>
              <w:top w:w="80" w:type="dxa"/>
              <w:bottom w:w="80" w:type="dxa"/>
              <w:start w:w="120" w:type="dxa"/>
              <w:end w:w="120" w:type="dxa"/>
            </w:tcMar>
          </w:tcPr>
          <w:p>
            <w:r/>
            <w:r>
              <w:rPr>
                <w:rFonts w:ascii="Arial" w:hAnsi="Arial"/>
                <w:b/>
                <w:i w:val="0"/>
                <w:color w:val="2C2A26"/>
                <w:sz w:val="20"/>
              </w:rPr>
              <w:t>gdown download fails</w:t>
            </w:r>
          </w:p>
        </w:tc>
        <w:tc>
          <w:tcPr>
            <w:tcW w:type="dxa" w:w="6192"/>
            <w:shd w:fill="F9F7F3" w:val="clear"/>
            <w:tcMar>
              <w:top w:w="80" w:type="dxa"/>
              <w:bottom w:w="80" w:type="dxa"/>
              <w:start w:w="120" w:type="dxa"/>
              <w:end w:w="120" w:type="dxa"/>
            </w:tcMar>
          </w:tcPr>
          <w:p>
            <w:r/>
            <w:r>
              <w:rPr>
                <w:rFonts w:ascii="Arial" w:hAnsi="Arial"/>
                <w:b w:val="0"/>
                <w:i w:val="0"/>
                <w:color w:val="2C2A26"/>
                <w:sz w:val="20"/>
              </w:rPr>
              <w:t>Google Drive rate limits; retry later or place MSLD_v2_images manually under reproduce/data/</w:t>
            </w:r>
          </w:p>
        </w:tc>
      </w:tr>
      <w:tr>
        <w:tc>
          <w:tcPr>
            <w:tcW w:type="dxa" w:w="3168"/>
            <w:tcMar>
              <w:top w:w="80" w:type="dxa"/>
              <w:bottom w:w="80" w:type="dxa"/>
              <w:start w:w="120" w:type="dxa"/>
              <w:end w:w="120" w:type="dxa"/>
            </w:tcMar>
          </w:tcPr>
          <w:p>
            <w:r/>
            <w:r>
              <w:rPr>
                <w:rFonts w:ascii="Arial" w:hAnsi="Arial"/>
                <w:b/>
                <w:i w:val="0"/>
                <w:color w:val="2C2A26"/>
                <w:sz w:val="20"/>
              </w:rPr>
              <w:t>Slow BiomedCLIP stage</w:t>
            </w:r>
          </w:p>
        </w:tc>
        <w:tc>
          <w:tcPr>
            <w:tcW w:type="dxa" w:w="6192"/>
            <w:tcMar>
              <w:top w:w="80" w:type="dxa"/>
              <w:bottom w:w="80" w:type="dxa"/>
              <w:start w:w="120" w:type="dxa"/>
              <w:end w:w="120" w:type="dxa"/>
            </w:tcMar>
          </w:tcPr>
          <w:p>
            <w:r/>
            <w:r>
              <w:rPr>
                <w:rFonts w:ascii="Arial" w:hAnsi="Arial"/>
                <w:b w:val="0"/>
                <w:i w:val="0"/>
                <w:color w:val="2C2A26"/>
                <w:sz w:val="20"/>
              </w:rPr>
              <w:t>Run on a GPU runtime; the embedding cache (stage3_biomedclip_embeddings_cache.npz) prevents recompute</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