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D33929">
      <w:pPr>
        <w:numPr>
          <w:ilvl w:val="0"/>
          <w:numId w:val="0"/>
        </w:numPr>
        <w:bidi w:val="0"/>
        <w:jc w:val="center"/>
        <w:rPr>
          <w:rFonts w:hint="eastAsia"/>
          <w:lang w:val="en-US" w:eastAsia="zh-CN"/>
        </w:rPr>
      </w:pPr>
      <w:r>
        <w:rPr>
          <w:rFonts w:hint="eastAsia"/>
          <w:b/>
          <w:bCs/>
          <w:sz w:val="32"/>
          <w:szCs w:val="32"/>
          <w:lang w:val="en-US" w:eastAsia="zh-CN"/>
        </w:rPr>
        <w:t>融合多模态信息的简易自行瞄准装置</w:t>
      </w:r>
    </w:p>
    <w:p w14:paraId="0C9134B6">
      <w:pPr>
        <w:numPr>
          <w:ilvl w:val="0"/>
          <w:numId w:val="0"/>
        </w:numPr>
        <w:bidi w:val="0"/>
        <w:rPr>
          <w:rFonts w:hint="eastAsia"/>
          <w:b/>
          <w:bCs/>
          <w:sz w:val="28"/>
          <w:szCs w:val="28"/>
          <w:lang w:val="en-US" w:eastAsia="zh-CN"/>
        </w:rPr>
      </w:pPr>
      <w:r>
        <w:rPr>
          <w:rFonts w:hint="eastAsia"/>
          <w:b/>
          <w:bCs/>
          <w:sz w:val="28"/>
          <w:szCs w:val="28"/>
          <w:lang w:val="en-US" w:eastAsia="zh-CN"/>
        </w:rPr>
        <w:t>摘要:</w:t>
      </w:r>
    </w:p>
    <w:p w14:paraId="6D98ED49">
      <w:pPr>
        <w:numPr>
          <w:ilvl w:val="0"/>
          <w:numId w:val="0"/>
        </w:numPr>
        <w:bidi w:val="0"/>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本系统以TI MSPM0G3507单片机STM32F103C8T6构成的最小系统为控制核心，由405nm蓝紫光激光模组、二维舵机云台、K230开发板等模块构成，达到了高速高精度且模式可调的视觉打靶与灰度循迹的要求。</w:t>
      </w:r>
    </w:p>
    <w:p w14:paraId="08675AC0">
      <w:pPr>
        <w:numPr>
          <w:ilvl w:val="0"/>
          <w:numId w:val="0"/>
        </w:numPr>
        <w:bidi w:val="0"/>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功能由按键控制，还可对测量结果实时显示。K230视觉模块通过引入矩形透射变换方法追踪矩形目标靶，mAP50在0.95以上，显著优于基于LAB阈值的色块追踪方案，帧率可维持在20以上；舵机由STM32F103C8T6单片机控制，根据K230传回的靶心坐标进行精准旋转，将打靶误差缩小到2cm以内；小车以MSPM0G3507单片机为主控，通过灰度传感器与PID控制算法对行驶过程中产生的偏差进行补偿，将循迹误差控制在1cm以内，实现了高精度的灰度循迹。</w:t>
      </w:r>
    </w:p>
    <w:p w14:paraId="1105AA87">
      <w:pPr>
        <w:numPr>
          <w:ilvl w:val="0"/>
          <w:numId w:val="0"/>
        </w:numPr>
        <w:bidi w:val="0"/>
        <w:ind w:firstLine="240" w:firstLineChars="100"/>
        <w:rPr>
          <w:rFonts w:hint="default"/>
          <w:b/>
          <w:bCs/>
          <w:sz w:val="28"/>
          <w:szCs w:val="28"/>
          <w:lang w:val="en-US" w:eastAsia="zh-CN"/>
        </w:rPr>
      </w:pPr>
      <w:r>
        <w:rPr>
          <w:rFonts w:hint="eastAsia" w:ascii="宋体" w:hAnsi="宋体" w:eastAsia="宋体" w:cs="宋体"/>
          <w:sz w:val="24"/>
          <w:szCs w:val="24"/>
          <w:lang w:val="en-US" w:eastAsia="zh-CN"/>
        </w:rPr>
        <w:t>系统通过结合多种传感器，融合多模态信息，最终达到了低成本高效率的任务完成效果。</w:t>
      </w:r>
    </w:p>
    <w:p w14:paraId="6DDFF3E9">
      <w:pPr>
        <w:numPr>
          <w:ilvl w:val="0"/>
          <w:numId w:val="0"/>
        </w:numPr>
        <w:bidi w:val="0"/>
        <w:rPr>
          <w:rFonts w:hint="eastAsia" w:ascii="宋体" w:hAnsi="宋体" w:eastAsia="宋体" w:cs="宋体"/>
          <w:sz w:val="24"/>
          <w:szCs w:val="24"/>
          <w:lang w:val="en-US" w:eastAsia="zh-CN"/>
        </w:rPr>
      </w:pPr>
      <w:r>
        <w:rPr>
          <w:rFonts w:hint="eastAsia"/>
          <w:b/>
          <w:bCs/>
          <w:sz w:val="28"/>
          <w:szCs w:val="28"/>
          <w:lang w:val="en-US" w:eastAsia="zh-CN"/>
        </w:rPr>
        <w:t>关键词</w:t>
      </w:r>
      <w:r>
        <w:rPr>
          <w:rFonts w:hint="eastAsia"/>
          <w:lang w:val="en-US" w:eastAsia="zh-CN"/>
        </w:rPr>
        <w:t>：</w:t>
      </w:r>
      <w:r>
        <w:rPr>
          <w:rFonts w:hint="eastAsia"/>
          <w:sz w:val="24"/>
          <w:szCs w:val="24"/>
          <w:lang w:val="en-US" w:eastAsia="zh-CN"/>
        </w:rPr>
        <w:t>MSPM0G3507</w:t>
      </w:r>
      <w:r>
        <w:rPr>
          <w:rFonts w:hint="eastAsia" w:ascii="宋体" w:hAnsi="宋体" w:eastAsia="宋体" w:cs="宋体"/>
          <w:sz w:val="24"/>
          <w:szCs w:val="24"/>
          <w:lang w:val="en-US" w:eastAsia="zh-CN"/>
        </w:rPr>
        <w:t>；矩形透射变换；PID算法；灰度循迹；多模态信息</w:t>
      </w:r>
    </w:p>
    <w:p w14:paraId="5098F76E">
      <w:pPr>
        <w:numPr>
          <w:ilvl w:val="0"/>
          <w:numId w:val="0"/>
        </w:numPr>
        <w:bidi w:val="0"/>
        <w:rPr>
          <w:rFonts w:hint="eastAsia" w:ascii="宋体" w:hAnsi="宋体" w:eastAsia="宋体" w:cs="宋体"/>
          <w:sz w:val="24"/>
          <w:szCs w:val="24"/>
          <w:lang w:val="en-US" w:eastAsia="zh-CN"/>
        </w:rPr>
      </w:pPr>
    </w:p>
    <w:p w14:paraId="0F2A4E44">
      <w:pPr>
        <w:numPr>
          <w:ilvl w:val="0"/>
          <w:numId w:val="0"/>
        </w:numPr>
        <w:bidi w:val="0"/>
        <w:rPr>
          <w:rFonts w:hint="eastAsia" w:ascii="宋体" w:hAnsi="宋体" w:eastAsia="宋体" w:cs="宋体"/>
          <w:sz w:val="24"/>
          <w:szCs w:val="24"/>
          <w:lang w:val="en-US" w:eastAsia="zh-CN"/>
        </w:rPr>
      </w:pPr>
    </w:p>
    <w:p w14:paraId="05445342">
      <w:pPr>
        <w:numPr>
          <w:ilvl w:val="0"/>
          <w:numId w:val="0"/>
        </w:numPr>
        <w:bidi w:val="0"/>
        <w:rPr>
          <w:rFonts w:hint="eastAsia" w:ascii="宋体" w:hAnsi="宋体" w:eastAsia="宋体" w:cs="宋体"/>
          <w:sz w:val="24"/>
          <w:szCs w:val="24"/>
          <w:lang w:val="en-US" w:eastAsia="zh-CN"/>
        </w:rPr>
      </w:pPr>
    </w:p>
    <w:p w14:paraId="00277468">
      <w:pPr>
        <w:numPr>
          <w:ilvl w:val="0"/>
          <w:numId w:val="0"/>
        </w:numPr>
        <w:bidi w:val="0"/>
        <w:rPr>
          <w:rFonts w:hint="eastAsia" w:ascii="宋体" w:hAnsi="宋体" w:eastAsia="宋体" w:cs="宋体"/>
          <w:sz w:val="24"/>
          <w:szCs w:val="24"/>
          <w:lang w:val="en-US" w:eastAsia="zh-CN"/>
        </w:rPr>
      </w:pPr>
    </w:p>
    <w:p w14:paraId="4633B65F">
      <w:pPr>
        <w:numPr>
          <w:ilvl w:val="0"/>
          <w:numId w:val="0"/>
        </w:numPr>
        <w:bidi w:val="0"/>
        <w:rPr>
          <w:rFonts w:hint="eastAsia" w:ascii="宋体" w:hAnsi="宋体" w:eastAsia="宋体" w:cs="宋体"/>
          <w:sz w:val="24"/>
          <w:szCs w:val="24"/>
          <w:lang w:val="en-US" w:eastAsia="zh-CN"/>
        </w:rPr>
      </w:pPr>
    </w:p>
    <w:p w14:paraId="035BBAB1">
      <w:pPr>
        <w:numPr>
          <w:ilvl w:val="0"/>
          <w:numId w:val="0"/>
        </w:numPr>
        <w:bidi w:val="0"/>
        <w:rPr>
          <w:rFonts w:hint="eastAsia" w:ascii="宋体" w:hAnsi="宋体" w:eastAsia="宋体" w:cs="宋体"/>
          <w:sz w:val="24"/>
          <w:szCs w:val="24"/>
          <w:lang w:val="en-US" w:eastAsia="zh-CN"/>
        </w:rPr>
      </w:pPr>
    </w:p>
    <w:p w14:paraId="58E56DB9">
      <w:pPr>
        <w:numPr>
          <w:ilvl w:val="0"/>
          <w:numId w:val="0"/>
        </w:numPr>
        <w:bidi w:val="0"/>
        <w:rPr>
          <w:rFonts w:hint="eastAsia" w:ascii="宋体" w:hAnsi="宋体" w:eastAsia="宋体" w:cs="宋体"/>
          <w:sz w:val="24"/>
          <w:szCs w:val="24"/>
          <w:lang w:val="en-US" w:eastAsia="zh-CN"/>
        </w:rPr>
      </w:pPr>
    </w:p>
    <w:p w14:paraId="6A1E72B1">
      <w:pPr>
        <w:numPr>
          <w:ilvl w:val="0"/>
          <w:numId w:val="0"/>
        </w:numPr>
        <w:bidi w:val="0"/>
        <w:rPr>
          <w:rFonts w:hint="eastAsia" w:ascii="宋体" w:hAnsi="宋体" w:eastAsia="宋体" w:cs="宋体"/>
          <w:sz w:val="24"/>
          <w:szCs w:val="24"/>
          <w:lang w:val="en-US" w:eastAsia="zh-CN"/>
        </w:rPr>
      </w:pPr>
    </w:p>
    <w:p w14:paraId="00D5C200">
      <w:pPr>
        <w:numPr>
          <w:ilvl w:val="0"/>
          <w:numId w:val="0"/>
        </w:numPr>
        <w:bidi w:val="0"/>
        <w:rPr>
          <w:rFonts w:hint="eastAsia" w:ascii="宋体" w:hAnsi="宋体" w:eastAsia="宋体" w:cs="宋体"/>
          <w:sz w:val="24"/>
          <w:szCs w:val="24"/>
          <w:lang w:val="en-US" w:eastAsia="zh-CN"/>
        </w:rPr>
      </w:pPr>
    </w:p>
    <w:p w14:paraId="12A41234">
      <w:pPr>
        <w:numPr>
          <w:ilvl w:val="0"/>
          <w:numId w:val="0"/>
        </w:numPr>
        <w:bidi w:val="0"/>
        <w:rPr>
          <w:rFonts w:hint="eastAsia" w:ascii="宋体" w:hAnsi="宋体" w:eastAsia="宋体" w:cs="宋体"/>
          <w:sz w:val="24"/>
          <w:szCs w:val="24"/>
          <w:lang w:val="en-US" w:eastAsia="zh-CN"/>
        </w:rPr>
      </w:pPr>
    </w:p>
    <w:p w14:paraId="42FE2C7E">
      <w:pPr>
        <w:numPr>
          <w:ilvl w:val="0"/>
          <w:numId w:val="0"/>
        </w:numPr>
        <w:bidi w:val="0"/>
        <w:rPr>
          <w:rFonts w:hint="eastAsia" w:ascii="宋体" w:hAnsi="宋体" w:eastAsia="宋体" w:cs="宋体"/>
          <w:sz w:val="24"/>
          <w:szCs w:val="24"/>
          <w:lang w:val="en-US" w:eastAsia="zh-CN"/>
        </w:rPr>
      </w:pPr>
    </w:p>
    <w:p w14:paraId="5E7A671C">
      <w:pPr>
        <w:numPr>
          <w:ilvl w:val="0"/>
          <w:numId w:val="0"/>
        </w:numPr>
        <w:bidi w:val="0"/>
        <w:rPr>
          <w:rFonts w:hint="eastAsia" w:ascii="宋体" w:hAnsi="宋体" w:eastAsia="宋体" w:cs="宋体"/>
          <w:sz w:val="24"/>
          <w:szCs w:val="24"/>
          <w:lang w:val="en-US" w:eastAsia="zh-CN"/>
        </w:rPr>
      </w:pPr>
    </w:p>
    <w:p w14:paraId="078B752A">
      <w:pPr>
        <w:numPr>
          <w:ilvl w:val="0"/>
          <w:numId w:val="0"/>
        </w:numPr>
        <w:bidi w:val="0"/>
        <w:rPr>
          <w:rFonts w:hint="eastAsia" w:ascii="宋体" w:hAnsi="宋体" w:eastAsia="宋体" w:cs="宋体"/>
          <w:sz w:val="24"/>
          <w:szCs w:val="24"/>
          <w:lang w:val="en-US" w:eastAsia="zh-CN"/>
        </w:rPr>
      </w:pPr>
    </w:p>
    <w:p w14:paraId="56C499C3">
      <w:pPr>
        <w:numPr>
          <w:ilvl w:val="0"/>
          <w:numId w:val="0"/>
        </w:numPr>
        <w:bidi w:val="0"/>
        <w:rPr>
          <w:rFonts w:hint="eastAsia" w:ascii="宋体" w:hAnsi="宋体" w:eastAsia="宋体" w:cs="宋体"/>
          <w:sz w:val="24"/>
          <w:szCs w:val="24"/>
          <w:lang w:val="en-US" w:eastAsia="zh-CN"/>
        </w:rPr>
      </w:pPr>
    </w:p>
    <w:p w14:paraId="7D044A09">
      <w:pPr>
        <w:numPr>
          <w:ilvl w:val="0"/>
          <w:numId w:val="0"/>
        </w:numPr>
        <w:bidi w:val="0"/>
        <w:rPr>
          <w:rFonts w:hint="eastAsia" w:ascii="宋体" w:hAnsi="宋体" w:eastAsia="宋体" w:cs="宋体"/>
          <w:sz w:val="24"/>
          <w:szCs w:val="24"/>
          <w:lang w:val="en-US" w:eastAsia="zh-CN"/>
        </w:rPr>
      </w:pPr>
    </w:p>
    <w:p w14:paraId="43324E50">
      <w:pPr>
        <w:numPr>
          <w:ilvl w:val="0"/>
          <w:numId w:val="0"/>
        </w:numPr>
        <w:bidi w:val="0"/>
        <w:rPr>
          <w:rFonts w:hint="eastAsia" w:ascii="宋体" w:hAnsi="宋体" w:eastAsia="宋体" w:cs="宋体"/>
          <w:sz w:val="24"/>
          <w:szCs w:val="24"/>
          <w:lang w:val="en-US" w:eastAsia="zh-CN"/>
        </w:rPr>
      </w:pPr>
    </w:p>
    <w:p w14:paraId="2DEBE7C2">
      <w:pPr>
        <w:numPr>
          <w:ilvl w:val="0"/>
          <w:numId w:val="0"/>
        </w:numPr>
        <w:bidi w:val="0"/>
        <w:rPr>
          <w:rFonts w:hint="eastAsia" w:ascii="宋体" w:hAnsi="宋体" w:eastAsia="宋体" w:cs="宋体"/>
          <w:sz w:val="24"/>
          <w:szCs w:val="24"/>
          <w:lang w:val="en-US" w:eastAsia="zh-CN"/>
        </w:rPr>
      </w:pPr>
    </w:p>
    <w:p w14:paraId="55B63E5A">
      <w:pPr>
        <w:numPr>
          <w:ilvl w:val="0"/>
          <w:numId w:val="0"/>
        </w:numPr>
        <w:bidi w:val="0"/>
        <w:rPr>
          <w:rFonts w:hint="eastAsia" w:ascii="宋体" w:hAnsi="宋体" w:eastAsia="宋体" w:cs="宋体"/>
          <w:sz w:val="24"/>
          <w:szCs w:val="24"/>
          <w:lang w:val="en-US" w:eastAsia="zh-CN"/>
        </w:rPr>
      </w:pPr>
    </w:p>
    <w:p w14:paraId="1F014A2F">
      <w:pPr>
        <w:numPr>
          <w:ilvl w:val="0"/>
          <w:numId w:val="0"/>
        </w:numPr>
        <w:bidi w:val="0"/>
        <w:rPr>
          <w:rFonts w:hint="eastAsia" w:ascii="宋体" w:hAnsi="宋体" w:eastAsia="宋体" w:cs="宋体"/>
          <w:sz w:val="24"/>
          <w:szCs w:val="24"/>
          <w:lang w:val="en-US" w:eastAsia="zh-CN"/>
        </w:rPr>
      </w:pPr>
    </w:p>
    <w:p w14:paraId="43B8F6B6">
      <w:pPr>
        <w:numPr>
          <w:ilvl w:val="0"/>
          <w:numId w:val="0"/>
        </w:numPr>
        <w:bidi w:val="0"/>
        <w:rPr>
          <w:rFonts w:hint="eastAsia" w:ascii="宋体" w:hAnsi="宋体" w:eastAsia="宋体" w:cs="宋体"/>
          <w:sz w:val="24"/>
          <w:szCs w:val="24"/>
          <w:lang w:val="en-US" w:eastAsia="zh-CN"/>
        </w:rPr>
      </w:pPr>
    </w:p>
    <w:p w14:paraId="5EBD71B2">
      <w:pPr>
        <w:numPr>
          <w:ilvl w:val="0"/>
          <w:numId w:val="0"/>
        </w:numPr>
        <w:bidi w:val="0"/>
        <w:rPr>
          <w:rFonts w:hint="eastAsia" w:ascii="宋体" w:hAnsi="宋体" w:eastAsia="宋体" w:cs="宋体"/>
          <w:sz w:val="24"/>
          <w:szCs w:val="24"/>
          <w:lang w:val="en-US" w:eastAsia="zh-CN"/>
        </w:rPr>
      </w:pPr>
    </w:p>
    <w:p w14:paraId="0D14E022">
      <w:pPr>
        <w:numPr>
          <w:ilvl w:val="0"/>
          <w:numId w:val="0"/>
        </w:numPr>
        <w:bidi w:val="0"/>
        <w:rPr>
          <w:rFonts w:hint="eastAsia" w:ascii="宋体" w:hAnsi="宋体" w:eastAsia="宋体" w:cs="宋体"/>
          <w:sz w:val="24"/>
          <w:szCs w:val="24"/>
          <w:lang w:val="en-US" w:eastAsia="zh-CN"/>
        </w:rPr>
      </w:pPr>
    </w:p>
    <w:p w14:paraId="7FE5C647">
      <w:pPr>
        <w:numPr>
          <w:ilvl w:val="0"/>
          <w:numId w:val="0"/>
        </w:numPr>
        <w:bidi w:val="0"/>
        <w:rPr>
          <w:rFonts w:hint="eastAsia" w:ascii="宋体" w:hAnsi="宋体" w:eastAsia="宋体" w:cs="宋体"/>
          <w:sz w:val="24"/>
          <w:szCs w:val="24"/>
          <w:lang w:val="en-US" w:eastAsia="zh-CN"/>
        </w:rPr>
      </w:pPr>
    </w:p>
    <w:p w14:paraId="54A6BCE4">
      <w:pPr>
        <w:numPr>
          <w:ilvl w:val="0"/>
          <w:numId w:val="0"/>
        </w:numPr>
        <w:bidi w:val="0"/>
        <w:rPr>
          <w:rFonts w:hint="eastAsia" w:ascii="宋体" w:hAnsi="宋体" w:eastAsia="宋体" w:cs="宋体"/>
          <w:sz w:val="24"/>
          <w:szCs w:val="24"/>
          <w:lang w:val="en-US" w:eastAsia="zh-CN"/>
        </w:rPr>
      </w:pPr>
    </w:p>
    <w:p w14:paraId="0E181664">
      <w:pPr>
        <w:numPr>
          <w:ilvl w:val="0"/>
          <w:numId w:val="0"/>
        </w:numPr>
        <w:bidi w:val="0"/>
        <w:rPr>
          <w:rFonts w:hint="eastAsia" w:ascii="宋体" w:hAnsi="宋体" w:eastAsia="宋体" w:cs="宋体"/>
          <w:sz w:val="24"/>
          <w:szCs w:val="24"/>
          <w:lang w:val="en-US" w:eastAsia="zh-CN"/>
        </w:rPr>
      </w:pPr>
    </w:p>
    <w:p w14:paraId="43E5E9E7">
      <w:pPr>
        <w:numPr>
          <w:ilvl w:val="0"/>
          <w:numId w:val="0"/>
        </w:numPr>
        <w:bidi w:val="0"/>
        <w:rPr>
          <w:rFonts w:hint="eastAsia" w:ascii="宋体" w:hAnsi="宋体" w:eastAsia="宋体" w:cs="宋体"/>
          <w:sz w:val="24"/>
          <w:szCs w:val="24"/>
          <w:lang w:val="en-US" w:eastAsia="zh-CN"/>
        </w:rPr>
        <w:sectPr>
          <w:pgSz w:w="11906" w:h="16838"/>
          <w:pgMar w:top="1440" w:right="1800" w:bottom="1440" w:left="1800" w:header="1701" w:footer="992" w:gutter="0"/>
          <w:pgNumType w:fmt="decimal" w:start="1"/>
          <w:cols w:space="425" w:num="1"/>
          <w:docGrid w:type="lines" w:linePitch="312" w:charSpace="0"/>
        </w:sectPr>
      </w:pPr>
    </w:p>
    <w:p w14:paraId="783B0EE1">
      <w:pPr>
        <w:numPr>
          <w:ilvl w:val="0"/>
          <w:numId w:val="0"/>
        </w:numPr>
        <w:bidi w:val="0"/>
        <w:rPr>
          <w:rFonts w:hint="eastAsia" w:ascii="宋体" w:hAnsi="宋体" w:eastAsia="宋体" w:cs="宋体"/>
          <w:sz w:val="24"/>
          <w:szCs w:val="24"/>
          <w:lang w:val="en-US" w:eastAsia="zh-CN"/>
        </w:rPr>
      </w:pPr>
    </w:p>
    <w:p w14:paraId="7CD7328F">
      <w:pPr>
        <w:keepNext w:val="0"/>
        <w:keepLines w:val="0"/>
        <w:pageBreakBefore w:val="0"/>
        <w:widowControl w:val="0"/>
        <w:numPr>
          <w:ilvl w:val="0"/>
          <w:numId w:val="1"/>
        </w:numPr>
        <w:kinsoku/>
        <w:wordWrap/>
        <w:overflowPunct/>
        <w:topLinePunct w:val="0"/>
        <w:autoSpaceDE/>
        <w:autoSpaceDN/>
        <w:bidi w:val="0"/>
        <w:adjustRightInd/>
        <w:snapToGrid/>
        <w:spacing w:line="440" w:lineRule="auto"/>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系统方</w:t>
      </w:r>
      <w:r>
        <w:rPr>
          <w:rFonts w:hint="eastAsia" w:ascii="宋体" w:hAnsi="宋体" w:eastAsia="宋体" w:cs="宋体"/>
          <w:b/>
          <w:bCs/>
          <w:sz w:val="28"/>
          <w:szCs w:val="28"/>
          <w:highlight w:val="none"/>
          <w:lang w:val="en-US" w:eastAsia="zh-CN"/>
        </w:rPr>
        <w:t>案</w:t>
      </w:r>
      <w:r>
        <w:rPr>
          <w:rFonts w:hint="eastAsia" w:ascii="宋体" w:hAnsi="宋体" w:eastAsia="宋体" w:cs="宋体"/>
          <w:b/>
          <w:bCs/>
          <w:sz w:val="28"/>
          <w:szCs w:val="28"/>
          <w:lang w:val="en-US" w:eastAsia="zh-CN"/>
        </w:rPr>
        <w:t>设计与论证</w:t>
      </w:r>
    </w:p>
    <w:p w14:paraId="4AB1490A">
      <w:pPr>
        <w:keepNext w:val="0"/>
        <w:keepLines w:val="0"/>
        <w:pageBreakBefore w:val="0"/>
        <w:widowControl w:val="0"/>
        <w:numPr>
          <w:ilvl w:val="0"/>
          <w:numId w:val="2"/>
        </w:numPr>
        <w:kinsoku/>
        <w:wordWrap/>
        <w:overflowPunct/>
        <w:topLinePunct w:val="0"/>
        <w:autoSpaceDE/>
        <w:autoSpaceDN/>
        <w:bidi w:val="0"/>
        <w:adjustRightInd/>
        <w:snapToGrid/>
        <w:spacing w:line="440" w:lineRule="auto"/>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方案分析与选择</w:t>
      </w:r>
    </w:p>
    <w:p w14:paraId="1E5C8B84">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1.1控制芯片方案</w:t>
      </w:r>
      <w:r>
        <w:rPr>
          <w:rFonts w:hint="eastAsia" w:ascii="宋体" w:hAnsi="宋体" w:eastAsia="宋体" w:cs="宋体"/>
          <w:b w:val="0"/>
          <w:bCs w:val="0"/>
          <w:sz w:val="24"/>
          <w:szCs w:val="24"/>
          <w:lang w:val="en-US" w:eastAsia="zh-CN"/>
        </w:rPr>
        <w:t>：TI MSPM0G3507与STM32F103C8T6分工协作。TI MSPM0系列是题目指定用于小车巡迹和电机控制的芯片，其在低功耗、外设集成度上适配小车控制需求，虽电路设计有一定复杂度，但符合竞赛要求；STM32F103C8T6处理能力较强，适合用于舵机控制等瞄准模块的复杂运算，相较于仅用TI芯片，可减轻其负载，提升系统稳定性，最终选定此分工方案。</w:t>
      </w:r>
    </w:p>
    <w:p w14:paraId="2AE00D1B">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1.2循迹方案</w:t>
      </w:r>
      <w:r>
        <w:rPr>
          <w:rFonts w:hint="eastAsia" w:ascii="宋体" w:hAnsi="宋体" w:eastAsia="宋体" w:cs="宋体"/>
          <w:b w:val="0"/>
          <w:bCs w:val="0"/>
          <w:sz w:val="24"/>
          <w:szCs w:val="24"/>
          <w:lang w:val="en-US" w:eastAsia="zh-CN"/>
        </w:rPr>
        <w:t>：采用七路灰度传感器。相较于其他传感器，七路灰度传感器能更精准地识别1.8cm±0.2cm宽的黑色边线，通过多组数据对比，可快速判断小车偏离轨迹情况，及时调整方向，满足小车沿正方形轨迹逆时针寻迹行驶的需求。</w:t>
      </w:r>
    </w:p>
    <w:p w14:paraId="692897E2">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1.3靶心坐标定位方案</w:t>
      </w:r>
      <w:r>
        <w:rPr>
          <w:rFonts w:hint="eastAsia" w:ascii="宋体" w:hAnsi="宋体" w:eastAsia="宋体" w:cs="宋体"/>
          <w:b w:val="0"/>
          <w:bCs w:val="0"/>
          <w:sz w:val="24"/>
          <w:szCs w:val="24"/>
          <w:lang w:val="en-US" w:eastAsia="zh-CN"/>
        </w:rPr>
        <w:t>：通过K230视觉模块获取目标靶的图像，利用矩形透射变换的方法寻找靶子的四个角点，进而得到靶心。这一方案在定位精度上比基于色块追踪的方案更好，最终帧率能达到20以上，能够满足视觉测量的要求。</w:t>
      </w:r>
    </w:p>
    <w:p w14:paraId="4BC382C3">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420" w:firstLineChars="0"/>
        <w:textAlignment w:val="auto"/>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1.4脱机阈值调整方案</w:t>
      </w:r>
      <w:r>
        <w:rPr>
          <w:rFonts w:hint="eastAsia" w:ascii="宋体" w:hAnsi="宋体" w:eastAsia="宋体" w:cs="宋体"/>
          <w:b w:val="0"/>
          <w:bCs w:val="0"/>
          <w:sz w:val="24"/>
          <w:szCs w:val="24"/>
          <w:lang w:val="en-US" w:eastAsia="zh-CN"/>
        </w:rPr>
        <w:t>：在视觉识别方面，通过GPIO口向K230视觉模块发送按键信号，通过三个按键进行阈值调整。当按键按下，可以选择调整的参数、参数需要上升还是下降，并通过按键触发参数调整。在具体任务的选择上，可以通过按键向MSPM0G3507发送信息，从而实现小车的任务选择以及相关参数的调整，原理与视觉识别的参数调整类似。这种方案通过人机交互的方式方便了用户的使用。</w:t>
      </w:r>
    </w:p>
    <w:p w14:paraId="3105FEAC">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1.5瞄准与定位方案</w:t>
      </w:r>
      <w:r>
        <w:rPr>
          <w:rFonts w:hint="eastAsia" w:ascii="宋体" w:hAnsi="宋体" w:eastAsia="宋体" w:cs="宋体"/>
          <w:b w:val="0"/>
          <w:bCs w:val="0"/>
          <w:sz w:val="24"/>
          <w:szCs w:val="24"/>
          <w:lang w:val="en-US" w:eastAsia="zh-CN"/>
        </w:rPr>
        <w:t>：结合K230视觉模块和二维云台。由K230采集目标靶图像，进行图像处理，通过矩形透射变换的方法找到目标靶轮廓，并据此确定靶心，将数据传输给STM32F103C8T6，控制二维云台调整405nm蓝紫光激光模组方向，实现瞄准和画圆功能，该方案能精准响应目标位置变化。</w:t>
      </w:r>
    </w:p>
    <w:p w14:paraId="5545CA9F">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1.6总体方案描述</w:t>
      </w:r>
    </w:p>
    <w:p w14:paraId="31D55C73">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sz w:val="28"/>
          <w:szCs w:val="28"/>
          <w:lang w:val="en-US" w:eastAsia="zh-CN"/>
        </w:rPr>
      </w:pPr>
      <w:r>
        <w:rPr>
          <w:rFonts w:hint="eastAsia" w:ascii="宋体" w:hAnsi="宋体" w:eastAsia="宋体" w:cs="宋体"/>
          <w:b w:val="0"/>
          <w:bCs w:val="0"/>
          <w:sz w:val="24"/>
          <w:szCs w:val="24"/>
          <w:lang w:val="en-US" w:eastAsia="zh-CN"/>
        </w:rPr>
        <w:t>系统由自动寻迹小车和瞄准模块两部分组成。自动寻迹小车以TI MSPM0G3507为控制核心，通过七路灰度传感器识别黑色轨迹，控制电机驱动小车沿100cm×100cm的正方形轨迹逆时针行驶并直线转弯，行驶圈数可在1-5之间设定。瞄准模块以STM32F103C8T6为控制核心，搭载K230视觉模块和二维云台，摄像头获取目标靶图像后，经K230处理得到靶心位置信息，由STM32F103C8T6控制二维云台调整405nm蓝紫光激光模组，使激光光斑落在目标靶指定位置。两个模块分别由独立开关控制电源，并用发光管显示供电状态。</w:t>
      </w:r>
    </w:p>
    <w:p w14:paraId="299C2BCD">
      <w:pPr>
        <w:keepNext w:val="0"/>
        <w:keepLines w:val="0"/>
        <w:pageBreakBefore w:val="0"/>
        <w:widowControl w:val="0"/>
        <w:numPr>
          <w:ilvl w:val="0"/>
          <w:numId w:val="1"/>
        </w:numPr>
        <w:kinsoku/>
        <w:wordWrap/>
        <w:overflowPunct/>
        <w:topLinePunct w:val="0"/>
        <w:autoSpaceDE/>
        <w:autoSpaceDN/>
        <w:bidi w:val="0"/>
        <w:adjustRightInd/>
        <w:snapToGrid/>
        <w:spacing w:line="440"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理论分析与计算</w:t>
      </w:r>
    </w:p>
    <w:p w14:paraId="31B68726">
      <w:pPr>
        <w:keepNext w:val="0"/>
        <w:keepLines w:val="0"/>
        <w:pageBreakBefore w:val="0"/>
        <w:widowControl w:val="0"/>
        <w:numPr>
          <w:ilvl w:val="0"/>
          <w:numId w:val="3"/>
        </w:numPr>
        <w:kinsoku/>
        <w:wordWrap/>
        <w:overflowPunct/>
        <w:topLinePunct w:val="0"/>
        <w:autoSpaceDE/>
        <w:autoSpaceDN/>
        <w:bidi w:val="0"/>
        <w:adjustRightInd/>
        <w:snapToGrid/>
        <w:spacing w:line="440" w:lineRule="auto"/>
        <w:ind w:left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测量原理与计算</w:t>
      </w:r>
    </w:p>
    <w:p w14:paraId="66A6018E">
      <w:pPr>
        <w:keepNext w:val="0"/>
        <w:keepLines w:val="0"/>
        <w:pageBreakBefore w:val="0"/>
        <w:widowControl w:val="0"/>
        <w:numPr>
          <w:ilvl w:val="0"/>
          <w:numId w:val="0"/>
        </w:numPr>
        <w:kinsoku/>
        <w:wordWrap/>
        <w:overflowPunct/>
        <w:topLinePunct w:val="0"/>
        <w:autoSpaceDE/>
        <w:autoSpaceDN/>
        <w:bidi w:val="0"/>
        <w:adjustRightInd/>
        <w:snapToGrid/>
        <w:spacing w:line="44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1.1循迹测量</w:t>
      </w:r>
      <w:r>
        <w:rPr>
          <w:rFonts w:hint="eastAsia" w:ascii="宋体" w:hAnsi="宋体" w:eastAsia="宋体" w:cs="宋体"/>
          <w:b w:val="0"/>
          <w:bCs w:val="0"/>
          <w:sz w:val="24"/>
          <w:szCs w:val="24"/>
          <w:lang w:val="en-US" w:eastAsia="zh-CN"/>
        </w:rPr>
        <w:t>：七路灰度传感器输出不同电压值反映轨迹线与背景的灰度差异，TI MSPM0G3507采集这些电压值，通过预设阈值判断小车位置，计算偏离量，进而控制电机转速差实现转向，使小车沿轨迹行驶。</w:t>
      </w:r>
    </w:p>
    <w:p w14:paraId="3BB29F4F">
      <w:pPr>
        <w:keepNext w:val="0"/>
        <w:keepLines w:val="0"/>
        <w:pageBreakBefore w:val="0"/>
        <w:widowControl w:val="0"/>
        <w:numPr>
          <w:ilvl w:val="0"/>
          <w:numId w:val="0"/>
        </w:numPr>
        <w:kinsoku/>
        <w:wordWrap/>
        <w:overflowPunct/>
        <w:topLinePunct w:val="0"/>
        <w:autoSpaceDE/>
        <w:autoSpaceDN/>
        <w:bidi w:val="0"/>
        <w:adjustRightInd/>
        <w:snapToGrid/>
        <w:spacing w:line="44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1.2瞄准测量</w:t>
      </w:r>
      <w:r>
        <w:rPr>
          <w:rFonts w:hint="eastAsia" w:ascii="宋体" w:hAnsi="宋体" w:eastAsia="宋体" w:cs="宋体"/>
          <w:b w:val="0"/>
          <w:bCs w:val="0"/>
          <w:sz w:val="24"/>
          <w:szCs w:val="24"/>
          <w:lang w:val="en-US" w:eastAsia="zh-CN"/>
        </w:rPr>
        <w:t>：摄像头采集靶面图像，K230对图像进行灰度化、边缘检测等处理，识别出靶心及红色圆弧，通过图像坐标与实际坐标的换算关系，计算激光模组需要调整的角度，STM32F103C8T6控制舵机转动相应角度，实现瞄准。</w:t>
      </w:r>
    </w:p>
    <w:p w14:paraId="236FDA74">
      <w:pPr>
        <w:keepNext w:val="0"/>
        <w:keepLines w:val="0"/>
        <w:pageBreakBefore w:val="0"/>
        <w:widowControl w:val="0"/>
        <w:numPr>
          <w:ilvl w:val="0"/>
          <w:numId w:val="3"/>
        </w:numPr>
        <w:kinsoku/>
        <w:wordWrap/>
        <w:overflowPunct/>
        <w:topLinePunct w:val="0"/>
        <w:autoSpaceDE/>
        <w:autoSpaceDN/>
        <w:bidi w:val="0"/>
        <w:adjustRightInd/>
        <w:snapToGrid/>
        <w:spacing w:line="440" w:lineRule="auto"/>
        <w:ind w:left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误差分析</w:t>
      </w:r>
    </w:p>
    <w:p w14:paraId="46C10CB1">
      <w:pPr>
        <w:keepNext w:val="0"/>
        <w:keepLines w:val="0"/>
        <w:pageBreakBefore w:val="0"/>
        <w:widowControl w:val="0"/>
        <w:numPr>
          <w:ilvl w:val="0"/>
          <w:numId w:val="0"/>
        </w:numPr>
        <w:kinsoku/>
        <w:wordWrap/>
        <w:overflowPunct/>
        <w:topLinePunct w:val="0"/>
        <w:autoSpaceDE/>
        <w:autoSpaceDN/>
        <w:bidi w:val="0"/>
        <w:adjustRightInd/>
        <w:snapToGrid/>
        <w:spacing w:line="44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2.1靶心位置测量误差</w:t>
      </w:r>
      <w:r>
        <w:rPr>
          <w:rFonts w:hint="eastAsia" w:ascii="宋体" w:hAnsi="宋体" w:eastAsia="宋体" w:cs="宋体"/>
          <w:b w:val="0"/>
          <w:bCs w:val="0"/>
          <w:sz w:val="24"/>
          <w:szCs w:val="24"/>
          <w:lang w:val="en-US" w:eastAsia="zh-CN"/>
        </w:rPr>
        <w:t>：由于K230视觉模块的精度不足以及场地光照干扰等原因，通过矩形透射变换的方法计算得到的靶心坐标存在误差。</w:t>
      </w:r>
    </w:p>
    <w:p w14:paraId="709261BD">
      <w:pPr>
        <w:keepNext w:val="0"/>
        <w:keepLines w:val="0"/>
        <w:pageBreakBefore w:val="0"/>
        <w:widowControl w:val="0"/>
        <w:numPr>
          <w:ilvl w:val="0"/>
          <w:numId w:val="0"/>
        </w:numPr>
        <w:kinsoku/>
        <w:wordWrap/>
        <w:overflowPunct/>
        <w:topLinePunct w:val="0"/>
        <w:autoSpaceDE/>
        <w:autoSpaceDN/>
        <w:bidi w:val="0"/>
        <w:adjustRightInd/>
        <w:snapToGrid/>
        <w:spacing w:line="44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2.2灰度循迹误差</w:t>
      </w:r>
      <w:r>
        <w:rPr>
          <w:rFonts w:hint="eastAsia" w:ascii="宋体" w:hAnsi="宋体" w:eastAsia="宋体" w:cs="宋体"/>
          <w:b w:val="0"/>
          <w:bCs w:val="0"/>
          <w:sz w:val="24"/>
          <w:szCs w:val="24"/>
          <w:lang w:val="en-US" w:eastAsia="zh-CN"/>
        </w:rPr>
        <w:t>：通过七路灰度传感器获取场地上黑色轨迹的位置后，由MSPM0G3507进行处理，通过PID算法调整运动策略，使小车中心线与轨迹中心线相重合。这一过程中，受到灰度传感器排列密度以及PID参数等影响，小车中心线往往难以与轨迹中心线完全重合。</w:t>
      </w:r>
    </w:p>
    <w:p w14:paraId="6AA3F8D3">
      <w:pPr>
        <w:keepNext w:val="0"/>
        <w:keepLines w:val="0"/>
        <w:pageBreakBefore w:val="0"/>
        <w:widowControl w:val="0"/>
        <w:numPr>
          <w:ilvl w:val="0"/>
          <w:numId w:val="0"/>
        </w:numPr>
        <w:kinsoku/>
        <w:wordWrap/>
        <w:overflowPunct/>
        <w:topLinePunct w:val="0"/>
        <w:autoSpaceDE/>
        <w:autoSpaceDN/>
        <w:bidi w:val="0"/>
        <w:adjustRightInd/>
        <w:snapToGrid/>
        <w:spacing w:line="44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2.3激光打靶误差</w:t>
      </w:r>
      <w:r>
        <w:rPr>
          <w:rFonts w:hint="eastAsia" w:ascii="宋体" w:hAnsi="宋体" w:eastAsia="宋体" w:cs="宋体"/>
          <w:b w:val="0"/>
          <w:bCs w:val="0"/>
          <w:sz w:val="24"/>
          <w:szCs w:val="24"/>
          <w:lang w:val="en-US" w:eastAsia="zh-CN"/>
        </w:rPr>
        <w:t>：由于各种原因，K230视觉模块测得的靶心坐标存在一定误差，再加上STM32F103C8T6的PID参数不够精确等，激光往往难以做到与靶心重合。</w:t>
      </w:r>
    </w:p>
    <w:p w14:paraId="614839B4">
      <w:pPr>
        <w:keepNext w:val="0"/>
        <w:keepLines w:val="0"/>
        <w:pageBreakBefore w:val="0"/>
        <w:widowControl w:val="0"/>
        <w:numPr>
          <w:ilvl w:val="0"/>
          <w:numId w:val="1"/>
        </w:numPr>
        <w:kinsoku/>
        <w:wordWrap/>
        <w:overflowPunct/>
        <w:topLinePunct w:val="0"/>
        <w:autoSpaceDE/>
        <w:autoSpaceDN/>
        <w:bidi w:val="0"/>
        <w:adjustRightInd/>
        <w:snapToGrid/>
        <w:spacing w:line="440"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参数计算，系统设计与实现</w:t>
      </w:r>
    </w:p>
    <w:p w14:paraId="6FDB1CD7">
      <w:pPr>
        <w:keepNext w:val="0"/>
        <w:keepLines w:val="0"/>
        <w:pageBreakBefore w:val="0"/>
        <w:widowControl w:val="0"/>
        <w:numPr>
          <w:ilvl w:val="0"/>
          <w:numId w:val="4"/>
        </w:numPr>
        <w:kinsoku/>
        <w:wordWrap/>
        <w:overflowPunct/>
        <w:topLinePunct w:val="0"/>
        <w:autoSpaceDE/>
        <w:autoSpaceDN/>
        <w:bidi w:val="0"/>
        <w:adjustRightInd/>
        <w:snapToGrid/>
        <w:spacing w:line="440" w:lineRule="auto"/>
        <w:ind w:left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电路设计</w:t>
      </w:r>
    </w:p>
    <w:p w14:paraId="0D8BAE0A">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的的灰度传感器电路中，LED发光二极管发射灯光，投射到路面后反射。以接收管接收反射光，浅色路面反射强，接收管电阻降低、输出电压升高；深色路面则相反。接收管输出的微弱电信号，经过由电阻构成的分压电路等处理，转化为适合后续电路处理的电压信号。电压信号输入到 LM393 电压比较器， 将输入电压与参考电压比较。当输入电压高于参考电压，比较器输出高电平，否则输出低电平。比较器输出的高低电平信号传输给STM32微控制器。微控制器预先设定了黑白线判断阈值，根据接收到的电平信号判断传感器是否在黑线上。</w:t>
      </w:r>
    </w:p>
    <w:p w14:paraId="6A65C1FA">
      <w:pPr>
        <w:keepNext w:val="0"/>
        <w:keepLines w:val="0"/>
        <w:pageBreakBefore w:val="0"/>
        <w:widowControl w:val="0"/>
        <w:numPr>
          <w:ilvl w:val="0"/>
          <w:numId w:val="0"/>
        </w:numPr>
        <w:kinsoku/>
        <w:wordWrap/>
        <w:overflowPunct/>
        <w:topLinePunct w:val="0"/>
        <w:autoSpaceDE/>
        <w:autoSpaceDN/>
        <w:bidi w:val="0"/>
        <w:adjustRightInd/>
        <w:snapToGrid/>
        <w:spacing w:line="440" w:lineRule="auto"/>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5271135" cy="3729990"/>
            <wp:effectExtent l="0" t="0" r="1905" b="3810"/>
            <wp:docPr id="5" name="图片 5" descr="小车-mod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小车-modified"/>
                    <pic:cNvPicPr>
                      <a:picLocks noChangeAspect="1"/>
                    </pic:cNvPicPr>
                  </pic:nvPicPr>
                  <pic:blipFill>
                    <a:blip r:embed="rId5"/>
                    <a:stretch>
                      <a:fillRect/>
                    </a:stretch>
                  </pic:blipFill>
                  <pic:spPr>
                    <a:xfrm>
                      <a:off x="0" y="0"/>
                      <a:ext cx="5271135" cy="3729990"/>
                    </a:xfrm>
                    <a:prstGeom prst="rect">
                      <a:avLst/>
                    </a:prstGeom>
                  </pic:spPr>
                </pic:pic>
              </a:graphicData>
            </a:graphic>
          </wp:inline>
        </w:drawing>
      </w:r>
    </w:p>
    <w:p w14:paraId="5F1D2643">
      <w:pPr>
        <w:keepNext w:val="0"/>
        <w:keepLines w:val="0"/>
        <w:pageBreakBefore w:val="0"/>
        <w:widowControl w:val="0"/>
        <w:numPr>
          <w:ilvl w:val="0"/>
          <w:numId w:val="0"/>
        </w:numPr>
        <w:kinsoku/>
        <w:wordWrap/>
        <w:overflowPunct/>
        <w:topLinePunct w:val="0"/>
        <w:autoSpaceDE/>
        <w:autoSpaceDN/>
        <w:bidi w:val="0"/>
        <w:adjustRightInd/>
        <w:snapToGrid/>
        <w:spacing w:line="440" w:lineRule="auto"/>
        <w:jc w:val="center"/>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图3-1：MSPM0G3507小车主板</w:t>
      </w:r>
    </w:p>
    <w:p w14:paraId="7399B5F2">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系统由MSPM0G3507作主控芯片，驱动模块为TB6612FNG，另外还具有电源模块、OLED模块、按键模块等。</w:t>
      </w:r>
    </w:p>
    <w:p w14:paraId="52C104FF">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jc w:val="left"/>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5271135" cy="3734435"/>
            <wp:effectExtent l="0" t="0" r="1905" b="14605"/>
            <wp:docPr id="8" name="图片 8" descr="舵机-mod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舵机-modified"/>
                    <pic:cNvPicPr>
                      <a:picLocks noChangeAspect="1"/>
                    </pic:cNvPicPr>
                  </pic:nvPicPr>
                  <pic:blipFill>
                    <a:blip r:embed="rId6"/>
                    <a:stretch>
                      <a:fillRect/>
                    </a:stretch>
                  </pic:blipFill>
                  <pic:spPr>
                    <a:xfrm>
                      <a:off x="0" y="0"/>
                      <a:ext cx="5271135" cy="3734435"/>
                    </a:xfrm>
                    <a:prstGeom prst="rect">
                      <a:avLst/>
                    </a:prstGeom>
                  </pic:spPr>
                </pic:pic>
              </a:graphicData>
            </a:graphic>
          </wp:inline>
        </w:drawing>
      </w:r>
    </w:p>
    <w:p w14:paraId="434FA53D">
      <w:pPr>
        <w:keepNext w:val="0"/>
        <w:keepLines w:val="0"/>
        <w:pageBreakBefore w:val="0"/>
        <w:widowControl w:val="0"/>
        <w:numPr>
          <w:ilvl w:val="0"/>
          <w:numId w:val="0"/>
        </w:numPr>
        <w:kinsoku/>
        <w:wordWrap/>
        <w:overflowPunct/>
        <w:topLinePunct w:val="0"/>
        <w:autoSpaceDE/>
        <w:autoSpaceDN/>
        <w:bidi w:val="0"/>
        <w:adjustRightInd/>
        <w:snapToGrid/>
        <w:spacing w:line="440" w:lineRule="auto"/>
        <w:jc w:val="center"/>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图3-2：舵机主板</w:t>
      </w:r>
    </w:p>
    <w:p w14:paraId="73CEE8A8">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jc w:val="left"/>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舵机部分由STM32F103C8T6控制，通过串口通信的方式获取视觉模块的检测结果，另外还具有电源模块、激光模块、按键模块等。</w:t>
      </w:r>
    </w:p>
    <w:p w14:paraId="0B39ECE7">
      <w:pPr>
        <w:keepNext w:val="0"/>
        <w:keepLines w:val="0"/>
        <w:pageBreakBefore w:val="0"/>
        <w:widowControl w:val="0"/>
        <w:numPr>
          <w:ilvl w:val="0"/>
          <w:numId w:val="4"/>
        </w:numPr>
        <w:kinsoku/>
        <w:wordWrap/>
        <w:overflowPunct/>
        <w:topLinePunct w:val="0"/>
        <w:autoSpaceDE/>
        <w:autoSpaceDN/>
        <w:bidi w:val="0"/>
        <w:adjustRightInd/>
        <w:snapToGrid/>
        <w:spacing w:line="440" w:lineRule="auto"/>
        <w:ind w:left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程序设计</w:t>
      </w:r>
    </w:p>
    <w:p w14:paraId="1880F348">
      <w:pPr>
        <w:keepNext w:val="0"/>
        <w:keepLines w:val="0"/>
        <w:pageBreakBefore w:val="0"/>
        <w:widowControl w:val="0"/>
        <w:numPr>
          <w:ilvl w:val="0"/>
          <w:numId w:val="5"/>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权重法</w:t>
      </w:r>
    </w:p>
    <w:p w14:paraId="58719CD4">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default" w:ascii="宋体" w:hAnsi="宋体" w:eastAsia="宋体" w:cs="宋体"/>
          <w:b/>
          <w:bCs/>
          <w:sz w:val="28"/>
          <w:szCs w:val="28"/>
          <w:lang w:val="en-US" w:eastAsia="zh-CN"/>
        </w:rPr>
      </w:pPr>
      <w:r>
        <w:rPr>
          <w:rFonts w:hint="eastAsia" w:ascii="宋体" w:hAnsi="宋体" w:eastAsia="宋体" w:cs="宋体"/>
          <w:b w:val="0"/>
          <w:bCs w:val="0"/>
          <w:sz w:val="24"/>
          <w:szCs w:val="24"/>
          <w:lang w:val="en-US" w:eastAsia="zh-CN"/>
        </w:rPr>
        <w:t>在灰度循迹中，系统为灰度传感器电路的九个灰度传感器分配的不同的权重，距离中心线越远的灰度传感器拥有的权重越大。通过这种方法，当小车偏离轨道中心线较多时，边缘处高权重的灰度传感器会给予PID算法更强的反馈，让小车给与前进角度的修正更大。</w:t>
      </w:r>
    </w:p>
    <w:p w14:paraId="54DB1E47">
      <w:pPr>
        <w:keepNext w:val="0"/>
        <w:keepLines w:val="0"/>
        <w:pageBreakBefore w:val="0"/>
        <w:widowControl w:val="0"/>
        <w:numPr>
          <w:ilvl w:val="0"/>
          <w:numId w:val="5"/>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移动滤波</w:t>
      </w:r>
    </w:p>
    <w:p w14:paraId="3B7E4CFC">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jc w:val="left"/>
        <w:textAlignment w:val="auto"/>
      </w:pPr>
      <w:r>
        <w:rPr>
          <w:rFonts w:hint="eastAsia" w:ascii="宋体" w:hAnsi="宋体" w:eastAsia="宋体" w:cs="宋体"/>
          <w:b w:val="0"/>
          <w:bCs w:val="0"/>
          <w:sz w:val="24"/>
          <w:szCs w:val="24"/>
          <w:lang w:val="en-US" w:eastAsia="zh-CN"/>
        </w:rPr>
        <w:t>通过9路红外传感器（PA/PB端口）检测黑线，采用加权求和法计算位置偏差（position_error）。权重数组{10,6,3,1,0,-1,-3,-6,-10}强化边缘检测，结合滑动平均滤（窗口大小3）消除噪声。当传感器全白时，按历史误差双倍值限幅输出，防止失控。</w:t>
      </w:r>
    </w:p>
    <w:p w14:paraId="161EC1EB">
      <w:pPr>
        <w:keepNext w:val="0"/>
        <w:keepLines w:val="0"/>
        <w:pageBreakBefore w:val="0"/>
        <w:widowControl w:val="0"/>
        <w:numPr>
          <w:ilvl w:val="0"/>
          <w:numId w:val="5"/>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电机驱动</w:t>
      </w:r>
    </w:p>
    <w:p w14:paraId="3E7C13CB">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default"/>
          <w:lang w:val="en-US"/>
        </w:rPr>
      </w:pPr>
      <w:r>
        <w:rPr>
          <w:rFonts w:hint="eastAsia" w:ascii="宋体" w:hAnsi="宋体" w:eastAsia="宋体" w:cs="宋体"/>
          <w:b w:val="0"/>
          <w:bCs w:val="0"/>
          <w:sz w:val="24"/>
          <w:szCs w:val="24"/>
          <w:lang w:val="en-US" w:eastAsia="zh-CN"/>
        </w:rPr>
        <w:t>通过给左右两个电机输入不同的PWM信号，可以控制两个电机的转速。通过电机之间的差速，可以实现小车方向的改变。</w:t>
      </w:r>
    </w:p>
    <w:p w14:paraId="5470829F">
      <w:pPr>
        <w:keepNext w:val="0"/>
        <w:keepLines w:val="0"/>
        <w:pageBreakBefore w:val="0"/>
        <w:widowControl w:val="0"/>
        <w:numPr>
          <w:ilvl w:val="0"/>
          <w:numId w:val="5"/>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PID算法</w:t>
      </w:r>
    </w:p>
    <w:p w14:paraId="0453020E">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为此次比赛赛道不大并且没有很长的直线，在此前本组曾尝试过使用速度环与转向环并联的方式，但是调试效果并不理想，大多数时候速度环还未完成完成加速时就已经来到了下一个弯道，小车跑起来的效果没有开环跑的效果好，所以决定在本次比赛当中采用开环跑。</w:t>
      </w:r>
    </w:p>
    <w:p w14:paraId="2F7B458D">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PID是最经典的控制算法之一，广泛应用于工业控制、机器人、自动化等领域。时至今日，依然有大约90%的控制回路拥有PID结构。 其流程图如下所示：</w:t>
      </w:r>
    </w:p>
    <w:p w14:paraId="53308BC8">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5271770" cy="1461770"/>
            <wp:effectExtent l="0" t="0" r="1270" b="1270"/>
            <wp:docPr id="1" name="图片 1" descr="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ID"/>
                    <pic:cNvPicPr>
                      <a:picLocks noChangeAspect="1"/>
                    </pic:cNvPicPr>
                  </pic:nvPicPr>
                  <pic:blipFill>
                    <a:blip r:embed="rId7"/>
                    <a:stretch>
                      <a:fillRect/>
                    </a:stretch>
                  </pic:blipFill>
                  <pic:spPr>
                    <a:xfrm>
                      <a:off x="0" y="0"/>
                      <a:ext cx="5271770" cy="1461770"/>
                    </a:xfrm>
                    <a:prstGeom prst="rect">
                      <a:avLst/>
                    </a:prstGeom>
                  </pic:spPr>
                </pic:pic>
              </a:graphicData>
            </a:graphic>
          </wp:inline>
        </w:drawing>
      </w:r>
    </w:p>
    <w:p w14:paraId="71179147">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10" w:firstLineChars="10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1"/>
          <w:szCs w:val="21"/>
          <w:lang w:val="en-US" w:eastAsia="zh-CN"/>
        </w:rPr>
        <w:t>图3-3：PID算法流程图</w:t>
      </w:r>
    </w:p>
    <w:p w14:paraId="47D6B2EA">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在模拟控制系统中，PID控制器的输出u(t)表示为：</w:t>
      </w:r>
    </w:p>
    <w:p w14:paraId="65BFC0F9">
      <w:pPr>
        <w:keepNext w:val="0"/>
        <w:keepLines w:val="0"/>
        <w:pageBreakBefore w:val="0"/>
        <w:widowControl w:val="0"/>
        <w:kinsoku/>
        <w:wordWrap/>
        <w:overflowPunct/>
        <w:topLinePunct w:val="0"/>
        <w:autoSpaceDE/>
        <w:autoSpaceDN/>
        <w:bidi w:val="0"/>
        <w:adjustRightInd/>
        <w:snapToGrid/>
        <w:spacing w:line="440" w:lineRule="auto"/>
        <w:textAlignment w:val="auto"/>
        <w:rPr>
          <w:rFonts w:hint="default" w:hAnsi="Cambria Math" w:eastAsia="宋体"/>
          <w:i w:val="0"/>
          <w:sz w:val="24"/>
          <w:lang w:val="en-US" w:eastAsia="zh-CN"/>
        </w:rPr>
      </w:pPr>
      <m:oMathPara>
        <m:oMath>
          <m:eqArr>
            <m:eqArrPr>
              <m:maxDist m:val="1"/>
              <m:ctrlPr>
                <w:rPr>
                  <w:rFonts w:hint="default" w:hAnsi="Cambria Math" w:eastAsia="宋体"/>
                  <w:i w:val="0"/>
                  <w:sz w:val="24"/>
                  <w:lang w:val="en-US" w:eastAsia="zh-CN"/>
                </w:rPr>
              </m:ctrlPr>
            </m:eqArrPr>
            <m:e>
              <m:r>
                <m:rPr/>
                <w:rPr>
                  <w:rFonts w:hint="default" w:ascii="Cambria Math" w:hAnsi="Cambria Math" w:eastAsia="宋体"/>
                  <w:sz w:val="24"/>
                </w:rPr>
                <m:t>u(t)=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e(t)+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nary>
                <m:naryPr>
                  <m:limLoc m:val="subSup"/>
                  <m:subHide m:val="1"/>
                  <m:supHide m:val="1"/>
                  <m:ctrlPr>
                    <w:rPr>
                      <w:rFonts w:hint="default" w:ascii="Cambria Math" w:hAnsi="Cambria Math" w:eastAsia="宋体"/>
                      <w:sz w:val="24"/>
                    </w:rPr>
                  </m:ctrlPr>
                </m:naryPr>
                <m:sub>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e</m:t>
                  </m:r>
                  <m:ctrlPr>
                    <w:rPr>
                      <w:rFonts w:ascii="Cambria Math" w:hAnsi="Cambria Math" w:eastAsia="宋体"/>
                      <w:sz w:val="24"/>
                    </w:rPr>
                  </m:ctrlPr>
                </m:e>
              </m:nary>
              <m:r>
                <m:rPr/>
                <w:rPr>
                  <w:rFonts w:hint="default" w:ascii="Cambria Math" w:hAnsi="Cambria Math" w:eastAsia="宋体"/>
                  <w:sz w:val="24"/>
                </w:rPr>
                <m:t>(t)dt+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f>
                <m:fPr>
                  <m:ctrlPr>
                    <w:rPr>
                      <w:rFonts w:hint="default" w:ascii="Cambria Math" w:hAnsi="Cambria Math" w:eastAsia="宋体"/>
                      <w:i/>
                      <w:sz w:val="24"/>
                    </w:rPr>
                  </m:ctrlPr>
                </m:fPr>
                <m:num>
                  <m:r>
                    <m:rPr/>
                    <w:rPr>
                      <w:rFonts w:hint="default" w:ascii="Cambria Math" w:hAnsi="Cambria Math" w:eastAsia="宋体"/>
                      <w:sz w:val="24"/>
                    </w:rPr>
                    <m:t>de(t)</m:t>
                  </m:r>
                  <m:ctrlPr>
                    <w:rPr>
                      <w:rFonts w:ascii="Cambria Math" w:hAnsi="Cambria Math" w:eastAsia="宋体"/>
                      <w:sz w:val="24"/>
                    </w:rPr>
                  </m:ctrlPr>
                </m:num>
                <m:den>
                  <m:r>
                    <m:rPr/>
                    <w:rPr>
                      <w:rFonts w:hint="default" w:ascii="Cambria Math" w:hAnsi="Cambria Math" w:eastAsia="宋体"/>
                      <w:sz w:val="24"/>
                    </w:rPr>
                    <m:t>dt</m:t>
                  </m:r>
                  <m:ctrlPr>
                    <w:rPr>
                      <w:rFonts w:ascii="Cambria Math" w:hAnsi="Cambria Math" w:eastAsia="宋体"/>
                      <w:sz w:val="24"/>
                    </w:rPr>
                  </m:ctrlPr>
                </m:den>
              </m:f>
              <m:r>
                <m:rPr>
                  <m:sty m:val="p"/>
                </m:rPr>
                <w:rPr>
                  <w:rFonts w:hint="default" w:ascii="Cambria Math" w:hAnsi="Cambria Math" w:eastAsia="宋体"/>
                  <w:sz w:val="24"/>
                  <w:lang w:val="en-US" w:eastAsia="zh-CN"/>
                </w:rPr>
                <m:t>#(1)</m:t>
              </m:r>
              <m:ctrlPr>
                <w:rPr>
                  <w:rFonts w:hint="default" w:hAnsi="Cambria Math" w:eastAsia="宋体"/>
                  <w:i w:val="0"/>
                  <w:sz w:val="24"/>
                  <w:lang w:val="en-US" w:eastAsia="zh-CN"/>
                </w:rPr>
              </m:ctrlPr>
            </m:e>
          </m:eqArr>
        </m:oMath>
      </m:oMathPara>
    </w:p>
    <w:p w14:paraId="0ABE1A23">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jc w:val="left"/>
        <w:textAlignment w:val="auto"/>
        <w:rPr>
          <w:rFonts w:hint="eastAsia"/>
          <w:sz w:val="24"/>
          <w:szCs w:val="24"/>
          <w:lang w:val="en-US" w:eastAsia="zh-CN"/>
        </w:rPr>
      </w:pPr>
      <w:r>
        <w:rPr>
          <w:rFonts w:hint="eastAsia" w:ascii="宋体" w:hAnsi="宋体" w:eastAsia="宋体" w:cs="宋体"/>
          <w:b w:val="0"/>
          <w:bCs w:val="0"/>
          <w:sz w:val="24"/>
          <w:szCs w:val="24"/>
          <w:lang w:val="en-US" w:eastAsia="zh-CN"/>
        </w:rPr>
        <w:t>位置式PID，在前面谈到加权平均计算小车位置，当误差为0时证明小车走在路线中央所以将目标误差设置为0，再将PID的输出与电机的基础占空比结合起来。将输出</w:t>
      </w:r>
      <w:r>
        <w:rPr>
          <w:rFonts w:hint="eastAsia"/>
          <w:sz w:val="24"/>
          <w:szCs w:val="24"/>
          <w:lang w:val="en-US" w:eastAsia="zh-CN"/>
        </w:rPr>
        <w:t>限幅过后再赋值给电机，确保电机不会失控。</w:t>
      </w:r>
    </w:p>
    <w:p w14:paraId="36D6FF61">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jc w:val="left"/>
        <w:textAlignment w:val="auto"/>
        <w:rPr>
          <w:rFonts w:hint="eastAsia" w:ascii="宋体" w:hAnsi="宋体" w:eastAsia="宋体" w:cs="宋体"/>
          <w:b w:val="0"/>
          <w:bCs w:val="0"/>
          <w:sz w:val="24"/>
          <w:szCs w:val="24"/>
          <w:lang w:val="en-US" w:eastAsia="zh-CN"/>
        </w:rPr>
      </w:pPr>
      <w:r>
        <w:rPr>
          <w:rFonts w:hint="eastAsia"/>
          <w:sz w:val="24"/>
          <w:szCs w:val="24"/>
          <w:lang w:val="en-US" w:eastAsia="zh-CN"/>
        </w:rPr>
        <w:t>在</w:t>
      </w:r>
      <w:r>
        <w:rPr>
          <w:rFonts w:hint="eastAsia" w:ascii="宋体" w:hAnsi="宋体" w:eastAsia="宋体" w:cs="宋体"/>
          <w:b w:val="0"/>
          <w:bCs w:val="0"/>
          <w:sz w:val="24"/>
          <w:szCs w:val="24"/>
          <w:lang w:val="en-US" w:eastAsia="zh-CN"/>
        </w:rPr>
        <w:t>PID</w:t>
      </w:r>
      <w:r>
        <w:rPr>
          <w:rFonts w:hint="eastAsia"/>
          <w:sz w:val="24"/>
          <w:szCs w:val="24"/>
          <w:lang w:val="en-US" w:eastAsia="zh-CN"/>
        </w:rPr>
        <w:t>算法中，</w:t>
      </w:r>
      <w:r>
        <w:rPr>
          <w:rFonts w:hint="eastAsia" w:ascii="宋体" w:hAnsi="宋体" w:eastAsia="宋体" w:cs="宋体"/>
          <w:b w:val="0"/>
          <w:bCs w:val="0"/>
          <w:sz w:val="24"/>
          <w:szCs w:val="24"/>
          <w:lang w:val="en-US" w:eastAsia="zh-CN"/>
        </w:rPr>
        <w:t>P、I、D分别表示比例、积分和控制，公式如下：</w:t>
      </w:r>
    </w:p>
    <w:p w14:paraId="6AAD65FC">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jc w:val="left"/>
        <w:textAlignment w:val="auto"/>
        <w:rPr>
          <w:rFonts w:hint="default" w:hAnsi="Cambria Math" w:eastAsia="宋体" w:cs="宋体"/>
          <w:b w:val="0"/>
          <w:bCs w:val="0"/>
          <w:i w:val="0"/>
          <w:kern w:val="2"/>
          <w:sz w:val="24"/>
          <w:szCs w:val="24"/>
          <w:lang w:val="en-US" w:eastAsia="zh-CN" w:bidi="ar-SA"/>
        </w:rPr>
      </w:pPr>
      <m:oMathPara>
        <m:oMath>
          <m:eqArr>
            <m:eqArrPr>
              <m:maxDist m:val="1"/>
              <m:ctrlPr>
                <w:rPr>
                  <w:rFonts w:hint="default" w:hAnsi="Cambria Math" w:eastAsia="宋体" w:cs="宋体"/>
                  <w:b w:val="0"/>
                  <w:bCs w:val="0"/>
                  <w:i w:val="0"/>
                  <w:kern w:val="2"/>
                  <w:sz w:val="24"/>
                  <w:szCs w:val="24"/>
                  <w:lang w:val="en-US" w:eastAsia="zh-CN" w:bidi="ar-SA"/>
                </w:rPr>
              </m:ctrlPr>
            </m:eqArrPr>
            <m:e>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e(k),</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nary>
                <m:naryPr>
                  <m:chr m:val="∑"/>
                  <m:limLoc m:val="undOvr"/>
                  <m:subHide m:val="1"/>
                  <m:supHide m:val="1"/>
                  <m:ctrlPr>
                    <w:rPr>
                      <w:rFonts w:hint="default" w:ascii="Cambria Math" w:hAnsi="Cambria Math" w:eastAsia="宋体"/>
                      <w:sz w:val="24"/>
                    </w:rPr>
                  </m:ctrlPr>
                </m:naryPr>
                <m:sub>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e</m:t>
                  </m:r>
                  <m:ctrlPr>
                    <w:rPr>
                      <w:rFonts w:ascii="Cambria Math" w:hAnsi="Cambria Math" w:eastAsia="宋体"/>
                      <w:sz w:val="24"/>
                    </w:rPr>
                  </m:ctrlPr>
                </m:e>
              </m:nary>
              <m:r>
                <m:rPr/>
                <w:rPr>
                  <w:rFonts w:hint="default" w:ascii="Cambria Math" w:hAnsi="Cambria Math" w:eastAsia="宋体"/>
                  <w:sz w:val="24"/>
                </w:rPr>
                <m:t>(k),</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d</m:t>
                  </m:r>
                  <m:ctrlPr>
                    <w:rPr>
                      <w:rFonts w:ascii="Cambria Math" w:hAnsi="Cambria Math" w:eastAsia="宋体"/>
                      <w:sz w:val="24"/>
                    </w:rPr>
                  </m:ctrlPr>
                </m:sub>
              </m:sSub>
              <m:f>
                <m:fPr>
                  <m:ctrlPr>
                    <w:rPr>
                      <w:rFonts w:hint="default" w:ascii="Cambria Math" w:hAnsi="Cambria Math" w:eastAsia="宋体"/>
                      <w:i/>
                      <w:sz w:val="24"/>
                    </w:rPr>
                  </m:ctrlPr>
                </m:fPr>
                <m:num>
                  <m:r>
                    <m:rPr/>
                    <w:rPr>
                      <w:rFonts w:hint="default" w:ascii="Cambria Math" w:hAnsi="Cambria Math" w:eastAsia="宋体"/>
                      <w:sz w:val="24"/>
                    </w:rPr>
                    <m:t>e(k)−e(k−1)</m:t>
                  </m:r>
                  <m:ctrlPr>
                    <w:rPr>
                      <w:rFonts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s</m:t>
                      </m:r>
                      <m:ctrlPr>
                        <w:rPr>
                          <w:rFonts w:ascii="Cambria Math" w:hAnsi="Cambria Math" w:eastAsia="宋体"/>
                          <w:sz w:val="24"/>
                        </w:rPr>
                      </m:ctrlPr>
                    </m:sub>
                  </m:sSub>
                  <m:ctrlPr>
                    <w:rPr>
                      <w:rFonts w:hint="default" w:ascii="Cambria Math" w:hAnsi="Cambria Math" w:eastAsia="宋体"/>
                      <w:sz w:val="24"/>
                    </w:rPr>
                  </m:ctrlPr>
                </m:den>
              </m:f>
              <m:r>
                <m:rPr>
                  <m:sty m:val="p"/>
                </m:rPr>
                <w:rPr>
                  <w:rFonts w:hint="default" w:ascii="Cambria Math" w:hAnsi="Cambria Math" w:eastAsia="宋体" w:cs="宋体"/>
                  <w:kern w:val="2"/>
                  <w:sz w:val="24"/>
                  <w:szCs w:val="24"/>
                  <w:lang w:val="en-US" w:eastAsia="zh-CN" w:bidi="ar-SA"/>
                </w:rPr>
                <m:t>#(2)</m:t>
              </m:r>
              <m:ctrlPr>
                <w:rPr>
                  <w:rFonts w:hint="default" w:hAnsi="Cambria Math" w:eastAsia="宋体" w:cs="宋体"/>
                  <w:b w:val="0"/>
                  <w:bCs w:val="0"/>
                  <w:i w:val="0"/>
                  <w:kern w:val="2"/>
                  <w:sz w:val="24"/>
                  <w:szCs w:val="24"/>
                  <w:lang w:val="en-US" w:eastAsia="zh-CN" w:bidi="ar-SA"/>
                </w:rPr>
              </m:ctrlPr>
            </m:e>
          </m:eqArr>
        </m:oMath>
      </m:oMathPara>
    </w:p>
    <w:p w14:paraId="03868DE5">
      <w:pPr>
        <w:keepNext w:val="0"/>
        <w:keepLines w:val="0"/>
        <w:pageBreakBefore w:val="0"/>
        <w:widowControl w:val="0"/>
        <w:numPr>
          <w:ilvl w:val="0"/>
          <w:numId w:val="5"/>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靶心定位</w:t>
      </w:r>
    </w:p>
    <w:p w14:paraId="000DC8A2">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系统的靶心定位分为阈值调整阶段和目标追踪阶段，由按键控制。</w:t>
      </w:r>
    </w:p>
    <w:p w14:paraId="01459CD0">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5265420" cy="2560955"/>
            <wp:effectExtent l="0" t="0" r="7620" b="14605"/>
            <wp:docPr id="4" name="图片 4"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绘图1"/>
                    <pic:cNvPicPr>
                      <a:picLocks noChangeAspect="1"/>
                    </pic:cNvPicPr>
                  </pic:nvPicPr>
                  <pic:blipFill>
                    <a:blip r:embed="rId8"/>
                    <a:stretch>
                      <a:fillRect/>
                    </a:stretch>
                  </pic:blipFill>
                  <pic:spPr>
                    <a:xfrm>
                      <a:off x="0" y="0"/>
                      <a:ext cx="5265420" cy="2560955"/>
                    </a:xfrm>
                    <a:prstGeom prst="rect">
                      <a:avLst/>
                    </a:prstGeom>
                  </pic:spPr>
                </pic:pic>
              </a:graphicData>
            </a:graphic>
          </wp:inline>
        </w:drawing>
      </w:r>
    </w:p>
    <w:p w14:paraId="7F5AB428">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10" w:firstLineChars="10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1"/>
          <w:szCs w:val="21"/>
          <w:lang w:val="en-US" w:eastAsia="zh-CN"/>
        </w:rPr>
        <w:t>图3-4：靶心定位流程图</w:t>
      </w:r>
    </w:p>
    <w:p w14:paraId="364E2811">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pPr>
      <w:r>
        <w:rPr>
          <w:rFonts w:hint="eastAsia" w:ascii="宋体" w:hAnsi="宋体" w:eastAsia="宋体" w:cs="宋体"/>
          <w:b w:val="0"/>
          <w:bCs w:val="0"/>
          <w:sz w:val="24"/>
          <w:szCs w:val="24"/>
          <w:lang w:val="en-US" w:eastAsia="zh-CN"/>
        </w:rPr>
        <w:t>在阈值调整阶段，K230屏幕上会显示摄像头的灰度二值化图像，用户可以通过连接到K230 GPIO的按键来实时调整灰度二值化的上下阈值等参数，屏幕上会叠加显示当前调整的参数等信息，方便用户直观地观察二值化效果，并根据实际环境光照和目标颜色进行优化。</w:t>
      </w:r>
    </w:p>
    <w:p w14:paraId="057143D0">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pPr>
      <w:r>
        <w:rPr>
          <w:rFonts w:hint="eastAsia" w:ascii="宋体" w:hAnsi="宋体" w:eastAsia="宋体" w:cs="宋体"/>
          <w:b w:val="0"/>
          <w:bCs w:val="0"/>
          <w:sz w:val="24"/>
          <w:szCs w:val="24"/>
          <w:lang w:val="en-US" w:eastAsia="zh-CN"/>
        </w:rPr>
        <w:t>在目标追踪阶段，程序会利用调整后的灰度二值化阈值对图像进行处理，识别出图像中的矩形目标，进一步筛选出符合特定面积和宽高比的最小矩形。对于识别到的矩形，代码会进行透视变换，将矩形映射到一个虚拟的平面，并在虚拟平面上绘制一个校正后的圆形，圆心即为这个矩形的中心点。最终，矩形中心点的坐标会通过串口通信的方式发送给STM32F103C8T6，实现目标的实时追踪和定位，并让云台旋转实现激光打靶。</w:t>
      </w:r>
    </w:p>
    <w:p w14:paraId="6188A295">
      <w:pPr>
        <w:keepNext w:val="0"/>
        <w:keepLines w:val="0"/>
        <w:pageBreakBefore w:val="0"/>
        <w:widowControl w:val="0"/>
        <w:numPr>
          <w:ilvl w:val="0"/>
          <w:numId w:val="1"/>
        </w:numPr>
        <w:kinsoku/>
        <w:wordWrap/>
        <w:overflowPunct/>
        <w:topLinePunct w:val="0"/>
        <w:autoSpaceDE/>
        <w:autoSpaceDN/>
        <w:bidi w:val="0"/>
        <w:adjustRightInd/>
        <w:snapToGrid/>
        <w:spacing w:line="440"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测试方案与测试结果</w:t>
      </w:r>
    </w:p>
    <w:p w14:paraId="59F9F939">
      <w:pPr>
        <w:keepNext w:val="0"/>
        <w:keepLines w:val="0"/>
        <w:pageBreakBefore w:val="0"/>
        <w:widowControl w:val="0"/>
        <w:numPr>
          <w:ilvl w:val="0"/>
          <w:numId w:val="6"/>
        </w:numPr>
        <w:kinsoku/>
        <w:wordWrap/>
        <w:overflowPunct/>
        <w:topLinePunct w:val="0"/>
        <w:autoSpaceDE/>
        <w:autoSpaceDN/>
        <w:bidi w:val="0"/>
        <w:adjustRightInd/>
        <w:snapToGrid/>
        <w:spacing w:line="440" w:lineRule="auto"/>
        <w:ind w:left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测试方案</w:t>
      </w:r>
    </w:p>
    <w:p w14:paraId="55D0E113">
      <w:pPr>
        <w:keepNext w:val="0"/>
        <w:keepLines w:val="0"/>
        <w:pageBreakBefore w:val="0"/>
        <w:widowControl w:val="0"/>
        <w:numPr>
          <w:ilvl w:val="0"/>
          <w:numId w:val="7"/>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测试仪器</w:t>
      </w:r>
    </w:p>
    <w:p w14:paraId="71337EB7">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eastAsia" w:ascii="宋体" w:hAnsi="宋体" w:eastAsia="宋体" w:cs="宋体"/>
          <w:b/>
          <w:bCs/>
          <w:sz w:val="28"/>
          <w:szCs w:val="28"/>
          <w:lang w:val="en-US" w:eastAsia="zh-CN"/>
        </w:rPr>
      </w:pPr>
      <w:r>
        <w:rPr>
          <w:rFonts w:hint="eastAsia" w:ascii="宋体" w:hAnsi="宋体" w:eastAsia="宋体" w:cs="宋体"/>
          <w:b w:val="0"/>
          <w:bCs w:val="0"/>
          <w:sz w:val="24"/>
          <w:szCs w:val="24"/>
          <w:lang w:val="en-US" w:eastAsia="zh-CN"/>
        </w:rPr>
        <w:t>除作品上的MSPM0G3507等元器件，还包括数字万用表、示波器、秒表、卷尺。</w:t>
      </w:r>
    </w:p>
    <w:p w14:paraId="2BA5D864">
      <w:pPr>
        <w:keepNext w:val="0"/>
        <w:keepLines w:val="0"/>
        <w:pageBreakBefore w:val="0"/>
        <w:widowControl w:val="0"/>
        <w:numPr>
          <w:ilvl w:val="0"/>
          <w:numId w:val="7"/>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测试环境</w:t>
      </w:r>
    </w:p>
    <w:p w14:paraId="51558B12">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default" w:ascii="宋体" w:hAnsi="宋体" w:eastAsia="宋体" w:cs="宋体"/>
          <w:b/>
          <w:bCs/>
          <w:sz w:val="28"/>
          <w:szCs w:val="28"/>
          <w:lang w:val="en-US" w:eastAsia="zh-CN"/>
        </w:rPr>
      </w:pPr>
      <w:r>
        <w:rPr>
          <w:rFonts w:hint="eastAsia" w:ascii="宋体" w:hAnsi="宋体" w:eastAsia="宋体" w:cs="宋体"/>
          <w:b w:val="0"/>
          <w:bCs w:val="0"/>
          <w:sz w:val="24"/>
          <w:szCs w:val="24"/>
          <w:lang w:val="en-US" w:eastAsia="zh-CN"/>
        </w:rPr>
        <w:t>测试场地为传统实验室环境，背景为白色墙面以及白色桌子等实验室常见摆放物，周围无强光干扰，无可能对作品产生特殊影响的物品。靶面靠墙竖立，行驶场地采用白色哑光喷绘布制作，水平铺设于整洁地面。</w:t>
      </w:r>
    </w:p>
    <w:p w14:paraId="75396AEC">
      <w:pPr>
        <w:keepNext w:val="0"/>
        <w:keepLines w:val="0"/>
        <w:pageBreakBefore w:val="0"/>
        <w:widowControl w:val="0"/>
        <w:numPr>
          <w:ilvl w:val="0"/>
          <w:numId w:val="7"/>
        </w:numPr>
        <w:kinsoku/>
        <w:wordWrap/>
        <w:overflowPunct/>
        <w:topLinePunct w:val="0"/>
        <w:autoSpaceDE/>
        <w:autoSpaceDN/>
        <w:bidi w:val="0"/>
        <w:adjustRightInd/>
        <w:snapToGrid/>
        <w:spacing w:line="440" w:lineRule="auto"/>
        <w:ind w:firstLine="42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测试方法</w:t>
      </w:r>
    </w:p>
    <w:p w14:paraId="4B59D895">
      <w:pPr>
        <w:keepNext w:val="0"/>
        <w:keepLines w:val="0"/>
        <w:pageBreakBefore w:val="0"/>
        <w:widowControl w:val="0"/>
        <w:numPr>
          <w:ilvl w:val="0"/>
          <w:numId w:val="0"/>
        </w:numPr>
        <w:kinsoku/>
        <w:wordWrap/>
        <w:overflowPunct/>
        <w:topLinePunct w:val="0"/>
        <w:autoSpaceDE/>
        <w:autoSpaceDN/>
        <w:bidi w:val="0"/>
        <w:adjustRightInd/>
        <w:snapToGrid/>
        <w:spacing w:line="44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8"/>
          <w:szCs w:val="28"/>
          <w:lang w:val="en-US" w:eastAsia="zh-CN"/>
        </w:rPr>
        <w:t xml:space="preserve">  </w:t>
      </w:r>
      <w:r>
        <w:rPr>
          <w:rFonts w:hint="eastAsia" w:ascii="宋体" w:hAnsi="宋体" w:eastAsia="宋体" w:cs="宋体"/>
          <w:b w:val="0"/>
          <w:bCs w:val="0"/>
          <w:sz w:val="24"/>
          <w:szCs w:val="24"/>
          <w:lang w:val="en-US" w:eastAsia="zh-CN"/>
        </w:rPr>
        <w:t>针对第一个基本要求，将瞄准模块电源开关断开后，将小车放在场地上，通过按键设置小车需要完成的任务以及相关参数。按下开关按键，小车可以沿行驶轨迹自动寻迹行驶，行驶圈数 N 可在1到5之间设定。通过秒表测量行驶时间，得到 t ≤20s。</w:t>
      </w:r>
    </w:p>
    <w:p w14:paraId="3CC365CF">
      <w:pPr>
        <w:keepNext w:val="0"/>
        <w:keepLines w:val="0"/>
        <w:pageBreakBefore w:val="0"/>
        <w:widowControl w:val="0"/>
        <w:numPr>
          <w:ilvl w:val="0"/>
          <w:numId w:val="0"/>
        </w:numPr>
        <w:kinsoku/>
        <w:wordWrap/>
        <w:overflowPunct/>
        <w:topLinePunct w:val="0"/>
        <w:autoSpaceDE/>
        <w:autoSpaceDN/>
        <w:bidi w:val="0"/>
        <w:adjustRightInd/>
        <w:snapToGrid/>
        <w:spacing w:line="44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针对第二个基本要求，将小车放置在场地中，位置和姿态由自己决定。按下按键启动瞄准模块，由秒表测量激光模块发射激光击中靶心所需时间，发现小于2s。接着，利用卷尺测量光斑痕迹距靶心最大距离，得到D1≤2cm。</w:t>
      </w:r>
    </w:p>
    <w:p w14:paraId="6D618989">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针对第三个基本要求，将小车放置在行驶轨迹上的指定位置，瞄准方向任意。启动瞄准模块后，利用秒表测量作品自动瞄准发射激光击中靶心所需时间，得到t ≤4s，同时用卷尺测量光斑痕迹距靶心最大距离，得到D1≤2cm。</w:t>
      </w:r>
    </w:p>
    <w:p w14:paraId="100BF2EB">
      <w:pPr>
        <w:keepNext w:val="0"/>
        <w:keepLines w:val="0"/>
        <w:pageBreakBefore w:val="0"/>
        <w:widowControl w:val="0"/>
        <w:numPr>
          <w:ilvl w:val="0"/>
          <w:numId w:val="0"/>
        </w:numPr>
        <w:kinsoku/>
        <w:wordWrap/>
        <w:overflowPunct/>
        <w:topLinePunct w:val="0"/>
        <w:autoSpaceDE/>
        <w:autoSpaceDN/>
        <w:bidi w:val="0"/>
        <w:adjustRightInd/>
        <w:snapToGrid/>
        <w:spacing w:line="440" w:lineRule="auto"/>
        <w:ind w:firstLine="240" w:firstLineChars="1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针对发挥部分，将小车放置在 AB 段轨迹上，前沿投影与 AC 线对齐，按下按键，启动小车和瞄准模块，让小车在指定时间内沿轨迹自动寻迹行驶指定圈数，同时观察标靶，利用卷尺测量运动期间激光笔是否连续发光射向靶心且误差较小，并利用秒表测量行驶所需时间。</w:t>
      </w:r>
    </w:p>
    <w:p w14:paraId="12BCB54F">
      <w:pPr>
        <w:keepNext w:val="0"/>
        <w:keepLines w:val="0"/>
        <w:pageBreakBefore w:val="0"/>
        <w:widowControl w:val="0"/>
        <w:numPr>
          <w:ilvl w:val="0"/>
          <w:numId w:val="6"/>
        </w:numPr>
        <w:kinsoku/>
        <w:wordWrap/>
        <w:overflowPunct/>
        <w:topLinePunct w:val="0"/>
        <w:autoSpaceDE/>
        <w:autoSpaceDN/>
        <w:bidi w:val="0"/>
        <w:adjustRightInd/>
        <w:snapToGrid/>
        <w:spacing w:line="440"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系统性能指标测试与分析</w:t>
      </w:r>
    </w:p>
    <w:p w14:paraId="28027A79">
      <w:pPr>
        <w:keepNext w:val="0"/>
        <w:keepLines w:val="0"/>
        <w:pageBreakBefore w:val="0"/>
        <w:widowControl w:val="0"/>
        <w:numPr>
          <w:ilvl w:val="0"/>
          <w:numId w:val="0"/>
        </w:numPr>
        <w:kinsoku/>
        <w:wordWrap/>
        <w:overflowPunct/>
        <w:topLinePunct w:val="0"/>
        <w:autoSpaceDE/>
        <w:autoSpaceDN/>
        <w:bidi w:val="0"/>
        <w:adjustRightInd/>
        <w:snapToGrid/>
        <w:spacing w:line="440" w:lineRule="auto"/>
        <w:ind w:leftChars="0"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视觉打靶，在不同位置、不同角度、不同光照条件下测量其对于目标靶的识别效果。在识别效果上，K230采用的矩形透射变换方法在矩形识别任务的准确率、精确率、召回率和F1的得分都接近1.0，优于色块追踪的0.90；在靶心定位任务中，矩形透射变换测得的靶心与实际靶心的误差在5个像素以内，且对不同环境表现出较强的鲁棒性，能够满足视觉任务要求。</w:t>
      </w:r>
    </w:p>
    <w:p w14:paraId="54495C21">
      <w:pPr>
        <w:keepNext w:val="0"/>
        <w:keepLines w:val="0"/>
        <w:pageBreakBefore w:val="0"/>
        <w:widowControl w:val="0"/>
        <w:numPr>
          <w:ilvl w:val="0"/>
          <w:numId w:val="0"/>
        </w:numPr>
        <w:kinsoku/>
        <w:wordWrap/>
        <w:overflowPunct/>
        <w:topLinePunct w:val="0"/>
        <w:autoSpaceDE/>
        <w:autoSpaceDN/>
        <w:bidi w:val="0"/>
        <w:adjustRightInd/>
        <w:snapToGrid/>
        <w:spacing w:line="440" w:lineRule="auto"/>
        <w:ind w:leftChars="0"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灰度循迹，将小车放置在白色哑光喷绘布制作的场地上，在场地的不同位置进行测试，同时改变场地的光照条件以及小车的放置角度，发现灰度传感器在寻找黑色轨迹任务中精度高、响应快，通过与PID控制算法的配合，可以实现小车行驶误差的快速调整。</w:t>
      </w:r>
    </w:p>
    <w:p w14:paraId="558A1B1D">
      <w:pPr>
        <w:keepNext w:val="0"/>
        <w:keepLines w:val="0"/>
        <w:pageBreakBefore w:val="0"/>
        <w:widowControl w:val="0"/>
        <w:numPr>
          <w:ilvl w:val="0"/>
          <w:numId w:val="0"/>
        </w:numPr>
        <w:kinsoku/>
        <w:wordWrap/>
        <w:overflowPunct/>
        <w:topLinePunct w:val="0"/>
        <w:autoSpaceDE/>
        <w:autoSpaceDN/>
        <w:bidi w:val="0"/>
        <w:adjustRightInd/>
        <w:snapToGrid/>
        <w:spacing w:line="440" w:lineRule="auto"/>
        <w:ind w:leftChars="0" w:firstLine="240" w:firstLineChars="1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小车行驶速度，通过调整MSPM0G3507的PWM输出等参数，我们的小车能够以较快的速度完成任务，行驶一圈所消耗的时间可以轻松控制在20s以内。同时，小车前方安装的万向轮方便了小车的快速转向，节约了任务完成所需时间，能够高质量完成任务要求。</w:t>
      </w:r>
    </w:p>
    <w:p w14:paraId="2A1937A7">
      <w:pPr>
        <w:keepNext w:val="0"/>
        <w:keepLines w:val="0"/>
        <w:pageBreakBefore w:val="0"/>
        <w:widowControl w:val="0"/>
        <w:numPr>
          <w:ilvl w:val="0"/>
          <w:numId w:val="6"/>
        </w:numPr>
        <w:kinsoku/>
        <w:wordWrap/>
        <w:overflowPunct/>
        <w:topLinePunct w:val="0"/>
        <w:autoSpaceDE/>
        <w:autoSpaceDN/>
        <w:bidi w:val="0"/>
        <w:adjustRightInd/>
        <w:snapToGrid/>
        <w:spacing w:line="440"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测量结果分析</w:t>
      </w:r>
    </w:p>
    <w:p w14:paraId="6534D8F3">
      <w:pPr>
        <w:keepNext w:val="0"/>
        <w:keepLines w:val="0"/>
        <w:pageBreakBefore w:val="0"/>
        <w:widowControl w:val="0"/>
        <w:numPr>
          <w:ilvl w:val="0"/>
          <w:numId w:val="0"/>
        </w:numPr>
        <w:kinsoku/>
        <w:wordWrap/>
        <w:overflowPunct/>
        <w:topLinePunct w:val="0"/>
        <w:autoSpaceDE/>
        <w:autoSpaceDN/>
        <w:bidi w:val="0"/>
        <w:adjustRightInd/>
        <w:snapToGrid/>
        <w:spacing w:line="440" w:lineRule="auto"/>
        <w:ind w:leftChars="0" w:firstLine="240" w:firstLineChars="100"/>
        <w:textAlignment w:val="auto"/>
        <w:rPr>
          <w:rFonts w:hint="default" w:ascii="宋体" w:hAnsi="宋体" w:eastAsia="宋体" w:cs="宋体"/>
          <w:b/>
          <w:bCs/>
          <w:sz w:val="28"/>
          <w:szCs w:val="28"/>
          <w:lang w:val="en-US" w:eastAsia="zh-CN"/>
        </w:rPr>
      </w:pPr>
      <w:r>
        <w:rPr>
          <w:rFonts w:hint="eastAsia" w:ascii="宋体" w:hAnsi="宋体" w:eastAsia="宋体" w:cs="宋体"/>
          <w:b w:val="0"/>
          <w:bCs w:val="0"/>
          <w:sz w:val="24"/>
          <w:szCs w:val="24"/>
          <w:lang w:val="en-US" w:eastAsia="zh-CN"/>
        </w:rPr>
        <w:t>本系统采用了一种融合多模态传感器的小车与二位云台协同作业方法，以MSPM0G3507为主控芯片，以STM32F103C8T6单片机与K230视觉模块为辅助，能够实现高速高精度的灰度循迹与视觉打靶。在目标靶的检测过程中，模型的mAP50达到0.95以上，测得目标靶靶心坐标与实际坐标的误差不超过5个像素。在灰度循迹过程中，小车中心线与轨迹中心线几乎完全重合，同时保证以较快速度运行。</w:t>
      </w:r>
    </w:p>
    <w:p w14:paraId="21B94992">
      <w:pPr>
        <w:keepNext w:val="0"/>
        <w:keepLines w:val="0"/>
        <w:pageBreakBefore w:val="0"/>
        <w:widowControl w:val="0"/>
        <w:numPr>
          <w:ilvl w:val="0"/>
          <w:numId w:val="1"/>
        </w:numPr>
        <w:kinsoku/>
        <w:wordWrap/>
        <w:overflowPunct/>
        <w:topLinePunct w:val="0"/>
        <w:autoSpaceDE/>
        <w:autoSpaceDN/>
        <w:bidi w:val="0"/>
        <w:adjustRightInd/>
        <w:snapToGrid/>
        <w:spacing w:line="440" w:lineRule="auto"/>
        <w:ind w:left="0" w:leftChars="0" w:firstLine="0" w:firstLineChars="0"/>
        <w:textAlignment w:val="auto"/>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总结</w:t>
      </w:r>
    </w:p>
    <w:p w14:paraId="44EB4DE0">
      <w:pPr>
        <w:keepNext w:val="0"/>
        <w:keepLines w:val="0"/>
        <w:pageBreakBefore w:val="0"/>
        <w:widowControl w:val="0"/>
        <w:numPr>
          <w:ilvl w:val="0"/>
          <w:numId w:val="0"/>
        </w:numPr>
        <w:kinsoku/>
        <w:wordWrap/>
        <w:overflowPunct/>
        <w:topLinePunct w:val="0"/>
        <w:autoSpaceDE/>
        <w:autoSpaceDN/>
        <w:bidi w:val="0"/>
        <w:adjustRightInd/>
        <w:snapToGrid/>
        <w:spacing w:line="440" w:lineRule="auto"/>
        <w:ind w:leftChars="0" w:firstLine="240" w:firstLineChars="1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系统通过理论分析得到合理的方案，以MSPM0G3507为控制核心，结合STM32F103C8T6与K230视觉模块，设计并实现了小车循迹和激光自行瞄准装置，完成了小车逆时针沿正方形直角转弯和激光自行瞄准，并达到较高的精度与较快的速度，各项指标符合设计任务要求。</w:t>
      </w:r>
    </w:p>
    <w:p w14:paraId="53A8A509">
      <w:pPr>
        <w:numPr>
          <w:ilvl w:val="0"/>
          <w:numId w:val="0"/>
        </w:numPr>
        <w:bidi w:val="0"/>
        <w:rPr>
          <w:rFonts w:hint="eastAsia" w:ascii="宋体" w:hAnsi="宋体" w:eastAsia="宋体" w:cs="宋体"/>
          <w:b w:val="0"/>
          <w:bCs w:val="0"/>
          <w:sz w:val="24"/>
          <w:szCs w:val="24"/>
          <w:lang w:val="en-US" w:eastAsia="zh-CN"/>
        </w:rPr>
      </w:pPr>
    </w:p>
    <w:p w14:paraId="3CB37D0C">
      <w:pPr>
        <w:numPr>
          <w:ilvl w:val="0"/>
          <w:numId w:val="0"/>
        </w:numPr>
        <w:bidi w:val="0"/>
        <w:rPr>
          <w:rFonts w:hint="eastAsia" w:ascii="宋体" w:hAnsi="宋体" w:eastAsia="宋体" w:cs="宋体"/>
          <w:b w:val="0"/>
          <w:bCs w:val="0"/>
          <w:sz w:val="24"/>
          <w:szCs w:val="24"/>
          <w:lang w:val="en-US" w:eastAsia="zh-CN"/>
        </w:rPr>
      </w:pPr>
    </w:p>
    <w:p w14:paraId="6BB3B842">
      <w:pPr>
        <w:numPr>
          <w:ilvl w:val="0"/>
          <w:numId w:val="0"/>
        </w:numPr>
        <w:bidi w:val="0"/>
        <w:rPr>
          <w:rFonts w:hint="eastAsia" w:ascii="宋体" w:hAnsi="宋体" w:eastAsia="宋体" w:cs="宋体"/>
          <w:b w:val="0"/>
          <w:bCs w:val="0"/>
          <w:sz w:val="24"/>
          <w:szCs w:val="24"/>
          <w:lang w:val="en-US" w:eastAsia="zh-CN"/>
        </w:rPr>
      </w:pPr>
    </w:p>
    <w:p w14:paraId="4F839390">
      <w:pPr>
        <w:numPr>
          <w:ilvl w:val="0"/>
          <w:numId w:val="0"/>
        </w:numPr>
        <w:bidi w:val="0"/>
        <w:rPr>
          <w:rFonts w:hint="eastAsia" w:ascii="宋体" w:hAnsi="宋体" w:eastAsia="宋体" w:cs="宋体"/>
          <w:b w:val="0"/>
          <w:bCs w:val="0"/>
          <w:sz w:val="24"/>
          <w:szCs w:val="24"/>
          <w:lang w:val="en-US" w:eastAsia="zh-CN"/>
        </w:rPr>
      </w:pPr>
    </w:p>
    <w:p w14:paraId="1301FCE2">
      <w:pPr>
        <w:numPr>
          <w:ilvl w:val="0"/>
          <w:numId w:val="0"/>
        </w:numPr>
        <w:bidi w:val="0"/>
        <w:rPr>
          <w:rFonts w:hint="eastAsia" w:ascii="宋体" w:hAnsi="宋体" w:eastAsia="宋体" w:cs="宋体"/>
          <w:b w:val="0"/>
          <w:bCs w:val="0"/>
          <w:sz w:val="24"/>
          <w:szCs w:val="24"/>
          <w:lang w:val="en-US" w:eastAsia="zh-CN"/>
        </w:rPr>
      </w:pPr>
    </w:p>
    <w:p w14:paraId="5E40BDD3">
      <w:pPr>
        <w:numPr>
          <w:ilvl w:val="0"/>
          <w:numId w:val="1"/>
        </w:numPr>
        <w:bidi w:val="0"/>
        <w:ind w:left="0" w:leftChars="0" w:firstLine="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附录</w:t>
      </w:r>
    </w:p>
    <w:p w14:paraId="4F2195E3">
      <w:pPr>
        <w:numPr>
          <w:ilvl w:val="0"/>
          <w:numId w:val="0"/>
        </w:numPr>
        <w:bidi w:val="0"/>
        <w:rPr>
          <w:rFonts w:hint="eastAsia" w:ascii="宋体" w:hAnsi="宋体" w:eastAsia="宋体" w:cs="宋体"/>
          <w:b w:val="0"/>
          <w:bCs w:val="0"/>
          <w:sz w:val="24"/>
          <w:szCs w:val="24"/>
          <w:lang w:val="en-US" w:eastAsia="zh-CN"/>
        </w:rPr>
      </w:pPr>
    </w:p>
    <w:p w14:paraId="5CA77D98">
      <w:pPr>
        <w:numPr>
          <w:ilvl w:val="0"/>
          <w:numId w:val="0"/>
        </w:numPr>
        <w:bidi w:val="0"/>
        <w:jc w:val="both"/>
        <w:rPr>
          <w:rFonts w:hint="default"/>
          <w:lang w:val="en-US" w:eastAsia="zh-CN"/>
        </w:rPr>
      </w:pPr>
    </w:p>
    <w:p w14:paraId="35F0C6C6">
      <w:pPr>
        <w:numPr>
          <w:ilvl w:val="0"/>
          <w:numId w:val="0"/>
        </w:numPr>
        <w:bidi w:val="0"/>
        <w:jc w:val="both"/>
      </w:pPr>
      <w:r>
        <w:drawing>
          <wp:inline distT="0" distB="0" distL="114300" distR="114300">
            <wp:extent cx="5140960" cy="1575435"/>
            <wp:effectExtent l="0" t="0" r="1016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5140960" cy="1575435"/>
                    </a:xfrm>
                    <a:prstGeom prst="rect">
                      <a:avLst/>
                    </a:prstGeom>
                    <a:noFill/>
                    <a:ln>
                      <a:noFill/>
                    </a:ln>
                  </pic:spPr>
                </pic:pic>
              </a:graphicData>
            </a:graphic>
          </wp:inline>
        </w:drawing>
      </w:r>
    </w:p>
    <w:p w14:paraId="2D8F3915">
      <w:pPr>
        <w:numPr>
          <w:ilvl w:val="0"/>
          <w:numId w:val="0"/>
        </w:numPr>
        <w:bidi w:val="0"/>
        <w:jc w:val="center"/>
        <w:rPr>
          <w:rFonts w:hint="default"/>
          <w:lang w:val="en-US" w:eastAsia="zh-CN"/>
        </w:rPr>
      </w:pPr>
      <w:r>
        <w:rPr>
          <w:rFonts w:hint="eastAsia" w:ascii="宋体" w:hAnsi="宋体" w:eastAsia="宋体" w:cs="宋体"/>
          <w:b w:val="0"/>
          <w:bCs w:val="0"/>
          <w:sz w:val="21"/>
          <w:szCs w:val="21"/>
          <w:lang w:val="en-US" w:eastAsia="zh-CN"/>
        </w:rPr>
        <w:t>图7-1：移动滤波的代码实现</w:t>
      </w:r>
    </w:p>
    <w:p w14:paraId="4BEB594E">
      <w:pPr>
        <w:numPr>
          <w:ilvl w:val="0"/>
          <w:numId w:val="0"/>
        </w:numPr>
        <w:bidi w:val="0"/>
      </w:pPr>
      <w:r>
        <w:drawing>
          <wp:inline distT="0" distB="0" distL="114300" distR="114300">
            <wp:extent cx="5264150" cy="2903855"/>
            <wp:effectExtent l="0" t="0" r="8890" b="698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0"/>
                    <a:stretch>
                      <a:fillRect/>
                    </a:stretch>
                  </pic:blipFill>
                  <pic:spPr>
                    <a:xfrm>
                      <a:off x="0" y="0"/>
                      <a:ext cx="5264150" cy="2903855"/>
                    </a:xfrm>
                    <a:prstGeom prst="rect">
                      <a:avLst/>
                    </a:prstGeom>
                    <a:noFill/>
                    <a:ln>
                      <a:noFill/>
                    </a:ln>
                  </pic:spPr>
                </pic:pic>
              </a:graphicData>
            </a:graphic>
          </wp:inline>
        </w:drawing>
      </w:r>
    </w:p>
    <w:p w14:paraId="79C94CA1">
      <w:pPr>
        <w:numPr>
          <w:ilvl w:val="0"/>
          <w:numId w:val="0"/>
        </w:numPr>
        <w:bidi w:val="0"/>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图7-2：电机驱动的代码实现</w:t>
      </w:r>
    </w:p>
    <w:p w14:paraId="3D2B4800">
      <w:pPr>
        <w:numPr>
          <w:ilvl w:val="0"/>
          <w:numId w:val="0"/>
        </w:numPr>
        <w:bidi w:val="0"/>
        <w:ind w:firstLine="210" w:firstLineChars="100"/>
      </w:pPr>
      <w:r>
        <w:drawing>
          <wp:inline distT="0" distB="0" distL="114300" distR="114300">
            <wp:extent cx="5271770" cy="2681605"/>
            <wp:effectExtent l="0" t="0" r="1270" b="63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1"/>
                    <a:stretch>
                      <a:fillRect/>
                    </a:stretch>
                  </pic:blipFill>
                  <pic:spPr>
                    <a:xfrm>
                      <a:off x="0" y="0"/>
                      <a:ext cx="5271770" cy="2681605"/>
                    </a:xfrm>
                    <a:prstGeom prst="rect">
                      <a:avLst/>
                    </a:prstGeom>
                    <a:noFill/>
                    <a:ln>
                      <a:noFill/>
                    </a:ln>
                  </pic:spPr>
                </pic:pic>
              </a:graphicData>
            </a:graphic>
          </wp:inline>
        </w:drawing>
      </w:r>
    </w:p>
    <w:p w14:paraId="6A982C60">
      <w:pPr>
        <w:numPr>
          <w:ilvl w:val="0"/>
          <w:numId w:val="0"/>
        </w:numPr>
        <w:bidi w:val="0"/>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图7-3：PID算法调整小车行驶角度</w:t>
      </w:r>
    </w:p>
    <w:p w14:paraId="03738F29">
      <w:pPr>
        <w:numPr>
          <w:ilvl w:val="0"/>
          <w:numId w:val="0"/>
        </w:numPr>
        <w:bidi w:val="0"/>
        <w:jc w:val="left"/>
        <w:rPr>
          <w:rFonts w:hint="default" w:ascii="宋体" w:hAnsi="宋体" w:eastAsia="宋体" w:cs="宋体"/>
          <w:b w:val="0"/>
          <w:bCs w:val="0"/>
          <w:sz w:val="21"/>
          <w:szCs w:val="21"/>
          <w:lang w:val="en-US" w:eastAsia="zh-CN"/>
        </w:rPr>
      </w:pPr>
      <w:r>
        <w:drawing>
          <wp:inline distT="0" distB="0" distL="114300" distR="114300">
            <wp:extent cx="5266690" cy="1928495"/>
            <wp:effectExtent l="0" t="0" r="6350" b="698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2"/>
                    <a:stretch>
                      <a:fillRect/>
                    </a:stretch>
                  </pic:blipFill>
                  <pic:spPr>
                    <a:xfrm>
                      <a:off x="0" y="0"/>
                      <a:ext cx="5266690" cy="1928495"/>
                    </a:xfrm>
                    <a:prstGeom prst="rect">
                      <a:avLst/>
                    </a:prstGeom>
                    <a:noFill/>
                    <a:ln>
                      <a:noFill/>
                    </a:ln>
                  </pic:spPr>
                </pic:pic>
              </a:graphicData>
            </a:graphic>
          </wp:inline>
        </w:drawing>
      </w:r>
    </w:p>
    <w:p w14:paraId="009A2EDE">
      <w:pPr>
        <w:numPr>
          <w:ilvl w:val="0"/>
          <w:numId w:val="0"/>
        </w:numPr>
        <w:bidi w:val="0"/>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图7-4：通过电机调整小车行驶速度</w:t>
      </w:r>
    </w:p>
    <w:p w14:paraId="09D1446F">
      <w:pPr>
        <w:numPr>
          <w:ilvl w:val="0"/>
          <w:numId w:val="0"/>
        </w:numPr>
        <w:bidi w:val="0"/>
        <w:jc w:val="center"/>
      </w:pPr>
      <w:r>
        <w:drawing>
          <wp:inline distT="0" distB="0" distL="114300" distR="114300">
            <wp:extent cx="5265420" cy="2332990"/>
            <wp:effectExtent l="0" t="0" r="7620" b="1397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3"/>
                    <a:stretch>
                      <a:fillRect/>
                    </a:stretch>
                  </pic:blipFill>
                  <pic:spPr>
                    <a:xfrm>
                      <a:off x="0" y="0"/>
                      <a:ext cx="5265420" cy="2332990"/>
                    </a:xfrm>
                    <a:prstGeom prst="rect">
                      <a:avLst/>
                    </a:prstGeom>
                    <a:noFill/>
                    <a:ln>
                      <a:noFill/>
                    </a:ln>
                  </pic:spPr>
                </pic:pic>
              </a:graphicData>
            </a:graphic>
          </wp:inline>
        </w:drawing>
      </w:r>
    </w:p>
    <w:p w14:paraId="067664B7">
      <w:pPr>
        <w:numPr>
          <w:ilvl w:val="0"/>
          <w:numId w:val="0"/>
        </w:numPr>
        <w:bidi w:val="0"/>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图7-5：PWM限幅后再赋值给小车</w:t>
      </w:r>
    </w:p>
    <w:p w14:paraId="6553F5AB">
      <w:pPr>
        <w:numPr>
          <w:ilvl w:val="0"/>
          <w:numId w:val="0"/>
        </w:numPr>
        <w:bidi w:val="0"/>
        <w:jc w:val="center"/>
      </w:pPr>
      <w:r>
        <w:drawing>
          <wp:inline distT="0" distB="0" distL="114300" distR="114300">
            <wp:extent cx="5057140" cy="3655695"/>
            <wp:effectExtent l="0" t="0" r="254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057140" cy="3655695"/>
                    </a:xfrm>
                    <a:prstGeom prst="rect">
                      <a:avLst/>
                    </a:prstGeom>
                    <a:noFill/>
                    <a:ln>
                      <a:noFill/>
                    </a:ln>
                  </pic:spPr>
                </pic:pic>
              </a:graphicData>
            </a:graphic>
          </wp:inline>
        </w:drawing>
      </w:r>
    </w:p>
    <w:p w14:paraId="4EBE8F06">
      <w:pPr>
        <w:numPr>
          <w:ilvl w:val="0"/>
          <w:numId w:val="0"/>
        </w:numPr>
        <w:bidi w:val="0"/>
        <w:jc w:val="center"/>
        <w:rPr>
          <w:rFonts w:hint="default"/>
          <w:lang w:val="en-US" w:eastAsia="zh-CN"/>
        </w:rPr>
      </w:pPr>
      <w:r>
        <w:rPr>
          <w:rFonts w:hint="eastAsia" w:ascii="宋体" w:hAnsi="宋体" w:eastAsia="宋体" w:cs="宋体"/>
          <w:b w:val="0"/>
          <w:bCs w:val="0"/>
          <w:sz w:val="21"/>
          <w:szCs w:val="21"/>
          <w:lang w:val="en-US" w:eastAsia="zh-CN"/>
        </w:rPr>
        <w:t>图7-6：将视觉检测结果打包方便串口通信传输数据</w:t>
      </w:r>
    </w:p>
    <w:p w14:paraId="7C188E54">
      <w:pPr>
        <w:numPr>
          <w:ilvl w:val="0"/>
          <w:numId w:val="0"/>
        </w:numPr>
        <w:bidi w:val="0"/>
        <w:ind w:firstLine="210" w:firstLineChars="100"/>
        <w:jc w:val="center"/>
      </w:pPr>
      <w:r>
        <w:drawing>
          <wp:inline distT="0" distB="0" distL="114300" distR="114300">
            <wp:extent cx="4510405" cy="4484370"/>
            <wp:effectExtent l="0" t="0" r="635" b="1143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5"/>
                    <a:stretch>
                      <a:fillRect/>
                    </a:stretch>
                  </pic:blipFill>
                  <pic:spPr>
                    <a:xfrm>
                      <a:off x="0" y="0"/>
                      <a:ext cx="4510405" cy="4484370"/>
                    </a:xfrm>
                    <a:prstGeom prst="rect">
                      <a:avLst/>
                    </a:prstGeom>
                    <a:noFill/>
                    <a:ln>
                      <a:noFill/>
                    </a:ln>
                  </pic:spPr>
                </pic:pic>
              </a:graphicData>
            </a:graphic>
          </wp:inline>
        </w:drawing>
      </w:r>
    </w:p>
    <w:p w14:paraId="07135356">
      <w:pPr>
        <w:numPr>
          <w:ilvl w:val="0"/>
          <w:numId w:val="0"/>
        </w:numPr>
        <w:bidi w:val="0"/>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图7-7：通过矩形透射变换寻找靶心</w:t>
      </w:r>
    </w:p>
    <w:p w14:paraId="0567830C">
      <w:pPr>
        <w:numPr>
          <w:ilvl w:val="0"/>
          <w:numId w:val="0"/>
        </w:numPr>
        <w:bidi w:val="0"/>
        <w:jc w:val="center"/>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drawing>
          <wp:inline distT="0" distB="0" distL="114300" distR="114300">
            <wp:extent cx="4042410" cy="3659505"/>
            <wp:effectExtent l="0" t="0" r="11430" b="13335"/>
            <wp:docPr id="3" name="图片 3" descr="397334a644463a3ebc019fe7503a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97334a644463a3ebc019fe7503a376"/>
                    <pic:cNvPicPr>
                      <a:picLocks noChangeAspect="1"/>
                    </pic:cNvPicPr>
                  </pic:nvPicPr>
                  <pic:blipFill>
                    <a:blip r:embed="rId16"/>
                    <a:stretch>
                      <a:fillRect/>
                    </a:stretch>
                  </pic:blipFill>
                  <pic:spPr>
                    <a:xfrm>
                      <a:off x="0" y="0"/>
                      <a:ext cx="4042410" cy="3659505"/>
                    </a:xfrm>
                    <a:prstGeom prst="rect">
                      <a:avLst/>
                    </a:prstGeom>
                  </pic:spPr>
                </pic:pic>
              </a:graphicData>
            </a:graphic>
          </wp:inline>
        </w:drawing>
      </w:r>
    </w:p>
    <w:p w14:paraId="23AD94C7">
      <w:pPr>
        <w:numPr>
          <w:ilvl w:val="0"/>
          <w:numId w:val="0"/>
        </w:numPr>
        <w:bidi w:val="0"/>
        <w:jc w:val="center"/>
        <w:rPr>
          <w:rFonts w:hint="default"/>
          <w:lang w:val="en-US" w:eastAsia="zh-CN"/>
        </w:rPr>
      </w:pPr>
      <w:r>
        <w:rPr>
          <w:rFonts w:hint="eastAsia" w:ascii="宋体" w:hAnsi="宋体" w:eastAsia="宋体" w:cs="宋体"/>
          <w:b w:val="0"/>
          <w:bCs w:val="0"/>
          <w:sz w:val="21"/>
          <w:szCs w:val="21"/>
          <w:lang w:val="en-US" w:eastAsia="zh-CN"/>
        </w:rPr>
        <w:t>图7-8：作品实物图</w:t>
      </w:r>
      <w:bookmarkStart w:id="0" w:name="_GoBack"/>
      <w:bookmarkEnd w:id="0"/>
    </w:p>
    <w:sectPr>
      <w:footerReference r:id="rId3" w:type="default"/>
      <w:pgSz w:w="11906" w:h="16838"/>
      <w:pgMar w:top="1440" w:right="1800" w:bottom="1440" w:left="1800" w:header="170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AFDBF">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5ADE34">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D5ADE34">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25DC5A"/>
    <w:multiLevelType w:val="singleLevel"/>
    <w:tmpl w:val="A425DC5A"/>
    <w:lvl w:ilvl="0" w:tentative="0">
      <w:start w:val="1"/>
      <w:numFmt w:val="chineseCounting"/>
      <w:suff w:val="nothing"/>
      <w:lvlText w:val="%1、"/>
      <w:lvlJc w:val="left"/>
      <w:rPr>
        <w:rFonts w:hint="eastAsia"/>
      </w:rPr>
    </w:lvl>
  </w:abstractNum>
  <w:abstractNum w:abstractNumId="1">
    <w:nsid w:val="A805CFD0"/>
    <w:multiLevelType w:val="singleLevel"/>
    <w:tmpl w:val="A805CFD0"/>
    <w:lvl w:ilvl="0" w:tentative="0">
      <w:start w:val="1"/>
      <w:numFmt w:val="decimal"/>
      <w:lvlText w:val="%1."/>
      <w:lvlJc w:val="left"/>
      <w:pPr>
        <w:tabs>
          <w:tab w:val="left" w:pos="312"/>
        </w:tabs>
      </w:pPr>
    </w:lvl>
  </w:abstractNum>
  <w:abstractNum w:abstractNumId="2">
    <w:nsid w:val="BAC14033"/>
    <w:multiLevelType w:val="singleLevel"/>
    <w:tmpl w:val="BAC14033"/>
    <w:lvl w:ilvl="0" w:tentative="0">
      <w:start w:val="1"/>
      <w:numFmt w:val="decimal"/>
      <w:lvlText w:val="%1."/>
      <w:lvlJc w:val="left"/>
      <w:pPr>
        <w:tabs>
          <w:tab w:val="left" w:pos="312"/>
        </w:tabs>
      </w:pPr>
    </w:lvl>
  </w:abstractNum>
  <w:abstractNum w:abstractNumId="3">
    <w:nsid w:val="C36835F3"/>
    <w:multiLevelType w:val="singleLevel"/>
    <w:tmpl w:val="C36835F3"/>
    <w:lvl w:ilvl="0" w:tentative="0">
      <w:start w:val="1"/>
      <w:numFmt w:val="decimal"/>
      <w:lvlText w:val="%1."/>
      <w:lvlJc w:val="left"/>
      <w:pPr>
        <w:tabs>
          <w:tab w:val="left" w:pos="312"/>
        </w:tabs>
      </w:pPr>
    </w:lvl>
  </w:abstractNum>
  <w:abstractNum w:abstractNumId="4">
    <w:nsid w:val="C623B17D"/>
    <w:multiLevelType w:val="singleLevel"/>
    <w:tmpl w:val="C623B17D"/>
    <w:lvl w:ilvl="0" w:tentative="0">
      <w:start w:val="1"/>
      <w:numFmt w:val="decimal"/>
      <w:suff w:val="nothing"/>
      <w:lvlText w:val="%1）"/>
      <w:lvlJc w:val="left"/>
    </w:lvl>
  </w:abstractNum>
  <w:abstractNum w:abstractNumId="5">
    <w:nsid w:val="FA5431EB"/>
    <w:multiLevelType w:val="singleLevel"/>
    <w:tmpl w:val="FA5431EB"/>
    <w:lvl w:ilvl="0" w:tentative="0">
      <w:start w:val="1"/>
      <w:numFmt w:val="decimal"/>
      <w:lvlText w:val="%1."/>
      <w:lvlJc w:val="left"/>
      <w:pPr>
        <w:tabs>
          <w:tab w:val="left" w:pos="312"/>
        </w:tabs>
      </w:pPr>
    </w:lvl>
  </w:abstractNum>
  <w:abstractNum w:abstractNumId="6">
    <w:nsid w:val="0DF29117"/>
    <w:multiLevelType w:val="singleLevel"/>
    <w:tmpl w:val="0DF29117"/>
    <w:lvl w:ilvl="0" w:tentative="0">
      <w:start w:val="1"/>
      <w:numFmt w:val="decimal"/>
      <w:suff w:val="nothing"/>
      <w:lvlText w:val="%1）"/>
      <w:lvlJc w:val="left"/>
    </w:lvl>
  </w:abstractNum>
  <w:num w:numId="1">
    <w:abstractNumId w:val="0"/>
  </w:num>
  <w:num w:numId="2">
    <w:abstractNumId w:val="2"/>
  </w:num>
  <w:num w:numId="3">
    <w:abstractNumId w:val="1"/>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D4206"/>
    <w:rsid w:val="025832D3"/>
    <w:rsid w:val="04206073"/>
    <w:rsid w:val="049820AD"/>
    <w:rsid w:val="054A519B"/>
    <w:rsid w:val="066D3BEE"/>
    <w:rsid w:val="092927AE"/>
    <w:rsid w:val="0AC955DF"/>
    <w:rsid w:val="0B494101"/>
    <w:rsid w:val="0BBF43C3"/>
    <w:rsid w:val="0C9B6BDE"/>
    <w:rsid w:val="1021389E"/>
    <w:rsid w:val="10DE353E"/>
    <w:rsid w:val="13082AF4"/>
    <w:rsid w:val="133E02C4"/>
    <w:rsid w:val="134D0507"/>
    <w:rsid w:val="138A5FE6"/>
    <w:rsid w:val="14172FEE"/>
    <w:rsid w:val="147026FF"/>
    <w:rsid w:val="15CA4090"/>
    <w:rsid w:val="16FF7D6A"/>
    <w:rsid w:val="171417DB"/>
    <w:rsid w:val="17CE09DE"/>
    <w:rsid w:val="18A60DE5"/>
    <w:rsid w:val="197271B9"/>
    <w:rsid w:val="1AED0C79"/>
    <w:rsid w:val="1B0B4F2F"/>
    <w:rsid w:val="1B371058"/>
    <w:rsid w:val="1B5763C6"/>
    <w:rsid w:val="1B764BF4"/>
    <w:rsid w:val="1BC577D4"/>
    <w:rsid w:val="1C0A3439"/>
    <w:rsid w:val="1C1D13BE"/>
    <w:rsid w:val="1D6C70DD"/>
    <w:rsid w:val="1EBB6C6C"/>
    <w:rsid w:val="1F446C62"/>
    <w:rsid w:val="22EC1AEA"/>
    <w:rsid w:val="24B6415E"/>
    <w:rsid w:val="250B5AC7"/>
    <w:rsid w:val="260B672B"/>
    <w:rsid w:val="264B2FCC"/>
    <w:rsid w:val="271909D4"/>
    <w:rsid w:val="277125BE"/>
    <w:rsid w:val="279E2C26"/>
    <w:rsid w:val="27EE1E60"/>
    <w:rsid w:val="28FA28AA"/>
    <w:rsid w:val="2A992557"/>
    <w:rsid w:val="2D8D5C78"/>
    <w:rsid w:val="2E750BE6"/>
    <w:rsid w:val="2EAB2859"/>
    <w:rsid w:val="2EBA6F40"/>
    <w:rsid w:val="302A1EA4"/>
    <w:rsid w:val="30FE1366"/>
    <w:rsid w:val="31342FDA"/>
    <w:rsid w:val="31F36ECF"/>
    <w:rsid w:val="3296439B"/>
    <w:rsid w:val="32B06690"/>
    <w:rsid w:val="32FF2AEB"/>
    <w:rsid w:val="356E5B3C"/>
    <w:rsid w:val="36260A17"/>
    <w:rsid w:val="36F40B16"/>
    <w:rsid w:val="371B42F4"/>
    <w:rsid w:val="37353608"/>
    <w:rsid w:val="37B95FE7"/>
    <w:rsid w:val="385B52F0"/>
    <w:rsid w:val="393A3157"/>
    <w:rsid w:val="39FF1CAB"/>
    <w:rsid w:val="3A125E82"/>
    <w:rsid w:val="3A95616C"/>
    <w:rsid w:val="3A9643BE"/>
    <w:rsid w:val="3AD849D6"/>
    <w:rsid w:val="3CB94393"/>
    <w:rsid w:val="3D0A4BEF"/>
    <w:rsid w:val="3E575417"/>
    <w:rsid w:val="3EAB0654"/>
    <w:rsid w:val="3EDF3E59"/>
    <w:rsid w:val="40520D87"/>
    <w:rsid w:val="408D0011"/>
    <w:rsid w:val="42AC04F6"/>
    <w:rsid w:val="43160791"/>
    <w:rsid w:val="43370708"/>
    <w:rsid w:val="434F5A51"/>
    <w:rsid w:val="44890AEF"/>
    <w:rsid w:val="45126D36"/>
    <w:rsid w:val="47486A40"/>
    <w:rsid w:val="48CA7928"/>
    <w:rsid w:val="4B982B57"/>
    <w:rsid w:val="4C0849EF"/>
    <w:rsid w:val="4CFF4044"/>
    <w:rsid w:val="4F337FD5"/>
    <w:rsid w:val="501716A5"/>
    <w:rsid w:val="50E84DEF"/>
    <w:rsid w:val="51BC69A8"/>
    <w:rsid w:val="525A1D1D"/>
    <w:rsid w:val="53DA1367"/>
    <w:rsid w:val="55144405"/>
    <w:rsid w:val="55C027DF"/>
    <w:rsid w:val="55DD0C9B"/>
    <w:rsid w:val="57D52571"/>
    <w:rsid w:val="59197EE7"/>
    <w:rsid w:val="5AD07020"/>
    <w:rsid w:val="5BB46942"/>
    <w:rsid w:val="5C732359"/>
    <w:rsid w:val="5CB32755"/>
    <w:rsid w:val="5CCA24F5"/>
    <w:rsid w:val="5CCE6E09"/>
    <w:rsid w:val="5CF67511"/>
    <w:rsid w:val="5CF74D38"/>
    <w:rsid w:val="5ECC5D50"/>
    <w:rsid w:val="603950D6"/>
    <w:rsid w:val="60593614"/>
    <w:rsid w:val="606F2E37"/>
    <w:rsid w:val="61265BEC"/>
    <w:rsid w:val="62165C60"/>
    <w:rsid w:val="632B4CDA"/>
    <w:rsid w:val="637D1D0F"/>
    <w:rsid w:val="656B117A"/>
    <w:rsid w:val="65D57BE0"/>
    <w:rsid w:val="6646463A"/>
    <w:rsid w:val="66AF0431"/>
    <w:rsid w:val="6821710D"/>
    <w:rsid w:val="69720CAF"/>
    <w:rsid w:val="6A0C7949"/>
    <w:rsid w:val="6B2B27A4"/>
    <w:rsid w:val="6BC04E8F"/>
    <w:rsid w:val="6C384A25"/>
    <w:rsid w:val="6D023A64"/>
    <w:rsid w:val="6DF606F4"/>
    <w:rsid w:val="6E0948CB"/>
    <w:rsid w:val="6E957F0D"/>
    <w:rsid w:val="6F096A3B"/>
    <w:rsid w:val="6FC211D5"/>
    <w:rsid w:val="70FD7FEB"/>
    <w:rsid w:val="71A30B93"/>
    <w:rsid w:val="71A57103"/>
    <w:rsid w:val="71D15700"/>
    <w:rsid w:val="71D60F68"/>
    <w:rsid w:val="71E116BB"/>
    <w:rsid w:val="72056327"/>
    <w:rsid w:val="732B52E4"/>
    <w:rsid w:val="733817AF"/>
    <w:rsid w:val="74212243"/>
    <w:rsid w:val="745D771F"/>
    <w:rsid w:val="74940C67"/>
    <w:rsid w:val="750758DC"/>
    <w:rsid w:val="75B710B1"/>
    <w:rsid w:val="76130EEA"/>
    <w:rsid w:val="761958C7"/>
    <w:rsid w:val="76EF6628"/>
    <w:rsid w:val="77071D90"/>
    <w:rsid w:val="77C33D3D"/>
    <w:rsid w:val="7961380D"/>
    <w:rsid w:val="796E5F2A"/>
    <w:rsid w:val="7A2465E9"/>
    <w:rsid w:val="7AB931D5"/>
    <w:rsid w:val="7AC55853"/>
    <w:rsid w:val="7CED53B8"/>
    <w:rsid w:val="7D782ED3"/>
    <w:rsid w:val="7DD87E16"/>
    <w:rsid w:val="7E27258E"/>
    <w:rsid w:val="7FBC0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4335</Words>
  <Characters>4918</Characters>
  <Lines>0</Lines>
  <Paragraphs>0</Paragraphs>
  <TotalTime>0</TotalTime>
  <ScaleCrop>false</ScaleCrop>
  <LinksUpToDate>false</LinksUpToDate>
  <CharactersWithSpaces>4941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2025-07-21T15:31:00Z</dcterms:created>
  <dc:creator>86187</dc:creator>
  <cp:lastModifiedBy>WPS_1691129540</cp:lastModifiedBy>
  <dcterms:modified xsi:type="dcterms:W3CDTF">2025-08-01T16:57:01Z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eyJoZGlkIjoiMzEwNTM5NzYwMDRjMzkwZTVkZjY2ODkwMGIxNGU0OTUiLCJ1c2VySWQiOiIxNTE5MDgyMzAwIn0=</vt:lpwstr>
  </property>
  <property fmtid="{D5CDD505-2E9C-101B-9397-08002B2CF9AE}" pid="4" name="ICV">
    <vt:lpwstr>E3F84A4339D648358299832DB40924EA_12</vt:lpwstr>
  </property>
</Properties>
</file>