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pPr>
      <w:r>
        <w:rPr>
          <w:rFonts w:ascii="Arial" w:hAnsi="Arial"/>
          <w:b/>
          <w:color w:val="254F6F"/>
          <w:sz w:val="20"/>
        </w:rPr>
        <w:t>PRE-SUBMISSION PEER REVIEW</w:t>
      </w:r>
    </w:p>
    <w:p>
      <w:pPr>
        <w:pStyle w:val="Title"/>
      </w:pPr>
      <w:r>
        <w:t>ICLR 2027 Pre Submission Review</w:t>
      </w:r>
    </w:p>
    <w:p>
      <w:pPr>
        <w:pStyle w:val="Subtitle"/>
      </w:pPr>
      <w:r>
        <w:t>One Token Owns the Calibration Hessian Why Layer-wise Quantization Silently Breaks Instruction Following</w:t>
      </w:r>
    </w:p>
    <w:p>
      <w:pPr>
        <w:spacing w:before="320" w:after="160"/>
      </w:pPr>
      <w:r>
        <w:rPr>
          <w:rFonts w:ascii="Arial" w:hAnsi="Arial"/>
          <w:color w:val="181A1B"/>
          <w:sz w:val="22"/>
        </w:rPr>
        <w:t>Three mutually blind reviewer simulations with a post-review consistency synthesis</w:t>
      </w:r>
    </w:p>
    <w:p>
      <w:pPr>
        <w:spacing w:before="560"/>
      </w:pPr>
      <w:r>
        <w:rPr>
          <w:b/>
          <w:color w:val="181A1B"/>
        </w:rPr>
        <w:t>Review date</w:t>
      </w:r>
      <w:r>
        <w:t xml:space="preserve">  23 September 2026</w:t>
      </w:r>
    </w:p>
    <w:p>
      <w:r>
        <w:rPr>
          <w:b/>
        </w:rPr>
        <w:t>Document status</w:t>
      </w:r>
      <w:r>
        <w:t xml:space="preserve">  Simulated author-facing pre-submission review, not an official ICLR decision</w:t>
      </w:r>
    </w:p>
    <w:p>
      <w:pPr>
        <w:spacing w:before="680" w:after="0"/>
      </w:pPr>
      <w:r>
        <w:rPr>
          <w:b/>
          <w:color w:val="254F6F"/>
        </w:rPr>
        <w:t>Scope</w:t>
      </w:r>
    </w:p>
    <w:p>
      <w:pPr>
        <w:spacing w:after="0"/>
      </w:pPr>
      <w:r>
        <w:t>The review checks technical soundness, experiment design, argument logic, narrative continuity, claim-to-evidence alignment, reproducibility, figures and tables, and numerical consistency across the PDF and supplied LaTeX sources.</w:t>
      </w:r>
    </w:p>
    <w:p>
      <w:r>
        <w:br w:type="page"/>
      </w:r>
    </w:p>
    <w:p>
      <w:pPr>
        <w:pStyle w:val="Heading1"/>
      </w:pPr>
      <w:r>
        <w:t>Review Setup</w:t>
      </w:r>
    </w:p>
    <w:p>
      <w:r>
        <w:rPr>
          <w:b/>
        </w:rPr>
        <w:t xml:space="preserve">Purpose  </w:t>
      </w:r>
      <w:r>
        <w:t>Assess submission readiness for ICLR 2027 and identify the smallest set of revisions needed to make the central case technically defensible, internally consistent, and easy to evaluate.</w:t>
      </w:r>
    </w:p>
    <w:p>
      <w:r>
        <w:rPr>
          <w:b/>
        </w:rPr>
        <w:t xml:space="preserve">Framework  </w:t>
      </w:r>
      <w:r>
        <w:t xml:space="preserve">The review follows the official </w:t>
      </w:r>
      <w:hyperlink r:id="rId11">
        <w:r>
          <w:rPr>
            <w:color w:val="254F6F"/>
            <w:u w:val="single"/>
          </w:rPr>
          <w:t>ICLR 2027 Reviewer Guide</w:t>
        </w:r>
      </w:hyperlink>
      <w:r>
        <w:t>, with attention to clarity, correctness, experimental rigor, reproducibility, novelty, claim support, significance, and community value.</w:t>
      </w:r>
    </w:p>
    <w:tbl>
      <w:tblPr>
        <w:tblW w:type="auto" w:w="0"/>
        <w:tblLayout w:type="fixed"/>
        <w:tblLook w:firstColumn="1" w:firstRow="1" w:lastColumn="0" w:lastRow="0" w:noHBand="0" w:noVBand="1" w:val="04A0"/>
      </w:tblPr>
      <w:tblGrid>
        <w:gridCol w:w="2477"/>
        <w:gridCol w:w="7272"/>
      </w:tblGrid>
      <w:tr>
        <w:trPr>
          <w:tblHeader w:val="true"/>
          <w:cantSplit/>
        </w:trPr>
        <w:tc>
          <w:tcPr>
            <w:tcW w:type="dxa" w:w="4939"/>
            <w:shd w:fill="254F6F"/>
            <w:tcBorders>
              <w:top w:val="single" w:sz="5" w:color="C8D1D8"/>
              <w:left w:val="single" w:sz="5" w:color="C8D1D8"/>
              <w:bottom w:val="single" w:sz="5" w:color="C8D1D8"/>
              <w:right w:val="single" w:sz="5" w:color="C8D1D8"/>
              <w:insideH w:val="single" w:sz="5" w:color="C8D1D8"/>
              <w:insideV w:val="single" w:sz="5" w:color="C8D1D8"/>
            </w:tcBorders>
            <w:tcMar>
              <w:top w:w="90" w:type="dxa"/>
              <w:start w:w="100" w:type="dxa"/>
              <w:bottom w:w="90" w:type="dxa"/>
              <w:end w:w="100" w:type="dxa"/>
            </w:tcMar>
          </w:tcPr>
          <w:p>
            <w:r>
              <w:rPr>
                <w:b/>
                <w:color w:val="FFFFFF"/>
                <w:sz w:val="18"/>
              </w:rPr>
              <w:t>Review element</w:t>
            </w:r>
          </w:p>
        </w:tc>
        <w:tc>
          <w:tcPr>
            <w:tcW w:type="dxa" w:w="4939"/>
            <w:shd w:fill="254F6F"/>
            <w:tcBorders>
              <w:top w:val="single" w:sz="5" w:color="C8D1D8"/>
              <w:left w:val="single" w:sz="5" w:color="C8D1D8"/>
              <w:bottom w:val="single" w:sz="5" w:color="C8D1D8"/>
              <w:right w:val="single" w:sz="5" w:color="C8D1D8"/>
              <w:insideH w:val="single" w:sz="5" w:color="C8D1D8"/>
              <w:insideV w:val="single" w:sz="5" w:color="C8D1D8"/>
            </w:tcBorders>
            <w:tcMar>
              <w:top w:w="90" w:type="dxa"/>
              <w:start w:w="100" w:type="dxa"/>
              <w:bottom w:w="90" w:type="dxa"/>
              <w:end w:w="100" w:type="dxa"/>
            </w:tcMar>
          </w:tcPr>
          <w:p>
            <w:r>
              <w:rPr>
                <w:b/>
                <w:color w:val="FFFFFF"/>
                <w:sz w:val="18"/>
              </w:rPr>
              <w:t>Applied scope</w:t>
            </w:r>
          </w:p>
        </w:tc>
      </w:tr>
      <w:tr>
        <w:trPr>
          <w:cantSplit/>
        </w:trPr>
        <w:tc>
          <w:tcPr>
            <w:tcW w:type="dxa" w:w="2477"/>
            <w:shd w:fill="F5F7F9"/>
            <w:tcBorders>
              <w:top w:val="single" w:sz="5" w:color="C8D1D8"/>
              <w:left w:val="single" w:sz="5" w:color="C8D1D8"/>
              <w:bottom w:val="single" w:sz="5" w:color="C8D1D8"/>
              <w:right w:val="single" w:sz="5" w:color="C8D1D8"/>
              <w:insideH w:val="single" w:sz="5" w:color="C8D1D8"/>
              <w:insideV w:val="single" w:sz="5" w:color="C8D1D8"/>
            </w:tcBorders>
            <w:tcMar>
              <w:top w:w="90" w:type="dxa"/>
              <w:start w:w="100" w:type="dxa"/>
              <w:bottom w:w="90" w:type="dxa"/>
              <w:end w:w="100" w:type="dxa"/>
            </w:tcMar>
            <w:vAlign w:val="center"/>
          </w:tcPr>
          <w:p>
            <w:pPr>
              <w:spacing w:after="0"/>
            </w:pPr>
            <w:r>
              <w:rPr>
                <w:rFonts w:ascii="Arial" w:hAnsi="Arial"/>
                <w:b/>
                <w:sz w:val="17"/>
              </w:rPr>
              <w:t>Primary sources</w:t>
            </w:r>
          </w:p>
        </w:tc>
        <w:tc>
          <w:tcPr>
            <w:tcW w:type="dxa" w:w="7272"/>
            <w:shd w:fill="F5F7F9"/>
            <w:tcBorders>
              <w:top w:val="single" w:sz="5" w:color="C8D1D8"/>
              <w:left w:val="single" w:sz="5" w:color="C8D1D8"/>
              <w:bottom w:val="single" w:sz="5" w:color="C8D1D8"/>
              <w:right w:val="single" w:sz="5" w:color="C8D1D8"/>
              <w:insideH w:val="single" w:sz="5" w:color="C8D1D8"/>
              <w:insideV w:val="single" w:sz="5" w:color="C8D1D8"/>
            </w:tcBorders>
            <w:tcMar>
              <w:top w:w="90" w:type="dxa"/>
              <w:start w:w="100" w:type="dxa"/>
              <w:bottom w:w="90" w:type="dxa"/>
              <w:end w:w="100" w:type="dxa"/>
            </w:tcMar>
            <w:vAlign w:val="center"/>
          </w:tcPr>
          <w:p>
            <w:pPr>
              <w:spacing w:after="0"/>
            </w:pPr>
            <w:r>
              <w:rPr>
                <w:rFonts w:ascii="Arial" w:hAnsi="Arial"/>
                <w:sz w:val="17"/>
              </w:rPr>
              <w:t>Complete 26-page manuscript PDF and all supplied LaTeX section, macro, proof, protocol, statement, and bibliography files.</w:t>
            </w:r>
          </w:p>
        </w:tc>
      </w:tr>
      <w:tr>
        <w:trPr>
          <w:cantSplit/>
        </w:trPr>
        <w:tc>
          <w:tcPr>
            <w:tcW w:type="dxa" w:w="2477"/>
            <w:tcBorders>
              <w:top w:val="single" w:sz="5" w:color="C8D1D8"/>
              <w:left w:val="single" w:sz="5" w:color="C8D1D8"/>
              <w:bottom w:val="single" w:sz="5" w:color="C8D1D8"/>
              <w:right w:val="single" w:sz="5" w:color="C8D1D8"/>
              <w:insideH w:val="single" w:sz="5" w:color="C8D1D8"/>
              <w:insideV w:val="single" w:sz="5" w:color="C8D1D8"/>
            </w:tcBorders>
            <w:tcMar>
              <w:top w:w="90" w:type="dxa"/>
              <w:start w:w="100" w:type="dxa"/>
              <w:bottom w:w="90" w:type="dxa"/>
              <w:end w:w="100" w:type="dxa"/>
            </w:tcMar>
            <w:vAlign w:val="center"/>
          </w:tcPr>
          <w:p>
            <w:pPr>
              <w:spacing w:after="0"/>
            </w:pPr>
            <w:r>
              <w:rPr>
                <w:rFonts w:ascii="Arial" w:hAnsi="Arial"/>
                <w:b/>
                <w:sz w:val="17"/>
              </w:rPr>
              <w:t>Authority</w:t>
            </w:r>
          </w:p>
        </w:tc>
        <w:tc>
          <w:tcPr>
            <w:tcW w:type="dxa" w:w="7272"/>
            <w:tcBorders>
              <w:top w:val="single" w:sz="5" w:color="C8D1D8"/>
              <w:left w:val="single" w:sz="5" w:color="C8D1D8"/>
              <w:bottom w:val="single" w:sz="5" w:color="C8D1D8"/>
              <w:right w:val="single" w:sz="5" w:color="C8D1D8"/>
              <w:insideH w:val="single" w:sz="5" w:color="C8D1D8"/>
              <w:insideV w:val="single" w:sz="5" w:color="C8D1D8"/>
            </w:tcBorders>
            <w:tcMar>
              <w:top w:w="90" w:type="dxa"/>
              <w:start w:w="100" w:type="dxa"/>
              <w:bottom w:w="90" w:type="dxa"/>
              <w:end w:w="100" w:type="dxa"/>
            </w:tcMar>
            <w:vAlign w:val="center"/>
          </w:tcPr>
          <w:p>
            <w:pPr>
              <w:spacing w:after="0"/>
            </w:pPr>
            <w:r>
              <w:rPr>
                <w:rFonts w:ascii="Arial" w:hAnsi="Arial"/>
                <w:sz w:val="17"/>
              </w:rPr>
              <w:t>The PDF governs visual layout. The LaTeX sources govern exact prose, equations, repeated values, and file or line anchors.</w:t>
            </w:r>
          </w:p>
        </w:tc>
      </w:tr>
      <w:tr>
        <w:trPr>
          <w:cantSplit/>
        </w:trPr>
        <w:tc>
          <w:tcPr>
            <w:tcW w:type="dxa" w:w="2477"/>
            <w:shd w:fill="F5F7F9"/>
            <w:tcBorders>
              <w:top w:val="single" w:sz="5" w:color="C8D1D8"/>
              <w:left w:val="single" w:sz="5" w:color="C8D1D8"/>
              <w:bottom w:val="single" w:sz="5" w:color="C8D1D8"/>
              <w:right w:val="single" w:sz="5" w:color="C8D1D8"/>
              <w:insideH w:val="single" w:sz="5" w:color="C8D1D8"/>
              <w:insideV w:val="single" w:sz="5" w:color="C8D1D8"/>
            </w:tcBorders>
            <w:tcMar>
              <w:top w:w="90" w:type="dxa"/>
              <w:start w:w="100" w:type="dxa"/>
              <w:bottom w:w="90" w:type="dxa"/>
              <w:end w:w="100" w:type="dxa"/>
            </w:tcMar>
            <w:vAlign w:val="center"/>
          </w:tcPr>
          <w:p>
            <w:pPr>
              <w:spacing w:after="0"/>
            </w:pPr>
            <w:r>
              <w:rPr>
                <w:rFonts w:ascii="Arial" w:hAnsi="Arial"/>
                <w:b/>
                <w:sz w:val="17"/>
              </w:rPr>
              <w:t>Reviewer separation</w:t>
            </w:r>
          </w:p>
        </w:tc>
        <w:tc>
          <w:tcPr>
            <w:tcW w:type="dxa" w:w="7272"/>
            <w:shd w:fill="F5F7F9"/>
            <w:tcBorders>
              <w:top w:val="single" w:sz="5" w:color="C8D1D8"/>
              <w:left w:val="single" w:sz="5" w:color="C8D1D8"/>
              <w:bottom w:val="single" w:sz="5" w:color="C8D1D8"/>
              <w:right w:val="single" w:sz="5" w:color="C8D1D8"/>
              <w:insideH w:val="single" w:sz="5" w:color="C8D1D8"/>
              <w:insideV w:val="single" w:sz="5" w:color="C8D1D8"/>
            </w:tcBorders>
            <w:tcMar>
              <w:top w:w="90" w:type="dxa"/>
              <w:start w:w="100" w:type="dxa"/>
              <w:bottom w:w="90" w:type="dxa"/>
              <w:end w:w="100" w:type="dxa"/>
            </w:tcMar>
            <w:vAlign w:val="center"/>
          </w:tcPr>
          <w:p>
            <w:pPr>
              <w:spacing w:after="0"/>
            </w:pPr>
            <w:r>
              <w:rPr>
                <w:rFonts w:ascii="Arial" w:hAnsi="Arial"/>
                <w:sz w:val="17"/>
              </w:rPr>
              <w:t>Three reports were written independently and frozen before comparison. The synthesis was prepared only afterward.</w:t>
            </w:r>
          </w:p>
        </w:tc>
      </w:tr>
      <w:tr>
        <w:trPr>
          <w:cantSplit/>
        </w:trPr>
        <w:tc>
          <w:tcPr>
            <w:tcW w:type="dxa" w:w="2477"/>
            <w:tcBorders>
              <w:top w:val="single" w:sz="5" w:color="C8D1D8"/>
              <w:left w:val="single" w:sz="5" w:color="C8D1D8"/>
              <w:bottom w:val="single" w:sz="5" w:color="C8D1D8"/>
              <w:right w:val="single" w:sz="5" w:color="C8D1D8"/>
              <w:insideH w:val="single" w:sz="5" w:color="C8D1D8"/>
              <w:insideV w:val="single" w:sz="5" w:color="C8D1D8"/>
            </w:tcBorders>
            <w:tcMar>
              <w:top w:w="90" w:type="dxa"/>
              <w:start w:w="100" w:type="dxa"/>
              <w:bottom w:w="90" w:type="dxa"/>
              <w:end w:w="100" w:type="dxa"/>
            </w:tcMar>
            <w:vAlign w:val="center"/>
          </w:tcPr>
          <w:p>
            <w:pPr>
              <w:spacing w:after="0"/>
            </w:pPr>
            <w:r>
              <w:rPr>
                <w:rFonts w:ascii="Arial" w:hAnsi="Arial"/>
                <w:b/>
                <w:sz w:val="17"/>
              </w:rPr>
              <w:t>Evidence boundary</w:t>
            </w:r>
          </w:p>
        </w:tc>
        <w:tc>
          <w:tcPr>
            <w:tcW w:type="dxa" w:w="7272"/>
            <w:tcBorders>
              <w:top w:val="single" w:sz="5" w:color="C8D1D8"/>
              <w:left w:val="single" w:sz="5" w:color="C8D1D8"/>
              <w:bottom w:val="single" w:sz="5" w:color="C8D1D8"/>
              <w:right w:val="single" w:sz="5" w:color="C8D1D8"/>
              <w:insideH w:val="single" w:sz="5" w:color="C8D1D8"/>
              <w:insideV w:val="single" w:sz="5" w:color="C8D1D8"/>
            </w:tcBorders>
            <w:tcMar>
              <w:top w:w="90" w:type="dxa"/>
              <w:start w:w="100" w:type="dxa"/>
              <w:bottom w:w="90" w:type="dxa"/>
              <w:end w:w="100" w:type="dxa"/>
            </w:tcMar>
            <w:vAlign w:val="center"/>
          </w:tcPr>
          <w:p>
            <w:pPr>
              <w:spacing w:after="0"/>
            </w:pPr>
            <w:r>
              <w:rPr>
                <w:rFonts w:ascii="Arial" w:hAnsi="Arial"/>
                <w:sz w:val="17"/>
              </w:rPr>
              <w:t>No executable research code, raw logs, datasets, checkpoints, run index, or standalone figure source files were supplied.</w:t>
            </w:r>
          </w:p>
        </w:tc>
      </w:tr>
      <w:tr>
        <w:trPr>
          <w:cantSplit/>
        </w:trPr>
        <w:tc>
          <w:tcPr>
            <w:tcW w:type="dxa" w:w="2477"/>
            <w:shd w:fill="F5F7F9"/>
            <w:tcBorders>
              <w:top w:val="single" w:sz="5" w:color="C8D1D8"/>
              <w:left w:val="single" w:sz="5" w:color="C8D1D8"/>
              <w:bottom w:val="single" w:sz="5" w:color="C8D1D8"/>
              <w:right w:val="single" w:sz="5" w:color="C8D1D8"/>
              <w:insideH w:val="single" w:sz="5" w:color="C8D1D8"/>
              <w:insideV w:val="single" w:sz="5" w:color="C8D1D8"/>
            </w:tcBorders>
            <w:tcMar>
              <w:top w:w="90" w:type="dxa"/>
              <w:start w:w="100" w:type="dxa"/>
              <w:bottom w:w="90" w:type="dxa"/>
              <w:end w:w="100" w:type="dxa"/>
            </w:tcMar>
            <w:vAlign w:val="center"/>
          </w:tcPr>
          <w:p>
            <w:pPr>
              <w:spacing w:after="0"/>
            </w:pPr>
            <w:r>
              <w:rPr>
                <w:rFonts w:ascii="Arial" w:hAnsi="Arial"/>
                <w:b/>
                <w:sz w:val="17"/>
              </w:rPr>
              <w:t>Novelty boundary</w:t>
            </w:r>
          </w:p>
        </w:tc>
        <w:tc>
          <w:tcPr>
            <w:tcW w:type="dxa" w:w="7272"/>
            <w:shd w:fill="F5F7F9"/>
            <w:tcBorders>
              <w:top w:val="single" w:sz="5" w:color="C8D1D8"/>
              <w:left w:val="single" w:sz="5" w:color="C8D1D8"/>
              <w:bottom w:val="single" w:sz="5" w:color="C8D1D8"/>
              <w:right w:val="single" w:sz="5" w:color="C8D1D8"/>
              <w:insideH w:val="single" w:sz="5" w:color="C8D1D8"/>
              <w:insideV w:val="single" w:sz="5" w:color="C8D1D8"/>
            </w:tcBorders>
            <w:tcMar>
              <w:top w:w="90" w:type="dxa"/>
              <w:start w:w="100" w:type="dxa"/>
              <w:bottom w:w="90" w:type="dxa"/>
              <w:end w:w="100" w:type="dxa"/>
            </w:tcMar>
            <w:vAlign w:val="center"/>
          </w:tcPr>
          <w:p>
            <w:pPr>
              <w:spacing w:after="0"/>
            </w:pPr>
            <w:r>
              <w:rPr>
                <w:rFonts w:ascii="Arial" w:hAnsi="Arial"/>
                <w:sz w:val="17"/>
              </w:rPr>
              <w:t>Novelty was assessed from the manuscript's own positioning. A comprehensive external prior-art search was not performed.</w:t>
            </w:r>
          </w:p>
        </w:tc>
      </w:tr>
    </w:tbl>
    <w:p>
      <w:pPr>
        <w:pStyle w:val="Heading2"/>
      </w:pPr>
      <w:r>
        <w:t>Reading the reports</w:t>
      </w:r>
    </w:p>
    <w:p>
      <w:r>
        <w:t>Each reviewer uses stable local concern identifiers. A concern marked Blocking Yes is one that the reviewer judged necessary to resolve before the paper's central case is established. The final synthesis reports overlap only when at least two reviewers independently raised the same issue.</w:t>
      </w:r>
    </w:p>
    <w:p>
      <w:pPr>
        <w:pStyle w:val="Heading1"/>
        <w:pageBreakBefore/>
      </w:pPr>
      <w:r>
        <w:t>Reviewer 1</w:t>
      </w:r>
    </w:p>
    <w:p>
      <w:r>
        <w:t>Frozen independent pre-submission review for ICLR 2027. This report was prepared from the immutable review packet, all supplied manuscript sources, and the complete 26-page PDF. It was not informed by any other reviewer report.</w:t>
      </w:r>
    </w:p>
    <w:p>
      <w:pPr>
        <w:pStyle w:val="Heading2"/>
      </w:pPr>
      <w:r>
        <w:t>Summary</w:t>
      </w:r>
    </w:p>
    <w:p>
      <w:r>
        <w:t>The paper studies a severe but uncommon failure of low-bit post-training quantization for instruction-tuned language models. Under a short-document calibration protocol, 3-bit GPTQ reduces IFEval from 0.768 to 0.155 for Llama-3.1-8B-Instruct and from 0.820 to 0.426 for Qwen2.5-14B-Instruct, while MMLU and perplexity do not reliably expose the failure. The authors localize the damage to an early MLP down-projection associated with an attention sink, use re-rounding and matrix transplants to identify a small causal set of matrices, derive an exact Sherman-Morrison expression for GPTQ compensation after isolating a beginning-of-sequence contribution to the input covariance, and propose a token-weighted objective based on squared output-gradient norm divided by input energy. The proposed objective repairs the three reported 3-bit collapses and is evaluated across an 18-model quantization census.</w:t>
      </w:r>
    </w:p>
    <w:p>
      <w:r>
        <w:t>The empirical phenomenon is potentially important. The collapse effects are large, the matched RTN comparison is informative, and the lesion interventions are unusually ambitious. My main reservations concern the stronger mechanistic and generality claims. The manuscript equates a position-wise squared-gradient proxy with the missing output-side curvature even though its own negative results show that the position-diagonal Hessian approximation fails materially on Llama. The claimed prediction of lesion direction is also weaker than the headline suggests. More basically, the central short-document versus window comparison changes total calibration-token count by almost fivefold while the Introduction calls the token budget the same. Statistical uncertainty is not reported for prompt-level metrics, most census arms, or most intervention experiments. Finally, the reproducibility statement promises code, a run index, and a preregistration log, but the PDF still contains a repository TODO and none of those artifacts is in the packet.</w:t>
      </w:r>
    </w:p>
    <w:p>
      <w:pPr>
        <w:pStyle w:val="Heading2"/>
      </w:pPr>
      <w:r>
        <w:t>Overall assessment</w:t>
      </w:r>
    </w:p>
    <w:p>
      <w:r>
        <w:t>This is a creative and potentially high-value paper with a compelling failure case, a strong intervention vocabulary, and unusually candid reporting of failed predictions. I do not yet think the manuscript establishes its full central case. The descriptive claim that a particular GPTQ setup can catastrophically damage instruction following is credible. The broader claims that text cutting is the isolated protocol cause, that the loss ignores the dominant token in the relevant curvature sense, that the theorem predicts lesion direction and rows, and that the proposed repair is robust across models require additional evidence or narrower wording.</w:t>
      </w:r>
    </w:p>
    <w:p>
      <w:r>
        <w:t>My current posture is lean reject. I would be open to a substantially more positive assessment if the authors resolve the blocking theory, protocol-control, uncertainty, and reproducibility issues below.</w:t>
      </w:r>
    </w:p>
    <w:p>
      <w:pPr>
        <w:pStyle w:val="Heading2"/>
      </w:pPr>
      <w:r>
        <w:t>Main strengths</w:t>
      </w:r>
    </w:p>
    <w:p>
      <w:pPr>
        <w:spacing w:after="40"/>
        <w:ind w:left="346" w:hanging="259"/>
      </w:pPr>
      <w:r>
        <w:t xml:space="preserve">1.  </w:t>
      </w:r>
      <w:r>
        <w:t>The paper identifies an important evaluation blind spot. The contrast among IFEval, Multi-IF, GSM8K, MMLU, and perplexity is decision-relevant for practitioners who might otherwise validate compressed instruction models only with likelihood or multiple-choice metrics.</w:t>
      </w:r>
    </w:p>
    <w:p>
      <w:pPr>
        <w:spacing w:after="40"/>
        <w:ind w:left="346" w:hanging="259"/>
      </w:pPr>
      <w:r>
        <w:t xml:space="preserve">2.  </w:t>
      </w:r>
      <w:r>
        <w:t>RTN is a useful matched reference because it retains the same grid and grouping while removing GPTQ compensation. The very large GPTQ versus RTN gaps make the core failure difficult to dismiss as ordinary 3-bit degradation.</w:t>
      </w:r>
    </w:p>
    <w:p>
      <w:pPr>
        <w:spacing w:after="40"/>
        <w:ind w:left="346" w:hanging="259"/>
      </w:pPr>
      <w:r>
        <w:t xml:space="preserve">3.  </w:t>
      </w:r>
      <w:r>
        <w:t>The excision and transplant experiments go beyond correlation. Re-rounding a single sink-forming matrix, transplanting lesion matrices into RTN or other GPTQ backgrounds, and testing small early-layer matrix sets provide a concrete causal localization strategy.</w:t>
      </w:r>
    </w:p>
    <w:p>
      <w:pPr>
        <w:spacing w:after="40"/>
        <w:ind w:left="346" w:hanging="259"/>
      </w:pPr>
      <w:r>
        <w:t xml:space="preserve">4.  </w:t>
      </w:r>
      <w:r>
        <w:t>The algebra in Theorem 1 is clear and, as an identity for a rank-one contribution plus a positive definite remainder, appears correct. The proof states the loop convention, the principal-block update, and the Sherman-Morrison calculation explicitly.</w:t>
      </w:r>
    </w:p>
    <w:p>
      <w:pPr>
        <w:spacing w:after="40"/>
        <w:ind w:left="346" w:hanging="259"/>
      </w:pPr>
      <w:r>
        <w:t xml:space="preserve">5.  </w:t>
      </w:r>
      <w:r>
        <w:t>The paper distinguishes lesion formation from downstream absorption and openly states that absorption is not derived. It also reports thirty failed preregistered predictions, which is valuable evidence of an iterative attempt to falsify the proposed account.</w:t>
      </w:r>
    </w:p>
    <w:p>
      <w:pPr>
        <w:spacing w:after="40"/>
        <w:ind w:left="346" w:hanging="259"/>
      </w:pPr>
      <w:r>
        <w:t xml:space="preserve">6.  </w:t>
      </w:r>
      <w:r>
        <w:t>The proposed repair is simple enough to implement in Hessian-based quantizers, and the paper reports both downstream task costs and compute or memory overhead rather than presenting it as uniformly free.</w:t>
      </w:r>
    </w:p>
    <w:p>
      <w:pPr>
        <w:pStyle w:val="Heading2"/>
      </w:pPr>
      <w:r>
        <w:t>Major concerns</w:t>
      </w:r>
    </w:p>
    <w:p>
      <w:pPr>
        <w:pStyle w:val="Heading3"/>
      </w:pPr>
      <w:r>
        <w:t>R1-M1</w:t>
      </w:r>
    </w:p>
    <w:p>
      <w:pPr>
        <w:pStyle w:val="ListBullet"/>
      </w:pPr>
      <w:r>
        <w:rPr>
          <w:b/>
        </w:rPr>
        <w:t>Category</w:t>
      </w:r>
      <w:r>
        <w:t xml:space="preserve"> theory and mechanism evidence</w:t>
      </w:r>
    </w:p>
    <w:p>
      <w:pPr>
        <w:pStyle w:val="ListBullet"/>
      </w:pPr>
      <w:r>
        <w:rPr>
          <w:b/>
        </w:rPr>
        <w:t>Severity</w:t>
      </w:r>
      <w:r>
        <w:t xml:space="preserve"> Major</w:t>
      </w:r>
    </w:p>
    <w:p>
      <w:pPr>
        <w:pStyle w:val="ListBullet"/>
      </w:pPr>
      <w:r>
        <w:rPr>
          <w:b/>
        </w:rPr>
        <w:t>Blocking</w:t>
      </w:r>
      <w:r>
        <w:t xml:space="preserve"> Yes</w:t>
      </w:r>
    </w:p>
    <w:p>
      <w:pPr>
        <w:pStyle w:val="ListBullet"/>
      </w:pPr>
      <w:r>
        <w:rPr>
          <w:b/>
        </w:rPr>
        <w:t>Claim pointer</w:t>
      </w:r>
      <w:r>
        <w:t xml:space="preserve"> The paper claims that the loss is effectively insensitive to the BOS output, that the layer-wise objective omits the relevant output-side curvature, and that weighting tokens by squared output-gradient norm divided by input energy restores that missing curvature.</w:t>
      </w:r>
    </w:p>
    <w:p>
      <w:pPr>
        <w:pStyle w:val="ListBullet"/>
      </w:pPr>
      <w:r>
        <w:rPr>
          <w:b/>
        </w:rPr>
        <w:t>Evidence pointer</w:t>
      </w:r>
      <w:r>
        <w:t xml:space="preserve"> PDF pages 1, 6, 8, 9, and 18. </w:t>
      </w:r>
      <w:r>
        <w:rPr>
          <w:rFonts w:ascii="Courier New" w:hAnsi="Courier New"/>
          <w:sz w:val="17"/>
        </w:rPr>
        <w:t>00_abstract.tex</w:t>
      </w:r>
      <w:r>
        <w:t xml:space="preserve"> lines 7 and 11. </w:t>
      </w:r>
      <w:r>
        <w:rPr>
          <w:rFonts w:ascii="Courier New" w:hAnsi="Courier New"/>
          <w:sz w:val="17"/>
        </w:rPr>
        <w:t>05_theory.tex</w:t>
      </w:r>
      <w:r>
        <w:t xml:space="preserve"> lines 21-41, 44-51, and 140-151. </w:t>
      </w:r>
      <w:r>
        <w:rPr>
          <w:rFonts w:ascii="Courier New" w:hAnsi="Courier New"/>
          <w:sz w:val="17"/>
        </w:rPr>
        <w:t>C_negative_results.tex</w:t>
      </w:r>
      <w:r>
        <w:t xml:space="preserve"> lines 45-50. </w:t>
      </w:r>
      <w:r>
        <w:rPr>
          <w:rFonts w:ascii="Courier New" w:hAnsi="Courier New"/>
          <w:sz w:val="17"/>
        </w:rPr>
        <w:t>08_conclusion (3).tex</w:t>
      </w:r>
      <w:r>
        <w:t xml:space="preserve"> lines 3-6.</w:t>
      </w:r>
    </w:p>
    <w:p>
      <w:pPr>
        <w:pStyle w:val="ListBullet"/>
      </w:pPr>
      <w:r>
        <w:rPr>
          <w:b/>
        </w:rPr>
        <w:t>Concern</w:t>
      </w:r>
      <w:r>
        <w:t xml:space="preserve"> Equation (3) is introduced after discarding both the first-order term and all cross-position Hessian blocks. The downstream quantity actually used in Proposition 1 and the repair is not the Hessian block </w:t>
      </w:r>
      <w:r>
        <w:rPr>
          <w:rFonts w:ascii="Courier New" w:hAnsi="Courier New"/>
          <w:sz w:val="17"/>
        </w:rPr>
        <w:t>G_t</w:t>
      </w:r>
      <w:r>
        <w:t xml:space="preserve">, but </w:t>
      </w:r>
      <w:r>
        <w:rPr>
          <w:rFonts w:ascii="Courier New" w:hAnsi="Courier New"/>
          <w:sz w:val="17"/>
        </w:rPr>
        <w:t>g_t = ||dL/dy_t||^2</w:t>
      </w:r>
      <w:r>
        <w:t xml:space="preserve">, described correctly in the body as an empirical-Fisher proxy for the scale of </w:t>
      </w:r>
      <w:r>
        <w:rPr>
          <w:rFonts w:ascii="Courier New" w:hAnsi="Courier New"/>
          <w:sz w:val="17"/>
        </w:rPr>
        <w:t>G_t</w:t>
      </w:r>
      <w:r>
        <w:t xml:space="preserve">. These are not interchangeable. A small first derivative does not imply a small Hessian block, and cross-position terms are especially natural in a causal transformer. The manuscript's own failed-prediction table reports that the full curvature is 0.35 of the block-diagonal value and negative on Llama, with 1.09 on Qwen. This directly undermines the approximation used to motivate the phrases "the loss ignores" and "restores the missing curvature." The activation-patching results establish that some positions matter, but they do not validate the omitted Hessian structure or show that </w:t>
      </w:r>
      <w:r>
        <w:rPr>
          <w:rFonts w:ascii="Courier New" w:hAnsi="Courier New"/>
          <w:sz w:val="17"/>
        </w:rPr>
        <w:t>g_t/||x_t||^2</w:t>
      </w:r>
      <w:r>
        <w:t xml:space="preserve"> approximates the downstream quadratic loss.</w:t>
      </w:r>
    </w:p>
    <w:p>
      <w:pPr>
        <w:pStyle w:val="ListBullet"/>
      </w:pPr>
      <w:r>
        <w:rPr>
          <w:b/>
        </w:rPr>
        <w:t>Why it matters</w:t>
      </w:r>
      <w:r>
        <w:t xml:space="preserve"> The central mechanistic novelty is not merely that a heuristic token weight works. It is that objective mismatch is identified at the curvature level and corrected by restoring the output side. At present the exact theorem concerns GPTQ's input covariance, while the connection from that algebra to downstream loss is based on a proxy whose key approximation fails on one of the two flagship models.</w:t>
      </w:r>
    </w:p>
    <w:p>
      <w:pPr>
        <w:pStyle w:val="ListBullet"/>
      </w:pPr>
      <w:r>
        <w:rPr>
          <w:b/>
        </w:rPr>
        <w:t>Resolution test</w:t>
      </w:r>
      <w:r>
        <w:t xml:space="preserve"> Quantify the actual loss change for lesion-scale perturbations and compare it with predictions from the full Hessian, the position-diagonal Hessian, the empirical-Fisher proxy, and the proposed scalar weighting. Hessian-vector products are sufficient if explicit Hessians are infeasible. Report first-order and cross-position contributions for the same interventions used in the lesion experiments. Either show that the proxy preserves the relevant ordering and sign despite cross-position terms, or narrow all curvature and "loss ignores" claims to an empirically useful gradient-based surrogate claim.</w:t>
      </w:r>
    </w:p>
    <w:p>
      <w:pPr>
        <w:pStyle w:val="Heading3"/>
      </w:pPr>
      <w:r>
        <w:t>R1-M2</w:t>
      </w:r>
    </w:p>
    <w:p>
      <w:pPr>
        <w:pStyle w:val="ListBullet"/>
      </w:pPr>
      <w:r>
        <w:rPr>
          <w:b/>
        </w:rPr>
        <w:t>Category</w:t>
      </w:r>
      <w:r>
        <w:t xml:space="preserve"> theory-to-evidence alignment</w:t>
      </w:r>
    </w:p>
    <w:p>
      <w:pPr>
        <w:pStyle w:val="ListBullet"/>
      </w:pPr>
      <w:r>
        <w:rPr>
          <w:b/>
        </w:rPr>
        <w:t>Severity</w:t>
      </w:r>
      <w:r>
        <w:t xml:space="preserve"> Major</w:t>
      </w:r>
    </w:p>
    <w:p>
      <w:pPr>
        <w:pStyle w:val="ListBullet"/>
      </w:pPr>
      <w:r>
        <w:rPr>
          <w:b/>
        </w:rPr>
        <w:t>Blocking</w:t>
      </w:r>
      <w:r>
        <w:t xml:space="preserve"> Yes</w:t>
      </w:r>
    </w:p>
    <w:p>
      <w:pPr>
        <w:pStyle w:val="ListBullet"/>
      </w:pPr>
      <w:r>
        <w:rPr>
          <w:b/>
        </w:rPr>
        <w:t>Claim pointer</w:t>
      </w:r>
      <w:r>
        <w:t xml:space="preserve"> The abstract and conclusion state that the exact closed form predicts the matrix, row, direction, and amplitude of the damage, and that these signatures follow from Theorem 1 and Corollary 1.</w:t>
      </w:r>
    </w:p>
    <w:p>
      <w:pPr>
        <w:pStyle w:val="ListBullet"/>
      </w:pPr>
      <w:r>
        <w:rPr>
          <w:b/>
        </w:rPr>
        <w:t>Evidence pointer</w:t>
      </w:r>
      <w:r>
        <w:t xml:space="preserve"> PDF pages 1, 7, 9, 19, and 20. </w:t>
      </w:r>
      <w:r>
        <w:rPr>
          <w:rFonts w:ascii="Courier New" w:hAnsi="Courier New"/>
          <w:sz w:val="17"/>
        </w:rPr>
        <w:t>00_abstract.tex</w:t>
      </w:r>
      <w:r>
        <w:t xml:space="preserve"> line 8. </w:t>
      </w:r>
      <w:r>
        <w:rPr>
          <w:rFonts w:ascii="Courier New" w:hAnsi="Courier New"/>
          <w:sz w:val="17"/>
        </w:rPr>
        <w:t>05_theory.tex</w:t>
      </w:r>
      <w:r>
        <w:t xml:space="preserve"> lines 68-95 and 100-132. </w:t>
      </w:r>
      <w:r>
        <w:rPr>
          <w:rFonts w:ascii="Courier New" w:hAnsi="Courier New"/>
          <w:sz w:val="17"/>
        </w:rPr>
        <w:t>D_extra_tables.tex</w:t>
      </w:r>
      <w:r>
        <w:t xml:space="preserve"> lines 40-45. </w:t>
      </w:r>
      <w:r>
        <w:rPr>
          <w:rFonts w:ascii="Courier New" w:hAnsi="Courier New"/>
          <w:sz w:val="17"/>
        </w:rPr>
        <w:t>C_negative_results.tex</w:t>
      </w:r>
      <w:r>
        <w:t xml:space="preserve"> lines 44-50. </w:t>
      </w:r>
      <w:r>
        <w:rPr>
          <w:rFonts w:ascii="Courier New" w:hAnsi="Courier New"/>
          <w:sz w:val="17"/>
        </w:rPr>
        <w:t>08_conclusion (3).tex</w:t>
      </w:r>
      <w:r>
        <w:t xml:space="preserve"> line 5.</w:t>
      </w:r>
    </w:p>
    <w:p>
      <w:pPr>
        <w:pStyle w:val="ListBullet"/>
      </w:pPr>
      <w:r>
        <w:rPr>
          <w:b/>
        </w:rPr>
        <w:t>Concern</w:t>
      </w:r>
      <w:r>
        <w:t xml:space="preserve"> The exact part of Theorem 1 is an algebraic decomposition that includes the full remainder </w:t>
      </w:r>
      <w:r>
        <w:rPr>
          <w:rFonts w:ascii="Courier New" w:hAnsi="Courier New"/>
          <w:sz w:val="17"/>
        </w:rPr>
        <w:t>M_j</w:t>
      </w:r>
      <w:r>
        <w:t xml:space="preserve">. The clean direction, row, readout, and amplitude signatures in Corollary 1 require the much stronger isotropic assumption </w:t>
      </w:r>
      <w:r>
        <w:rPr>
          <w:rFonts w:ascii="Courier New" w:hAnsi="Courier New"/>
          <w:sz w:val="17"/>
        </w:rPr>
        <w:t>M_j = lambda I</w:t>
      </w:r>
      <w:r>
        <w:t xml:space="preserve">. The empirical evidence does not support the headline strength of the direction claim. The compensation pattern has cosine 0.52 to 0.93 with the BOS pattern in only 14 of 17 sink matrices, while its cosine with the general-case direction </w:t>
      </w:r>
      <w:r>
        <w:rPr>
          <w:rFonts w:ascii="Courier New" w:hAnsi="Courier New"/>
          <w:sz w:val="17"/>
        </w:rPr>
        <w:t>v = M^{-1}x_0</w:t>
      </w:r>
      <w:r>
        <w:t xml:space="preserve"> is reported as only 0.02 to 0.70. Removing BOS from the Hessian largely preserves direction and mainly changes amplitude. The failed-prediction table explicitly says this rules out the dominant token as the source of direction rather than amplitude. The readout prediction also fails on Llama. Nevertheless, the abstract and conclusion still say that direction and rows follow from the theorem.</w:t>
      </w:r>
    </w:p>
    <w:p>
      <w:pPr>
        <w:pStyle w:val="ListBullet"/>
      </w:pPr>
      <w:r>
        <w:rPr>
          <w:b/>
        </w:rPr>
        <w:t>Why it matters</w:t>
      </w:r>
      <w:r>
        <w:t xml:space="preserve"> The paper's theoretical contribution is presented as a predictive mechanism rather than a post hoc decomposition. If the dominant token controls amplitude but not direction, the causal interpretation and the scope of the theorem must be stated differently. Moderate cosine on selected matrices is not yet a quantitative prediction of the observed lesion.</w:t>
      </w:r>
    </w:p>
    <w:p>
      <w:pPr>
        <w:pStyle w:val="ListBullet"/>
      </w:pPr>
      <w:r>
        <w:rPr>
          <w:b/>
        </w:rPr>
        <w:t>Resolution test</w:t>
      </w:r>
      <w:r>
        <w:t xml:space="preserve"> For every flagship lesion and a representative model census, reconstruct the exact per-step and accumulated updates from Equation (5) using the observed </w:t>
      </w:r>
      <w:r>
        <w:rPr>
          <w:rFonts w:ascii="Courier New" w:hAnsi="Courier New"/>
          <w:sz w:val="17"/>
        </w:rPr>
        <w:t>M_j</w:t>
      </w:r>
      <w:r>
        <w:t>, rounding residuals, and column order. Compare predicted and actual matrix updates with preregistered metrics, including norm error, cosine, row ranking, overshoot, and token readout. Include no-BOS and ordinary-column controls. If exact reconstruction does not predict the lesion better than these controls, restrict the mechanistic claim to BOS-driven amplification and remove claims that direction and row localization are consequences of the dominant token.</w:t>
      </w:r>
    </w:p>
    <w:p>
      <w:pPr>
        <w:pStyle w:val="Heading3"/>
      </w:pPr>
      <w:r>
        <w:t>R1-M3</w:t>
      </w:r>
    </w:p>
    <w:p>
      <w:pPr>
        <w:pStyle w:val="ListBullet"/>
      </w:pPr>
      <w:r>
        <w:rPr>
          <w:b/>
        </w:rPr>
        <w:t>Category</w:t>
      </w:r>
      <w:r>
        <w:t xml:space="preserve"> experimental design and protocol confounding</w:t>
      </w:r>
    </w:p>
    <w:p>
      <w:pPr>
        <w:pStyle w:val="ListBullet"/>
      </w:pPr>
      <w:r>
        <w:rPr>
          <w:b/>
        </w:rPr>
        <w:t>Severity</w:t>
      </w:r>
      <w:r>
        <w:t xml:space="preserve"> Major</w:t>
      </w:r>
    </w:p>
    <w:p>
      <w:pPr>
        <w:pStyle w:val="ListBullet"/>
      </w:pPr>
      <w:r>
        <w:rPr>
          <w:b/>
        </w:rPr>
        <w:t>Blocking</w:t>
      </w:r>
      <w:r>
        <w:t xml:space="preserve"> Yes</w:t>
      </w:r>
    </w:p>
    <w:p>
      <w:pPr>
        <w:pStyle w:val="ListBullet"/>
      </w:pPr>
      <w:r>
        <w:rPr>
          <w:b/>
        </w:rPr>
        <w:t>Claim pointer</w:t>
      </w:r>
      <w:r>
        <w:t xml:space="preserve"> The Introduction says that replacing short documents with 2,048-token windows keeps the model, code, and token budget the same, and the paper attributes the Llama difference to how calibration text is cut.</w:t>
      </w:r>
    </w:p>
    <w:p>
      <w:pPr>
        <w:pStyle w:val="ListBullet"/>
      </w:pPr>
      <w:r>
        <w:rPr>
          <w:b/>
        </w:rPr>
        <w:t>Evidence pointer</w:t>
      </w:r>
      <w:r>
        <w:t xml:space="preserve"> PDF pages 1, 3, 4, 15, 21, and 22. </w:t>
      </w:r>
      <w:r>
        <w:rPr>
          <w:rFonts w:ascii="Courier New" w:hAnsi="Courier New"/>
          <w:sz w:val="17"/>
        </w:rPr>
        <w:t>01_introduction (3).tex</w:t>
      </w:r>
      <w:r>
        <w:t xml:space="preserve"> line 7. </w:t>
      </w:r>
      <w:r>
        <w:rPr>
          <w:rFonts w:ascii="Courier New" w:hAnsi="Courier New"/>
          <w:sz w:val="17"/>
        </w:rPr>
        <w:t>03_failure.tex</w:t>
      </w:r>
      <w:r>
        <w:t xml:space="preserve"> lines 4-7 and 22-27. </w:t>
      </w:r>
      <w:r>
        <w:rPr>
          <w:rFonts w:ascii="Courier New" w:hAnsi="Courier New"/>
          <w:sz w:val="17"/>
        </w:rPr>
        <w:t>B_protocols.tex</w:t>
      </w:r>
      <w:r>
        <w:t xml:space="preserve"> lines 4-11 and 13-27.</w:t>
      </w:r>
    </w:p>
    <w:p>
      <w:pPr>
        <w:pStyle w:val="ListBullet"/>
      </w:pPr>
      <w:r>
        <w:rPr>
          <w:b/>
        </w:rPr>
        <w:t>Concern</w:t>
      </w:r>
      <w:r>
        <w:t xml:space="preserve"> The stated token-budget control is false for the reported main protocols. The short-document arm uses 128 documents with mean length 420, or about 53,760 tokens. The window arm uses 128 windows of 2,048 tokens, or 262,144 tokens. Thus sample count is matched, but token count differs by about 4.9 times. The number and frequency of BOS tokens also differ, which is not a peripheral nuisance because BOS frequency is the proposed mechanism for the second Llama sink. The library example additionally uses 1,024 short documents, changing both total tokens and the number of document starts again. Qwen and Mistral results show that sequence length alone cannot explain every collapse, but they do not isolate text cutting, total token count, document-start frequency, corpus, and sample count for Llama.</w:t>
      </w:r>
    </w:p>
    <w:p>
      <w:pPr>
        <w:pStyle w:val="ListBullet"/>
      </w:pPr>
      <w:r>
        <w:rPr>
          <w:b/>
        </w:rPr>
        <w:t>Why it matters</w:t>
      </w:r>
      <w:r>
        <w:t xml:space="preserve"> Protocol dependence is a central claim and the paper gives a specific mechanistic explanation involving the frequency of dominant BOS contributions. Without factorial controls, the evidence cannot identify whether segmentation itself, total calibration mass, BOS count, or their interaction drives the observed difference.</w:t>
      </w:r>
    </w:p>
    <w:p>
      <w:pPr>
        <w:pStyle w:val="ListBullet"/>
      </w:pPr>
      <w:r>
        <w:rPr>
          <w:b/>
        </w:rPr>
        <w:t>Resolution test</w:t>
      </w:r>
      <w:r>
        <w:t xml:space="preserve"> Run matched controls that vary one factor at a time. At minimum, compare concatenated and separately tokenized text at fixed corpus, fixed total non-padding tokens, fixed number of BOS tokens, and fixed number of sampled documents. A factorial design varying sequence length and document-start frequency would be stronger. Report </w:t>
      </w:r>
      <w:r>
        <w:rPr>
          <w:rFonts w:ascii="Courier New" w:hAnsi="Courier New"/>
          <w:sz w:val="17"/>
        </w:rPr>
        <w:t>A_BOS</w:t>
      </w:r>
      <w:r>
        <w:t xml:space="preserve">, </w:t>
      </w:r>
      <w:r>
        <w:rPr>
          <w:rFonts w:ascii="Courier New" w:hAnsi="Courier New"/>
          <w:sz w:val="17"/>
        </w:rPr>
        <w:t>kappa</w:t>
      </w:r>
      <w:r>
        <w:t>, reconstruction error, and downstream metrics for every cell. Correct the "same token budget" statement regardless of the outcome.</w:t>
      </w:r>
    </w:p>
    <w:p>
      <w:pPr>
        <w:pStyle w:val="Heading3"/>
      </w:pPr>
      <w:r>
        <w:t>R1-M4</w:t>
      </w:r>
    </w:p>
    <w:p>
      <w:pPr>
        <w:pStyle w:val="ListBullet"/>
      </w:pPr>
      <w:r>
        <w:rPr>
          <w:b/>
        </w:rPr>
        <w:t>Category</w:t>
      </w:r>
      <w:r>
        <w:t xml:space="preserve"> statistical rigor and robustness</w:t>
      </w:r>
    </w:p>
    <w:p>
      <w:pPr>
        <w:pStyle w:val="ListBullet"/>
      </w:pPr>
      <w:r>
        <w:rPr>
          <w:b/>
        </w:rPr>
        <w:t>Severity</w:t>
      </w:r>
      <w:r>
        <w:t xml:space="preserve"> Major</w:t>
      </w:r>
    </w:p>
    <w:p>
      <w:pPr>
        <w:pStyle w:val="ListBullet"/>
      </w:pPr>
      <w:r>
        <w:rPr>
          <w:b/>
        </w:rPr>
        <w:t>Blocking</w:t>
      </w:r>
      <w:r>
        <w:t xml:space="preserve"> Yes</w:t>
      </w:r>
    </w:p>
    <w:p>
      <w:pPr>
        <w:pStyle w:val="ListBullet"/>
      </w:pPr>
      <w:r>
        <w:rPr>
          <w:b/>
        </w:rPr>
        <w:t>Claim pointer</w:t>
      </w:r>
      <w:r>
        <w:t xml:space="preserve"> The paper claims reproducible collapse frequencies, a repair that removes every 3-bit collapse found, a worst-case bound of 4.6 IFEval points below RTN across 18 models, and a mean gain of 0.3 points on 16 non-collapsing models.</w:t>
      </w:r>
    </w:p>
    <w:p>
      <w:pPr>
        <w:pStyle w:val="ListBullet"/>
      </w:pPr>
      <w:r>
        <w:rPr>
          <w:b/>
        </w:rPr>
        <w:t>Evidence pointer</w:t>
      </w:r>
      <w:r>
        <w:t xml:space="preserve"> PDF pages 3-5, 8-9, 21, 23-25. </w:t>
      </w:r>
      <w:r>
        <w:rPr>
          <w:rFonts w:ascii="Courier New" w:hAnsi="Courier New"/>
          <w:sz w:val="17"/>
        </w:rPr>
        <w:t>03_failure.tex</w:t>
      </w:r>
      <w:r>
        <w:t xml:space="preserve"> lines 7 and 26-27. </w:t>
      </w:r>
      <w:r>
        <w:rPr>
          <w:rFonts w:ascii="Courier New" w:hAnsi="Courier New"/>
          <w:sz w:val="17"/>
        </w:rPr>
        <w:t>04_lesion.tex</w:t>
      </w:r>
      <w:r>
        <w:t xml:space="preserve"> lines 14-22. </w:t>
      </w:r>
      <w:r>
        <w:rPr>
          <w:rFonts w:ascii="Courier New" w:hAnsi="Courier New"/>
          <w:sz w:val="17"/>
        </w:rPr>
        <w:t>06_repair.tex</w:t>
      </w:r>
      <w:r>
        <w:t xml:space="preserve"> lines 11-19. </w:t>
      </w:r>
      <w:r>
        <w:rPr>
          <w:rFonts w:ascii="Courier New" w:hAnsi="Courier New"/>
          <w:sz w:val="17"/>
        </w:rPr>
        <w:t>07_generality.tex</w:t>
      </w:r>
      <w:r>
        <w:t xml:space="preserve"> lines 3-7. </w:t>
      </w:r>
      <w:r>
        <w:rPr>
          <w:rFonts w:ascii="Courier New" w:hAnsi="Courier New"/>
          <w:sz w:val="17"/>
        </w:rPr>
        <w:t>B_protocols.tex</w:t>
      </w:r>
      <w:r>
        <w:t xml:space="preserve"> lines 55-63. Table 16 on PDF page 25.</w:t>
      </w:r>
    </w:p>
    <w:p>
      <w:pPr>
        <w:pStyle w:val="ListBullet"/>
      </w:pPr>
      <w:r>
        <w:rPr>
          <w:b/>
        </w:rPr>
        <w:t>Concern</w:t>
      </w:r>
      <w:r>
        <w:t xml:space="preserve"> The paper supplies little uncertainty analysis. IFEval is averaged across four correlated prompt-level and instruction-level accuracies, but no paired confidence intervals or component-level uncertainty are shown. The four-point "seed noise" threshold is the maximum movement of an unspecified non-collapsing arm rather than an estimated distribution. Collapse frequency is based on 5, 4, and 2 calibration draws for the three cases. Most matrix-transplant conclusions use single draws. The corrected objective has two draws only for the collapsing models and generally one draw elsewhere in the census. The average </w:t>
      </w:r>
      <w:r>
        <w:rPr>
          <w:rFonts w:ascii="Courier New" w:hAnsi="Courier New"/>
          <w:sz w:val="17"/>
        </w:rPr>
        <w:t>+0.3</w:t>
      </w:r>
      <w:r>
        <w:t xml:space="preserve"> on 16 healthy models is reported beside a range from </w:t>
      </w:r>
      <w:r>
        <w:rPr>
          <w:rFonts w:ascii="Courier New" w:hAnsi="Courier New"/>
          <w:sz w:val="17"/>
        </w:rPr>
        <w:t>-5.6</w:t>
      </w:r>
      <w:r>
        <w:t xml:space="preserve"> to </w:t>
      </w:r>
      <w:r>
        <w:rPr>
          <w:rFonts w:ascii="Courier New" w:hAnsi="Courier New"/>
          <w:sz w:val="17"/>
        </w:rPr>
        <w:t>+13.9</w:t>
      </w:r>
      <w:r>
        <w:t xml:space="preserve"> without a confidence interval or a clear estimand. The Spearman result is called nonsignificant without its sample size, p value, or interval. The large flagship collapses are unlikely to disappear under a better analysis, but the robustness, safety, and generality claims are not statistically established.</w:t>
      </w:r>
    </w:p>
    <w:p>
      <w:pPr>
        <w:pStyle w:val="ListBullet"/>
      </w:pPr>
      <w:r>
        <w:rPr>
          <w:b/>
        </w:rPr>
        <w:t>Why it matters</w:t>
      </w:r>
      <w:r>
        <w:t xml:space="preserve"> The paper asks the reader to separate rare collapse from ordinary variation, to trust causal effects of individual matrix transplants, and to treat the repair as broadly bounded. Those inferences depend directly on variation over calibration draws and prompts.</w:t>
      </w:r>
    </w:p>
    <w:p>
      <w:pPr>
        <w:pStyle w:val="ListBullet"/>
      </w:pPr>
      <w:r>
        <w:rPr>
          <w:b/>
        </w:rPr>
        <w:t>Resolution test</w:t>
      </w:r>
      <w:r>
        <w:t xml:space="preserve"> Predefine the collapse threshold independently of the observed maximum. Report all four IFEval components and paired prompt-level bootstrap intervals for key arm comparisons. Replicate the main protocol, excision, transplant, and repair experiments across enough independent calibration draws to estimate frequencies and effect distributions. Give binomial intervals for collapse rates, confidence intervals and exact sample sizes for census summaries and correlations, and a model-wise table that makes clear which quantities are descriptive for a fixed census versus intended to generalize.</w:t>
      </w:r>
    </w:p>
    <w:p>
      <w:pPr>
        <w:pStyle w:val="Heading3"/>
      </w:pPr>
      <w:r>
        <w:t>R1-M5</w:t>
      </w:r>
    </w:p>
    <w:p>
      <w:pPr>
        <w:pStyle w:val="ListBullet"/>
      </w:pPr>
      <w:r>
        <w:rPr>
          <w:b/>
        </w:rPr>
        <w:t>Category</w:t>
      </w:r>
      <w:r>
        <w:t xml:space="preserve"> external validity and claim moderation</w:t>
      </w:r>
    </w:p>
    <w:p>
      <w:pPr>
        <w:pStyle w:val="ListBullet"/>
      </w:pPr>
      <w:r>
        <w:rPr>
          <w:b/>
        </w:rPr>
        <w:t>Severity</w:t>
      </w:r>
      <w:r>
        <w:t xml:space="preserve"> Major</w:t>
      </w:r>
    </w:p>
    <w:p>
      <w:pPr>
        <w:pStyle w:val="ListBullet"/>
      </w:pPr>
      <w:r>
        <w:rPr>
          <w:b/>
        </w:rPr>
        <w:t>Blocking</w:t>
      </w:r>
      <w:r>
        <w:t xml:space="preserve"> No</w:t>
      </w:r>
    </w:p>
    <w:p>
      <w:pPr>
        <w:pStyle w:val="ListBullet"/>
      </w:pPr>
      <w:r>
        <w:rPr>
          <w:b/>
        </w:rPr>
        <w:t>Claim pointer</w:t>
      </w:r>
      <w:r>
        <w:t xml:space="preserve"> The paper connects the observed failure to a calibration protocol used by a widely deployed library and motivates the work as a deployment risk of GPTQ.</w:t>
      </w:r>
    </w:p>
    <w:p>
      <w:pPr>
        <w:pStyle w:val="ListBullet"/>
      </w:pPr>
      <w:r>
        <w:rPr>
          <w:b/>
        </w:rPr>
        <w:t>Evidence pointer</w:t>
      </w:r>
      <w:r>
        <w:t xml:space="preserve"> PDF pages 1, 3, 15, 17, and 20-22. </w:t>
      </w:r>
      <w:r>
        <w:rPr>
          <w:rFonts w:ascii="Courier New" w:hAnsi="Courier New"/>
          <w:sz w:val="17"/>
        </w:rPr>
        <w:t>00_abstract.tex</w:t>
      </w:r>
      <w:r>
        <w:t xml:space="preserve"> line 4. </w:t>
      </w:r>
      <w:r>
        <w:rPr>
          <w:rFonts w:ascii="Courier New" w:hAnsi="Courier New"/>
          <w:sz w:val="17"/>
        </w:rPr>
        <w:t>01_introduction (3).tex</w:t>
      </w:r>
      <w:r>
        <w:t xml:space="preserve"> lines 3-7. </w:t>
      </w:r>
      <w:r>
        <w:rPr>
          <w:rFonts w:ascii="Courier New" w:hAnsi="Courier New"/>
          <w:sz w:val="17"/>
        </w:rPr>
        <w:t>03_failure.tex</w:t>
      </w:r>
      <w:r>
        <w:t xml:space="preserve"> lines 4-7. </w:t>
      </w:r>
      <w:r>
        <w:rPr>
          <w:rFonts w:ascii="Courier New" w:hAnsi="Courier New"/>
          <w:sz w:val="17"/>
        </w:rPr>
        <w:t>B_protocols.tex</w:t>
      </w:r>
      <w:r>
        <w:t xml:space="preserve"> lines 4-11 and 13-27.</w:t>
      </w:r>
    </w:p>
    <w:p>
      <w:pPr>
        <w:pStyle w:val="ListBullet"/>
      </w:pPr>
      <w:r>
        <w:rPr>
          <w:b/>
        </w:rPr>
        <w:t>Concern</w:t>
      </w:r>
      <w:r>
        <w:t xml:space="preserve"> The main experiments reproduce a library's sampling shape, not its complete default pipeline. The manuscript uses 128 rather than the README's 1,024 rows, enables act-order while GPTQModel leaves </w:t>
      </w:r>
      <w:r>
        <w:rPr>
          <w:rFonts w:ascii="Courier New" w:hAnsi="Courier New"/>
          <w:sz w:val="17"/>
        </w:rPr>
        <w:t>desc_act</w:t>
      </w:r>
      <w:r>
        <w:t xml:space="preserve"> unset, disables true-sequential Hessian collection while GPTQModel enables it, and uses fake quantization in 16-bit storage. These choices are disclosed, which is good, but the practical framing can still be read as an end-to-end default-library failure. The reported 1,024-row values do not clearly state whether all other library defaults and the actual library implementation were used.</w:t>
      </w:r>
    </w:p>
    <w:p>
      <w:pPr>
        <w:pStyle w:val="ListBullet"/>
      </w:pPr>
      <w:r>
        <w:rPr>
          <w:b/>
        </w:rPr>
        <w:t>Why it matters</w:t>
      </w:r>
      <w:r>
        <w:t xml:space="preserve"> A failure of a carefully controlled GPTQ variant is scientifically interesting, but the incidence and deployment relevance may differ under actual library defaults and production kernels. Act-order and Hessian collection are close to the proposed mechanism and therefore require direct ablation.</w:t>
      </w:r>
    </w:p>
    <w:p>
      <w:pPr>
        <w:pStyle w:val="ListBullet"/>
      </w:pPr>
      <w:r>
        <w:rPr>
          <w:b/>
        </w:rPr>
        <w:t>Resolution test</w:t>
      </w:r>
      <w:r>
        <w:t xml:space="preserve"> Add end-to-end runs using pinned released versions of GPTQModel and LLM Compressor with their documented default settings, plus controlled ablations of act-order, true-sequential collection, row count, and fake versus deployed quantization kernels. Rewrite the abstract and practical claims to distinguish a default sampling protocol from a default complete implementation.</w:t>
      </w:r>
    </w:p>
    <w:p>
      <w:pPr>
        <w:pStyle w:val="Heading3"/>
      </w:pPr>
      <w:r>
        <w:t>R1-M6</w:t>
      </w:r>
    </w:p>
    <w:p>
      <w:pPr>
        <w:pStyle w:val="ListBullet"/>
      </w:pPr>
      <w:r>
        <w:rPr>
          <w:b/>
        </w:rPr>
        <w:t>Category</w:t>
      </w:r>
      <w:r>
        <w:t xml:space="preserve"> reproducibility and numerical provenance</w:t>
      </w:r>
    </w:p>
    <w:p>
      <w:pPr>
        <w:pStyle w:val="ListBullet"/>
      </w:pPr>
      <w:r>
        <w:rPr>
          <w:b/>
        </w:rPr>
        <w:t>Severity</w:t>
      </w:r>
      <w:r>
        <w:t xml:space="preserve"> Major</w:t>
      </w:r>
    </w:p>
    <w:p>
      <w:pPr>
        <w:pStyle w:val="ListBullet"/>
      </w:pPr>
      <w:r>
        <w:rPr>
          <w:b/>
        </w:rPr>
        <w:t>Blocking</w:t>
      </w:r>
      <w:r>
        <w:t xml:space="preserve"> Yes</w:t>
      </w:r>
    </w:p>
    <w:p>
      <w:pPr>
        <w:pStyle w:val="ListBullet"/>
      </w:pPr>
      <w:r>
        <w:rPr>
          <w:b/>
        </w:rPr>
        <w:t>Claim pointer</w:t>
      </w:r>
      <w:r>
        <w:t xml:space="preserve"> The reproducibility statement says that all code, the run index mapping every number to a checkpoint and protocol, and the preregistration log are released with the submission.</w:t>
      </w:r>
    </w:p>
    <w:p>
      <w:pPr>
        <w:pStyle w:val="ListBullet"/>
      </w:pPr>
      <w:r>
        <w:rPr>
          <w:b/>
        </w:rPr>
        <w:t>Evidence pointer</w:t>
      </w:r>
      <w:r>
        <w:t xml:space="preserve"> PDF pages 10, 15-17, and 20. </w:t>
      </w:r>
      <w:r>
        <w:rPr>
          <w:rFonts w:ascii="Courier New" w:hAnsi="Courier New"/>
          <w:sz w:val="17"/>
        </w:rPr>
        <w:t>10_statements.tex</w:t>
      </w:r>
      <w:r>
        <w:t xml:space="preserve"> lines 2-5. </w:t>
      </w:r>
      <w:r>
        <w:rPr>
          <w:rFonts w:ascii="Courier New" w:hAnsi="Courier New"/>
          <w:sz w:val="17"/>
        </w:rPr>
        <w:t>B_protocols.tex</w:t>
      </w:r>
      <w:r>
        <w:t xml:space="preserve"> lines 33-40 and 42-53. </w:t>
      </w:r>
      <w:r>
        <w:rPr>
          <w:rFonts w:ascii="Courier New" w:hAnsi="Courier New"/>
          <w:sz w:val="17"/>
        </w:rPr>
        <w:t>D_extra_tables.tex</w:t>
      </w:r>
      <w:r>
        <w:t xml:space="preserve"> lines 46-47. </w:t>
      </w:r>
      <w:r>
        <w:rPr>
          <w:rFonts w:ascii="Courier New" w:hAnsi="Courier New"/>
          <w:sz w:val="17"/>
        </w:rPr>
        <w:t>00_numbers.tex</w:t>
      </w:r>
      <w:r>
        <w:t xml:space="preserve"> lines 1-6 and 148-190.</w:t>
      </w:r>
    </w:p>
    <w:p>
      <w:pPr>
        <w:pStyle w:val="ListBullet"/>
      </w:pPr>
      <w:r>
        <w:rPr>
          <w:b/>
        </w:rPr>
        <w:t>Concern</w:t>
      </w:r>
      <w:r>
        <w:t xml:space="preserve"> The PDF visibly contains </w:t>
      </w:r>
      <w:r>
        <w:rPr>
          <w:rFonts w:ascii="Courier New" w:hAnsi="Courier New"/>
          <w:sz w:val="17"/>
        </w:rPr>
        <w:t>[TODO: Anonymous repository link.]</w:t>
      </w:r>
      <w:r>
        <w:t>, and the supplied packet contains no executable code, raw logs, run index, checkpoints, preregistration records, or standalone figure and table sources. This is particularly consequential because Appendix B documents an earlier key-value-cache bug that changed a protocol result and a central transplant result before all GPTQ-family arms were rerun. Many mechanistic measurements are said to exist only in the absent run index. The numerical macro file also mixes values from many run batches and includes pending-history comments, so the manuscript alone cannot verify that every table and claim uses the corrected code path.</w:t>
      </w:r>
    </w:p>
    <w:p>
      <w:pPr>
        <w:pStyle w:val="ListBullet"/>
      </w:pPr>
      <w:r>
        <w:rPr>
          <w:b/>
        </w:rPr>
        <w:t>Why it matters</w:t>
      </w:r>
      <w:r>
        <w:t xml:space="preserve"> The central evidence depends on a custom quantization loop, exact layer-call semantics, matrix-level interventions, and hundreds of run-specific values. Given the admitted prior bug, independent auditability is required before the central causal case is reliable.</w:t>
      </w:r>
    </w:p>
    <w:p>
      <w:pPr>
        <w:pStyle w:val="ListBullet"/>
      </w:pPr>
      <w:r>
        <w:rPr>
          <w:b/>
        </w:rPr>
        <w:t>Resolution test</w:t>
      </w:r>
      <w:r>
        <w:t xml:space="preserve"> Provide an anonymous, immutable repository with a pinned environment, exact library commits, all configuration files, seeds, run-index rows, preregistration timestamps, raw evaluation outputs, and scripts that regenerate every table and figure. Include automated regression tests comparing per-layer activations with a full quantized forward pass and tests covering cache handling, true-sequential mode, and each matrix transplant. A clean rerun from the released artifact must reproduce the headline tables within stated tolerances.</w:t>
      </w:r>
    </w:p>
    <w:p>
      <w:pPr>
        <w:pStyle w:val="Heading2"/>
      </w:pPr>
      <w:r>
        <w:t>Minor comments</w:t>
      </w:r>
    </w:p>
    <w:p>
      <w:pPr>
        <w:pStyle w:val="Heading3"/>
      </w:pPr>
      <w:r>
        <w:t>R1-m1</w:t>
      </w:r>
    </w:p>
    <w:p>
      <w:pPr>
        <w:pStyle w:val="ListBullet"/>
      </w:pPr>
      <w:r>
        <w:rPr>
          <w:b/>
        </w:rPr>
        <w:t>Severity</w:t>
      </w:r>
      <w:r>
        <w:t xml:space="preserve"> Minor</w:t>
      </w:r>
    </w:p>
    <w:p>
      <w:pPr>
        <w:pStyle w:val="ListBullet"/>
      </w:pPr>
      <w:r>
        <w:rPr>
          <w:b/>
        </w:rPr>
        <w:t>Category</w:t>
      </w:r>
      <w:r>
        <w:t xml:space="preserve"> notation and assumptions</w:t>
      </w:r>
    </w:p>
    <w:p>
      <w:pPr>
        <w:pStyle w:val="ListBullet"/>
      </w:pPr>
      <w:r>
        <w:rPr>
          <w:b/>
        </w:rPr>
        <w:t>Affected element</w:t>
      </w:r>
      <w:r>
        <w:t xml:space="preserve"> The rank-one BOS decomposition and the definition of </w:t>
      </w:r>
      <w:r>
        <w:rPr>
          <w:rFonts w:ascii="Courier New" w:hAnsi="Courier New"/>
          <w:sz w:val="17"/>
        </w:rPr>
        <w:t>x_0</w:t>
      </w:r>
      <w:r>
        <w:t>.</w:t>
      </w:r>
    </w:p>
    <w:p>
      <w:pPr>
        <w:pStyle w:val="ListBullet"/>
      </w:pPr>
      <w:r>
        <w:rPr>
          <w:b/>
        </w:rPr>
        <w:t>Evidence pointer</w:t>
      </w:r>
      <w:r>
        <w:t xml:space="preserve"> </w:t>
      </w:r>
      <w:r>
        <w:rPr>
          <w:rFonts w:ascii="Courier New" w:hAnsi="Courier New"/>
          <w:sz w:val="17"/>
        </w:rPr>
        <w:t>05_theory.tex</w:t>
      </w:r>
      <w:r>
        <w:t xml:space="preserve"> lines 7-10 and 56-67. </w:t>
      </w:r>
      <w:r>
        <w:rPr>
          <w:rFonts w:ascii="Courier New" w:hAnsi="Courier New"/>
          <w:sz w:val="17"/>
        </w:rPr>
        <w:t>A_proofs.tex</w:t>
      </w:r>
      <w:r>
        <w:t xml:space="preserve"> lines 1-10.</w:t>
      </w:r>
    </w:p>
    <w:p>
      <w:pPr>
        <w:pStyle w:val="ListBullet"/>
      </w:pPr>
      <w:r>
        <w:rPr>
          <w:b/>
        </w:rPr>
        <w:t>Issue</w:t>
      </w:r>
      <w:r>
        <w:t xml:space="preserve"> </w:t>
      </w:r>
      <w:r>
        <w:rPr>
          <w:rFonts w:ascii="Courier New" w:hAnsi="Courier New"/>
          <w:sz w:val="17"/>
        </w:rPr>
        <w:t>x_0</w:t>
      </w:r>
      <w:r>
        <w:t xml:space="preserve"> is called an effective activation accumulated over calibration samples, but the manuscript does not state the exact construction that makes the aggregate BOS contribution equal to </w:t>
      </w:r>
      <w:r>
        <w:rPr>
          <w:rFonts w:ascii="Courier New" w:hAnsi="Courier New"/>
          <w:sz w:val="17"/>
        </w:rPr>
        <w:t>x_0 x_0^T</w:t>
      </w:r>
      <w:r>
        <w:t xml:space="preserve">. This equality is exact only if the relevant BOS activations are identical or collinear, or if </w:t>
      </w:r>
      <w:r>
        <w:rPr>
          <w:rFonts w:ascii="Courier New" w:hAnsi="Courier New"/>
          <w:sz w:val="17"/>
        </w:rPr>
        <w:t>x_0 x_0^T</w:t>
      </w:r>
      <w:r>
        <w:t xml:space="preserve"> is explicitly defined as a rank-one approximation.</w:t>
      </w:r>
    </w:p>
    <w:p>
      <w:pPr>
        <w:pStyle w:val="ListBullet"/>
      </w:pPr>
      <w:r>
        <w:rPr>
          <w:b/>
        </w:rPr>
        <w:t>Required correction</w:t>
      </w:r>
      <w:r>
        <w:t xml:space="preserve"> Define </w:t>
      </w:r>
      <w:r>
        <w:rPr>
          <w:rFonts w:ascii="Courier New" w:hAnsi="Courier New"/>
          <w:sz w:val="17"/>
        </w:rPr>
        <w:t>x_0</w:t>
      </w:r>
      <w:r>
        <w:t xml:space="preserve"> operationally, report the leading-eigenvalue share of the aggregate BOS block, and state where the rank-one representation is exact versus approximate.</w:t>
      </w:r>
    </w:p>
    <w:p>
      <w:pPr>
        <w:pStyle w:val="Heading3"/>
      </w:pPr>
      <w:r>
        <w:t>R1-m2</w:t>
      </w:r>
    </w:p>
    <w:p>
      <w:pPr>
        <w:pStyle w:val="ListBullet"/>
      </w:pPr>
      <w:r>
        <w:rPr>
          <w:b/>
        </w:rPr>
        <w:t>Severity</w:t>
      </w:r>
      <w:r>
        <w:t xml:space="preserve"> Minor</w:t>
      </w:r>
    </w:p>
    <w:p>
      <w:pPr>
        <w:pStyle w:val="ListBullet"/>
      </w:pPr>
      <w:r>
        <w:rPr>
          <w:b/>
        </w:rPr>
        <w:t>Category</w:t>
      </w:r>
      <w:r>
        <w:t xml:space="preserve"> theorem precision</w:t>
      </w:r>
    </w:p>
    <w:p>
      <w:pPr>
        <w:pStyle w:val="ListBullet"/>
      </w:pPr>
      <w:r>
        <w:rPr>
          <w:b/>
        </w:rPr>
        <w:t>Affected element</w:t>
      </w:r>
      <w:r>
        <w:t xml:space="preserve"> Proposition 2(a).</w:t>
      </w:r>
    </w:p>
    <w:p>
      <w:pPr>
        <w:pStyle w:val="ListBullet"/>
      </w:pPr>
      <w:r>
        <w:rPr>
          <w:b/>
        </w:rPr>
        <w:t>Evidence pointer</w:t>
      </w:r>
      <w:r>
        <w:t xml:space="preserve"> </w:t>
      </w:r>
      <w:r>
        <w:rPr>
          <w:rFonts w:ascii="Courier New" w:hAnsi="Courier New"/>
          <w:sz w:val="17"/>
        </w:rPr>
        <w:t>05_theory.tex</w:t>
      </w:r>
      <w:r>
        <w:t xml:space="preserve"> lines 143-150. </w:t>
      </w:r>
      <w:r>
        <w:rPr>
          <w:rFonts w:ascii="Courier New" w:hAnsi="Courier New"/>
          <w:sz w:val="17"/>
        </w:rPr>
        <w:t>A_proofs.tex</w:t>
      </w:r>
      <w:r>
        <w:t xml:space="preserve"> lines 72-81.</w:t>
      </w:r>
    </w:p>
    <w:p>
      <w:pPr>
        <w:pStyle w:val="ListBullet"/>
      </w:pPr>
      <w:r>
        <w:rPr>
          <w:b/>
        </w:rPr>
        <w:t>Issue</w:t>
      </w:r>
      <w:r>
        <w:t xml:space="preserve"> The proposition permits </w:t>
      </w:r>
      <w:r>
        <w:rPr>
          <w:rFonts w:ascii="Courier New" w:hAnsi="Courier New"/>
          <w:sz w:val="17"/>
        </w:rPr>
        <w:t>G</w:t>
      </w:r>
      <w:r>
        <w:t xml:space="preserve"> to be positive semidefinite. If it is singular, the compensation minimizer need not be unique. The nearest-grid statement for diagonal </w:t>
      </w:r>
      <w:r>
        <w:rPr>
          <w:rFonts w:ascii="Courier New" w:hAnsi="Courier New"/>
          <w:sz w:val="17"/>
        </w:rPr>
        <w:t>G</w:t>
      </w:r>
      <w:r>
        <w:t xml:space="preserve"> also requires positive row weights if it is to leave every row's rounding decision well defined.</w:t>
      </w:r>
    </w:p>
    <w:p>
      <w:pPr>
        <w:pStyle w:val="ListBullet"/>
      </w:pPr>
      <w:r>
        <w:rPr>
          <w:b/>
        </w:rPr>
        <w:t>Required correction</w:t>
      </w:r>
      <w:r>
        <w:t xml:space="preserve"> State existence rather than uniqueness for singular </w:t>
      </w:r>
      <w:r>
        <w:rPr>
          <w:rFonts w:ascii="Courier New" w:hAnsi="Courier New"/>
          <w:sz w:val="17"/>
        </w:rPr>
        <w:t>G</w:t>
      </w:r>
      <w:r>
        <w:t xml:space="preserve">, or assume </w:t>
      </w:r>
      <w:r>
        <w:rPr>
          <w:rFonts w:ascii="Courier New" w:hAnsi="Courier New"/>
          <w:sz w:val="17"/>
        </w:rPr>
        <w:t>G</w:t>
      </w:r>
      <w:r>
        <w:t xml:space="preserve"> is positive definite. Require strictly positive diagonal entries for the row-wise nearest-grid statement.</w:t>
      </w:r>
    </w:p>
    <w:p>
      <w:pPr>
        <w:pStyle w:val="Heading3"/>
      </w:pPr>
      <w:r>
        <w:t>R1-m3</w:t>
      </w:r>
    </w:p>
    <w:p>
      <w:pPr>
        <w:pStyle w:val="ListBullet"/>
      </w:pPr>
      <w:r>
        <w:rPr>
          <w:b/>
        </w:rPr>
        <w:t>Severity</w:t>
      </w:r>
      <w:r>
        <w:t xml:space="preserve"> Minor</w:t>
      </w:r>
    </w:p>
    <w:p>
      <w:pPr>
        <w:pStyle w:val="ListBullet"/>
      </w:pPr>
      <w:r>
        <w:rPr>
          <w:b/>
        </w:rPr>
        <w:t>Category</w:t>
      </w:r>
      <w:r>
        <w:t xml:space="preserve"> claim moderation</w:t>
      </w:r>
    </w:p>
    <w:p>
      <w:pPr>
        <w:pStyle w:val="ListBullet"/>
      </w:pPr>
      <w:r>
        <w:rPr>
          <w:b/>
        </w:rPr>
        <w:t>Affected element</w:t>
      </w:r>
      <w:r>
        <w:t xml:space="preserve"> The minimal-set language in Section 4.</w:t>
      </w:r>
    </w:p>
    <w:p>
      <w:pPr>
        <w:pStyle w:val="ListBullet"/>
      </w:pPr>
      <w:r>
        <w:rPr>
          <w:b/>
        </w:rPr>
        <w:t>Evidence pointer</w:t>
      </w:r>
      <w:r>
        <w:t xml:space="preserve"> </w:t>
      </w:r>
      <w:r>
        <w:rPr>
          <w:rFonts w:ascii="Courier New" w:hAnsi="Courier New"/>
          <w:sz w:val="17"/>
        </w:rPr>
        <w:t>04_lesion.tex</w:t>
      </w:r>
      <w:r>
        <w:t xml:space="preserve"> lines 14-18. Table 14 on PDF page 24.</w:t>
      </w:r>
    </w:p>
    <w:p>
      <w:pPr>
        <w:pStyle w:val="ListBullet"/>
      </w:pPr>
      <w:r>
        <w:rPr>
          <w:b/>
        </w:rPr>
        <w:t>Issue</w:t>
      </w:r>
      <w:r>
        <w:t xml:space="preserve"> The text says every set containing the two down-projections collapses and every set without the layer-0 down-projection is healthy. Table 14 shows a selected collection of supersets and controls, not an exhaustive enumeration of all subsets.</w:t>
      </w:r>
    </w:p>
    <w:p>
      <w:pPr>
        <w:pStyle w:val="ListBullet"/>
      </w:pPr>
      <w:r>
        <w:rPr>
          <w:b/>
        </w:rPr>
        <w:t>Required correction</w:t>
      </w:r>
      <w:r>
        <w:t xml:space="preserve"> Replace "every set" with "every tested set" unless the complete subset enumeration is supplied.</w:t>
      </w:r>
    </w:p>
    <w:p>
      <w:pPr>
        <w:pStyle w:val="Heading3"/>
      </w:pPr>
      <w:r>
        <w:t>R1-m4</w:t>
      </w:r>
    </w:p>
    <w:p>
      <w:pPr>
        <w:pStyle w:val="ListBullet"/>
      </w:pPr>
      <w:r>
        <w:rPr>
          <w:b/>
        </w:rPr>
        <w:t>Severity</w:t>
      </w:r>
      <w:r>
        <w:t xml:space="preserve"> Minor</w:t>
      </w:r>
    </w:p>
    <w:p>
      <w:pPr>
        <w:pStyle w:val="ListBullet"/>
      </w:pPr>
      <w:r>
        <w:rPr>
          <w:b/>
        </w:rPr>
        <w:t>Category</w:t>
      </w:r>
      <w:r>
        <w:t xml:space="preserve"> metric reporting</w:t>
      </w:r>
    </w:p>
    <w:p>
      <w:pPr>
        <w:pStyle w:val="ListBullet"/>
      </w:pPr>
      <w:r>
        <w:rPr>
          <w:b/>
        </w:rPr>
        <w:t>Affected element</w:t>
      </w:r>
      <w:r>
        <w:t xml:space="preserve"> IFEval presentation.</w:t>
      </w:r>
    </w:p>
    <w:p>
      <w:pPr>
        <w:pStyle w:val="ListBullet"/>
      </w:pPr>
      <w:r>
        <w:rPr>
          <w:b/>
        </w:rPr>
        <w:t>Evidence pointer</w:t>
      </w:r>
      <w:r>
        <w:t xml:space="preserve"> </w:t>
      </w:r>
      <w:r>
        <w:rPr>
          <w:rFonts w:ascii="Courier New" w:hAnsi="Courier New"/>
          <w:sz w:val="17"/>
        </w:rPr>
        <w:t>03_failure.tex</w:t>
      </w:r>
      <w:r>
        <w:t xml:space="preserve"> line 7. </w:t>
      </w:r>
      <w:r>
        <w:rPr>
          <w:rFonts w:ascii="Courier New" w:hAnsi="Courier New"/>
          <w:sz w:val="17"/>
        </w:rPr>
        <w:t>B_protocols.tex</w:t>
      </w:r>
      <w:r>
        <w:t xml:space="preserve"> lines 55-58. Tables 4, 5, 7, 15, and 16 on PDF pages 20-25.</w:t>
      </w:r>
    </w:p>
    <w:p>
      <w:pPr>
        <w:pStyle w:val="ListBullet"/>
      </w:pPr>
      <w:r>
        <w:rPr>
          <w:b/>
        </w:rPr>
        <w:t>Issue</w:t>
      </w:r>
      <w:r>
        <w:t xml:space="preserve"> The manuscript reports an unweighted mean of four correlated IFEval accuracies as "IFEval," which is not self-evidently the benchmark's canonical single score. This aggregation can conceal which constraints fail.</w:t>
      </w:r>
    </w:p>
    <w:p>
      <w:pPr>
        <w:pStyle w:val="ListBullet"/>
      </w:pPr>
      <w:r>
        <w:rPr>
          <w:b/>
        </w:rPr>
        <w:t>Required correction</w:t>
      </w:r>
      <w:r>
        <w:t xml:space="preserve"> Label the aggregate consistently as </w:t>
      </w:r>
      <w:r>
        <w:rPr>
          <w:rFonts w:ascii="Courier New" w:hAnsi="Courier New"/>
          <w:sz w:val="17"/>
        </w:rPr>
        <w:t>IFEval avg4</w:t>
      </w:r>
      <w:r>
        <w:t>, report the four component scores for headline arms, and justify averaging them.</w:t>
      </w:r>
    </w:p>
    <w:p>
      <w:pPr>
        <w:pStyle w:val="Heading3"/>
      </w:pPr>
      <w:r>
        <w:t>R1-m5</w:t>
      </w:r>
    </w:p>
    <w:p>
      <w:pPr>
        <w:pStyle w:val="ListBullet"/>
      </w:pPr>
      <w:r>
        <w:rPr>
          <w:b/>
        </w:rPr>
        <w:t>Severity</w:t>
      </w:r>
      <w:r>
        <w:t xml:space="preserve"> Minor</w:t>
      </w:r>
    </w:p>
    <w:p>
      <w:pPr>
        <w:pStyle w:val="ListBullet"/>
      </w:pPr>
      <w:r>
        <w:rPr>
          <w:b/>
        </w:rPr>
        <w:t>Category</w:t>
      </w:r>
      <w:r>
        <w:t xml:space="preserve"> numerical consistency</w:t>
      </w:r>
    </w:p>
    <w:p>
      <w:pPr>
        <w:pStyle w:val="ListBullet"/>
      </w:pPr>
      <w:r>
        <w:rPr>
          <w:b/>
        </w:rPr>
        <w:t>Affected element</w:t>
      </w:r>
      <w:r>
        <w:t xml:space="preserve"> Qwen2.5-14B 4-bit GPTQ IFEval.</w:t>
      </w:r>
    </w:p>
    <w:p>
      <w:pPr>
        <w:pStyle w:val="ListBullet"/>
      </w:pPr>
      <w:r>
        <w:rPr>
          <w:b/>
        </w:rPr>
        <w:t>Evidence pointer</w:t>
      </w:r>
      <w:r>
        <w:t xml:space="preserve"> Table 4 on PDF page 20 reports 0.809. Table 15 on PDF page 25 reports 0.808. </w:t>
      </w:r>
      <w:r>
        <w:rPr>
          <w:rFonts w:ascii="Courier New" w:hAnsi="Courier New"/>
          <w:sz w:val="17"/>
        </w:rPr>
        <w:t>00_numbers.tex</w:t>
      </w:r>
      <w:r>
        <w:t xml:space="preserve"> line 75 gives 0.809.</w:t>
      </w:r>
    </w:p>
    <w:p>
      <w:pPr>
        <w:pStyle w:val="ListBullet"/>
      </w:pPr>
      <w:r>
        <w:rPr>
          <w:b/>
        </w:rPr>
        <w:t>Issue</w:t>
      </w:r>
      <w:r>
        <w:t xml:space="preserve"> The same apparent model and arm is printed at two different three-decimal values.</w:t>
      </w:r>
    </w:p>
    <w:p>
      <w:pPr>
        <w:pStyle w:val="ListBullet"/>
      </w:pPr>
      <w:r>
        <w:rPr>
          <w:b/>
        </w:rPr>
        <w:t>Required correction</w:t>
      </w:r>
      <w:r>
        <w:t xml:space="preserve"> Reconcile the run identity and value, then run a mechanical consistency check over abstract, prose, figures, tables, and macros.</w:t>
      </w:r>
    </w:p>
    <w:p>
      <w:pPr>
        <w:pStyle w:val="Heading3"/>
      </w:pPr>
      <w:r>
        <w:t>R1-m6</w:t>
      </w:r>
    </w:p>
    <w:p>
      <w:pPr>
        <w:pStyle w:val="ListBullet"/>
      </w:pPr>
      <w:r>
        <w:rPr>
          <w:b/>
        </w:rPr>
        <w:t>Severity</w:t>
      </w:r>
      <w:r>
        <w:t xml:space="preserve"> Minor</w:t>
      </w:r>
    </w:p>
    <w:p>
      <w:pPr>
        <w:pStyle w:val="ListBullet"/>
      </w:pPr>
      <w:r>
        <w:rPr>
          <w:b/>
        </w:rPr>
        <w:t>Category</w:t>
      </w:r>
      <w:r>
        <w:t xml:space="preserve"> claim moderation</w:t>
      </w:r>
    </w:p>
    <w:p>
      <w:pPr>
        <w:pStyle w:val="ListBullet"/>
      </w:pPr>
      <w:r>
        <w:rPr>
          <w:b/>
        </w:rPr>
        <w:t>Affected element</w:t>
      </w:r>
      <w:r>
        <w:t xml:space="preserve"> The phrase "complete loss of instruction following."</w:t>
      </w:r>
    </w:p>
    <w:p>
      <w:pPr>
        <w:pStyle w:val="ListBullet"/>
      </w:pPr>
      <w:r>
        <w:rPr>
          <w:b/>
        </w:rPr>
        <w:t>Evidence pointer</w:t>
      </w:r>
      <w:r>
        <w:t xml:space="preserve"> </w:t>
      </w:r>
      <w:r>
        <w:rPr>
          <w:rFonts w:ascii="Courier New" w:hAnsi="Courier New"/>
          <w:sz w:val="17"/>
        </w:rPr>
        <w:t>00_abstract.tex</w:t>
      </w:r>
      <w:r>
        <w:t xml:space="preserve"> lines 2-5. Table 4 on PDF page 20.</w:t>
      </w:r>
    </w:p>
    <w:p>
      <w:pPr>
        <w:pStyle w:val="ListBullet"/>
      </w:pPr>
      <w:r>
        <w:rPr>
          <w:b/>
        </w:rPr>
        <w:t>Issue</w:t>
      </w:r>
      <w:r>
        <w:t xml:space="preserve"> The reported IFEval values are severe reductions but are not zero, and Qwen retains 0.426 on the authors' aggregate. "Complete loss" is stronger than the metric evidence.</w:t>
      </w:r>
    </w:p>
    <w:p>
      <w:pPr>
        <w:pStyle w:val="ListBullet"/>
      </w:pPr>
      <w:r>
        <w:rPr>
          <w:b/>
        </w:rPr>
        <w:t>Required correction</w:t>
      </w:r>
      <w:r>
        <w:t xml:space="preserve"> Use "catastrophic degradation" or define an operational collapse threshold that supports the stronger phrase.</w:t>
      </w:r>
    </w:p>
    <w:p>
      <w:pPr>
        <w:pStyle w:val="Heading3"/>
      </w:pPr>
      <w:r>
        <w:t>R1-m7</w:t>
      </w:r>
    </w:p>
    <w:p>
      <w:pPr>
        <w:pStyle w:val="ListBullet"/>
      </w:pPr>
      <w:r>
        <w:rPr>
          <w:b/>
        </w:rPr>
        <w:t>Severity</w:t>
      </w:r>
      <w:r>
        <w:t xml:space="preserve"> Minor</w:t>
      </w:r>
    </w:p>
    <w:p>
      <w:pPr>
        <w:pStyle w:val="ListBullet"/>
      </w:pPr>
      <w:r>
        <w:rPr>
          <w:b/>
        </w:rPr>
        <w:t>Category</w:t>
      </w:r>
      <w:r>
        <w:t xml:space="preserve"> presentation and mechanism transparency</w:t>
      </w:r>
    </w:p>
    <w:p>
      <w:pPr>
        <w:pStyle w:val="ListBullet"/>
      </w:pPr>
      <w:r>
        <w:rPr>
          <w:b/>
        </w:rPr>
        <w:t>Affected element</w:t>
      </w:r>
      <w:r>
        <w:t xml:space="preserve"> The two-BOS generation setup.</w:t>
      </w:r>
    </w:p>
    <w:p>
      <w:pPr>
        <w:pStyle w:val="ListBullet"/>
      </w:pPr>
      <w:r>
        <w:rPr>
          <w:b/>
        </w:rPr>
        <w:t>Evidence pointer</w:t>
      </w:r>
      <w:r>
        <w:t xml:space="preserve"> </w:t>
      </w:r>
      <w:r>
        <w:rPr>
          <w:rFonts w:ascii="Courier New" w:hAnsi="Courier New"/>
          <w:sz w:val="17"/>
        </w:rPr>
        <w:t>B_protocols.tex</w:t>
      </w:r>
      <w:r>
        <w:t xml:space="preserve"> line 62.</w:t>
      </w:r>
    </w:p>
    <w:p>
      <w:pPr>
        <w:pStyle w:val="ListBullet"/>
      </w:pPr>
      <w:r>
        <w:rPr>
          <w:b/>
        </w:rPr>
        <w:t>Issue</w:t>
      </w:r>
      <w:r>
        <w:t xml:space="preserve"> Llama and Mistral prompts contain two BOS tokens because both the chat template and tokenizer add one. The single-BOS control is reassuring, but this detail is unusually relevant for a BOS-centered mechanism and is currently confined to the appendix.</w:t>
      </w:r>
    </w:p>
    <w:p>
      <w:pPr>
        <w:pStyle w:val="ListBullet"/>
      </w:pPr>
      <w:r>
        <w:rPr>
          <w:b/>
        </w:rPr>
        <w:t>Required correction</w:t>
      </w:r>
      <w:r>
        <w:t xml:space="preserve"> State the two-BOS condition and control in the main experimental setup, and clarify which BOS occurrence is used in every reported </w:t>
      </w:r>
      <w:r>
        <w:rPr>
          <w:rFonts w:ascii="Courier New" w:hAnsi="Courier New"/>
          <w:sz w:val="17"/>
        </w:rPr>
        <w:t>A_BOS</w:t>
      </w:r>
      <w:r>
        <w:t xml:space="preserve">, </w:t>
      </w:r>
      <w:r>
        <w:rPr>
          <w:rFonts w:ascii="Courier New" w:hAnsi="Courier New"/>
          <w:sz w:val="17"/>
        </w:rPr>
        <w:t>G_BOS</w:t>
      </w:r>
      <w:r>
        <w:t>, and lesion-position statistic.</w:t>
      </w:r>
    </w:p>
    <w:p>
      <w:pPr>
        <w:pStyle w:val="Heading2"/>
      </w:pPr>
      <w:r>
        <w:t>Questions for the authors</w:t>
      </w:r>
    </w:p>
    <w:p>
      <w:pPr>
        <w:spacing w:after="40"/>
        <w:ind w:left="346" w:hanging="259"/>
      </w:pPr>
      <w:r>
        <w:t xml:space="preserve">1.  </w:t>
      </w:r>
      <w:r>
        <w:t xml:space="preserve">What exact end-to-end software and settings produced the 1,024-row library-configuration values 0.148 and 0.435? Were these generated by GPTQModel itself with </w:t>
      </w:r>
      <w:r>
        <w:rPr>
          <w:rFonts w:ascii="Courier New" w:hAnsi="Courier New"/>
          <w:sz w:val="17"/>
        </w:rPr>
        <w:t>true_sequential</w:t>
      </w:r>
      <w:r>
        <w:t xml:space="preserve"> enabled and </w:t>
      </w:r>
      <w:r>
        <w:rPr>
          <w:rFonts w:ascii="Courier New" w:hAnsi="Courier New"/>
          <w:sz w:val="17"/>
        </w:rPr>
        <w:t>desc_act</w:t>
      </w:r>
      <w:r>
        <w:t xml:space="preserve"> unset, or by the authors' loop with only the sample count changed?</w:t>
      </w:r>
    </w:p>
    <w:p>
      <w:pPr>
        <w:spacing w:after="40"/>
        <w:ind w:left="346" w:hanging="259"/>
      </w:pPr>
      <w:r>
        <w:t xml:space="preserve">2.  </w:t>
      </w:r>
      <w:r>
        <w:t xml:space="preserve">How is the aggregate vector </w:t>
      </w:r>
      <w:r>
        <w:rPr>
          <w:rFonts w:ascii="Courier New" w:hAnsi="Courier New"/>
          <w:sz w:val="17"/>
        </w:rPr>
        <w:t>x_0</w:t>
      </w:r>
      <w:r>
        <w:t xml:space="preserve"> constructed across 128 documents and, for generation prompts, across two BOS occurrences? What fraction of the aggregate BOS covariance is captured by its leading eigenvector for each main model and protocol?</w:t>
      </w:r>
    </w:p>
    <w:p>
      <w:pPr>
        <w:spacing w:after="40"/>
        <w:ind w:left="346" w:hanging="259"/>
      </w:pPr>
      <w:r>
        <w:t xml:space="preserve">3.  </w:t>
      </w:r>
      <w:r>
        <w:t>Can the authors provide an exact update-reconstruction experiment for Equation (5), rather than cosine-based signatures derived from the isotropic special case? How much of the observed lesion norm and downstream error is explained after summing all actual GPTQ steps?</w:t>
      </w:r>
    </w:p>
    <w:p>
      <w:pPr>
        <w:spacing w:after="40"/>
        <w:ind w:left="346" w:hanging="259"/>
      </w:pPr>
      <w:r>
        <w:t xml:space="preserve">4.  </w:t>
      </w:r>
      <w:r>
        <w:t>Why does removing BOS retain much of the compensation direction if BOS is claimed to determine that direction? Is the intended conclusion now that BOS controls amplitude while pre-existing ordinary-token geometry controls direction?</w:t>
      </w:r>
    </w:p>
    <w:p>
      <w:pPr>
        <w:spacing w:after="40"/>
        <w:ind w:left="346" w:hanging="259"/>
      </w:pPr>
      <w:r>
        <w:t xml:space="preserve">5.  </w:t>
      </w:r>
      <w:r>
        <w:t>What are the four component IFEval scores and paired prompt-level confidence intervals for every headline GPTQ, RTN, corrected, excision, and transplant comparison?</w:t>
      </w:r>
    </w:p>
    <w:p>
      <w:pPr>
        <w:spacing w:after="40"/>
        <w:ind w:left="346" w:hanging="259"/>
      </w:pPr>
      <w:r>
        <w:t xml:space="preserve">6.  </w:t>
      </w:r>
      <w:r>
        <w:t>Were the preregistered predictions timestamped before model-specific results were inspected? Please release the complete immutable log and map each prediction to the runs that tested it.</w:t>
      </w:r>
    </w:p>
    <w:p>
      <w:pPr>
        <w:spacing w:after="40"/>
        <w:ind w:left="346" w:hanging="259"/>
      </w:pPr>
      <w:r>
        <w:t xml:space="preserve">7.  </w:t>
      </w:r>
      <w:r>
        <w:t>How do collapse frequency and repair efficacy change when total non-padding token count and BOS count are matched separately across short-document and window protocols?</w:t>
      </w:r>
    </w:p>
    <w:p>
      <w:pPr>
        <w:spacing w:after="40"/>
        <w:ind w:left="346" w:hanging="259"/>
      </w:pPr>
      <w:r>
        <w:t xml:space="preserve">8.  </w:t>
      </w:r>
      <w:r>
        <w:t>Which exact run is authoritative for Qwen2.5-14B 4-bit GPTQ, 0.808 or 0.809?</w:t>
      </w:r>
    </w:p>
    <w:p>
      <w:pPr>
        <w:pStyle w:val="Heading2"/>
      </w:pPr>
      <w:r>
        <w:t>ICLR criteria assessment</w:t>
      </w:r>
    </w:p>
    <w:p>
      <w:pPr>
        <w:pStyle w:val="Heading3"/>
      </w:pPr>
      <w:r>
        <w:t>Novelty</w:t>
      </w:r>
    </w:p>
    <w:p>
      <w:r>
        <w:t>The combination of a silent instruction-following collapse, matrix-level localization, an exact GPTQ update decomposition, and a token-weighted repair appears original within the supplied literature discussion. I could not independently verify priority against literature outside the packet, and several cited works are recent 2025-2026 papers or preprints. The novelty assessment is therefore promising but conditional.</w:t>
      </w:r>
    </w:p>
    <w:p>
      <w:pPr>
        <w:pStyle w:val="Heading3"/>
      </w:pPr>
      <w:r>
        <w:t>Significance and community value</w:t>
      </w:r>
    </w:p>
    <w:p>
      <w:r>
        <w:t>High if validated. The result would matter to researchers and practitioners who deploy weight-only quantized instruction models, design PTQ objectives, or evaluate compressed generative systems. Demonstrating that standard likelihood and multiple-choice checks can miss a large generation failure is valuable even without a universal repair.</w:t>
      </w:r>
    </w:p>
    <w:p>
      <w:pPr>
        <w:pStyle w:val="Heading3"/>
      </w:pPr>
      <w:r>
        <w:t>Technical soundness</w:t>
      </w:r>
    </w:p>
    <w:p>
      <w:r>
        <w:t>Mixed. The algebraic GPTQ update derivation appears sound, and the excision or transplant logic is often compelling. The link from the input-covariance theorem to downstream loss curvature is not established because the paper uses a gradient proxy and neglects cross-position terms that its own evidence says are material. The direction and row claims also exceed what the general-case evidence supports.</w:t>
      </w:r>
    </w:p>
    <w:p>
      <w:pPr>
        <w:pStyle w:val="Heading3"/>
      </w:pPr>
      <w:r>
        <w:t>Experimental rigor</w:t>
      </w:r>
    </w:p>
    <w:p>
      <w:r>
        <w:t>The breadth of interventions, negative results, model census, and downstream benchmarks is a strength. Rigor is limited by the confounded calibration comparison, sparse calibration-draw replication, mostly single-draw transplants, absent prompt-level uncertainty, and incomplete matching to actual library defaults.</w:t>
      </w:r>
    </w:p>
    <w:p>
      <w:pPr>
        <w:pStyle w:val="Heading3"/>
      </w:pPr>
      <w:r>
        <w:t>Reproducibility</w:t>
      </w:r>
    </w:p>
    <w:p>
      <w:r>
        <w:t>Not adequate in the supplied version. Protocol descriptions are detailed, but the promised code, run index, preregistration log, raw outputs, and anonymous repository are absent. This is especially serious given the earlier loop bug documented in Appendix B.</w:t>
      </w:r>
    </w:p>
    <w:p>
      <w:pPr>
        <w:pStyle w:val="Heading3"/>
      </w:pPr>
      <w:r>
        <w:t>Clarity</w:t>
      </w:r>
    </w:p>
    <w:p>
      <w:r>
        <w:t>The manuscript is generally well organized and unusually explicit about limitations and failed predictions. It is dense, and several headline phrases are stronger than the qualified body text. The visual rendering is clean across all 26 pages. Some appendix pages are table-heavy, but the main argument remains readable.</w:t>
      </w:r>
    </w:p>
    <w:p>
      <w:pPr>
        <w:pStyle w:val="Heading3"/>
      </w:pPr>
      <w:r>
        <w:t>Ethics and responsible disclosure</w:t>
      </w:r>
    </w:p>
    <w:p>
      <w:r>
        <w:t>No direct human-subject or private-data concern is apparent from the supplied material. Responsible disclosure of a deployment-relevant compression failure is appropriate. The authors should avoid overstating incidence until actual default pipelines and more calibration draws are tested.</w:t>
      </w:r>
    </w:p>
    <w:p>
      <w:pPr>
        <w:pStyle w:val="Heading2"/>
      </w:pPr>
      <w:r>
        <w:t>Recommendation posture</w:t>
      </w:r>
    </w:p>
    <w:p>
      <w:r>
        <w:rPr>
          <w:b/>
        </w:rPr>
        <w:t>Lean reject.</w:t>
      </w:r>
      <w:r>
        <w:t xml:space="preserve"> The large failure phenomenon and matrix-level interventions are strong enough to make the work worth revising. The current version does not yet support its central curvature-level mechanism, protocol-causation claim, or robust-repair claim at the standard I would require for acceptance. The missing reproducibility artifact is also consequential rather than clerical because a prior implementation bug changed substantive conclusions.</w:t>
      </w:r>
    </w:p>
    <w:p>
      <w:pPr>
        <w:pStyle w:val="Heading2"/>
      </w:pPr>
      <w:r>
        <w:t>Confidence</w:t>
      </w:r>
    </w:p>
    <w:p>
      <w:r>
        <w:rPr>
          <w:b/>
        </w:rPr>
        <w:t>High.</w:t>
      </w:r>
      <w:r>
        <w:t xml:space="preserve"> I reviewed the complete 26-page PDF, all supplied source sections, proofs, protocols, failed predictions, numerical macros, bibliography, and rendered figures and tables. My confidence is lower only for novelty relative to literature not present in the immutable packet and for implementation behavior that cannot be audited without the promised code and run index.</w:t>
      </w:r>
    </w:p>
    <w:p>
      <w:pPr>
        <w:pStyle w:val="Heading2"/>
      </w:pPr>
      <w:r>
        <w:t>Technical failings that must be resolved before the central case is established</w:t>
      </w:r>
    </w:p>
    <w:p>
      <w:pPr>
        <w:pStyle w:val="ListBullet"/>
      </w:pPr>
      <w:r>
        <w:rPr>
          <w:b/>
        </w:rPr>
        <w:t>R1-M1</w:t>
      </w:r>
      <w:r>
        <w:t xml:space="preserve"> The downstream-curvature mechanism relies on a squared-gradient proxy and a position-diagonal approximation that the paper's own evidence shows can fail.</w:t>
      </w:r>
    </w:p>
    <w:p>
      <w:pPr>
        <w:pStyle w:val="ListBullet"/>
      </w:pPr>
      <w:r>
        <w:rPr>
          <w:b/>
        </w:rPr>
        <w:t>R1-M2</w:t>
      </w:r>
      <w:r>
        <w:t xml:space="preserve"> The claimed prediction of lesion direction and row structure is not established under the actual non-isotropic curvature and conflicts with the no-BOS control.</w:t>
      </w:r>
    </w:p>
    <w:p>
      <w:pPr>
        <w:pStyle w:val="ListBullet"/>
      </w:pPr>
      <w:r>
        <w:rPr>
          <w:b/>
        </w:rPr>
        <w:t>R1-M3</w:t>
      </w:r>
      <w:r>
        <w:t xml:space="preserve"> The protocol comparison does not hold calibration-token count or BOS frequency fixed, despite claiming the same token budget.</w:t>
      </w:r>
    </w:p>
    <w:p>
      <w:pPr>
        <w:pStyle w:val="ListBullet"/>
      </w:pPr>
      <w:r>
        <w:rPr>
          <w:b/>
        </w:rPr>
        <w:t>R1-M4</w:t>
      </w:r>
      <w:r>
        <w:t xml:space="preserve"> The repair, frequency, transplant, and census claims lack the replication and uncertainty analysis needed to distinguish robust effects from calibration and prompt variation.</w:t>
      </w:r>
    </w:p>
    <w:p>
      <w:pPr>
        <w:pStyle w:val="ListBullet"/>
      </w:pPr>
      <w:r>
        <w:rPr>
          <w:b/>
        </w:rPr>
        <w:t>R1-M6</w:t>
      </w:r>
      <w:r>
        <w:t xml:space="preserve"> The absent code, run index, preregistration log, and raw outputs prevent audit of a custom pipeline with a documented prior bug that changed substantive results.</w:t>
      </w:r>
    </w:p>
    <w:p>
      <w:pPr>
        <w:pStyle w:val="Heading1"/>
        <w:pageBreakBefore/>
      </w:pPr>
      <w:r>
        <w:t>Reviewer 2</w:t>
      </w:r>
    </w:p>
    <w:p>
      <w:pPr>
        <w:pStyle w:val="Heading2"/>
      </w:pPr>
      <w:r>
        <w:t>1. Summary of the paper and central claim</w:t>
      </w:r>
    </w:p>
    <w:p>
      <w:r>
        <w:t>This paper studies a severe but protocol-dependent failure of 3-bit weight-only quantization for instruction-tuned language models. Under short-document calibration, GPTQ reduces IFEval from 0.768 to 0.155 for Llama-3.1-8B-Instruct and from 0.820 to 0.426 for Qwen2.5-14B-Instruct, even though MMLU and, for Qwen, perplexity do not expose the generation failure. The paper attributes the damage to a sink-forming MLP down-projection whose input covariance is dominated by the beginning-of-sequence token while downstream sensitivity is concentrated elsewhere. It derives the GPTQ compensation update under dominant-token curvature, identifies a structured matrix error called the lesion, studies it through excision and transplantation, and proposes a sensitivity-weighted curvature using token weights proportional to output-gradient energy divided by input energy. The proposed objective removes the three 3-bit collapses examined in detail and is evaluated across an 18-model census.</w:t>
      </w:r>
    </w:p>
    <w:p>
      <w:pPr>
        <w:pStyle w:val="Heading2"/>
      </w:pPr>
      <w:r>
        <w:t>2. Overall assessment</w:t>
      </w:r>
    </w:p>
    <w:p>
      <w:r>
        <w:t>The paper contains an unusually rich mechanistic investigation. The progression from benchmark failure, to matrix localization, to a closed-form update, to intervention and repair is coherent and potentially important to the ICLR community. The negative-results appendix is especially valuable because it shows which initially plausible explanations did not survive testing. The distinction between a lesion that is broadly present and an actual collapse that depends on surrounding matrices is also scientifically interesting.</w:t>
      </w:r>
    </w:p>
    <w:p>
      <w:r>
        <w:t>My main reservations concern the strength of the practical and originality claims. The headline associates the collapse with a widely used library default, but the principal arm combines one library's sampling shape with nondefault choices for column ordering, true-sequential behavior, sample count, and fake-quantized storage. The closest cited approaches involving token saliency, end-loss guidance, output curvature, calibration normalization, and chat-formatted calibration are not compared closely enough to establish what is genuinely new about the proposed repair. In addition, most census-level repair claims appear to use one calibration draw per model. These issues do not erase the compelling phenomenon or the local algebra, but they presently prevent a confident positive recommendation.</w:t>
      </w:r>
    </w:p>
    <w:p>
      <w:pPr>
        <w:pStyle w:val="Heading2"/>
      </w:pPr>
      <w:r>
        <w:t>3. Main strengths</w:t>
      </w:r>
    </w:p>
    <w:p>
      <w:pPr>
        <w:spacing w:after="40"/>
        <w:ind w:left="346" w:hanging="259"/>
      </w:pPr>
      <w:r>
        <w:t xml:space="preserve">1.  </w:t>
      </w:r>
      <w:r>
        <w:t>The failure is decision-relevant. The large discrepancy between generation benchmarks and common quantization checks provides a concrete reason to reassess how instruction-tuned models are validated after quantization.</w:t>
      </w:r>
    </w:p>
    <w:p>
      <w:pPr>
        <w:spacing w:after="40"/>
        <w:ind w:left="346" w:hanging="259"/>
      </w:pPr>
      <w:r>
        <w:t xml:space="preserve">2.  </w:t>
      </w:r>
      <w:r>
        <w:t>The paper uses strong intervention logic. Single-matrix re-rounding, fixed-matrix transplants, subset transplants, activation patching, calibration-protocol changes, and ablations of the repair provide more evidence than a purely correlational localization study.</w:t>
      </w:r>
    </w:p>
    <w:p>
      <w:pPr>
        <w:spacing w:after="40"/>
        <w:ind w:left="346" w:hanging="259"/>
      </w:pPr>
      <w:r>
        <w:t xml:space="preserve">3.  </w:t>
      </w:r>
      <w:r>
        <w:t>The theory is connected to measurable signatures. The exact Sherman-Morrison form is simple but useful, and the paper tests predicted direction, row concentration, amplitude, and token readout while openly reporting that the isotropic readout prediction is weak for Llama.</w:t>
      </w:r>
    </w:p>
    <w:p>
      <w:pPr>
        <w:spacing w:after="40"/>
        <w:ind w:left="346" w:hanging="259"/>
      </w:pPr>
      <w:r>
        <w:t xml:space="preserve">4.  </w:t>
      </w:r>
      <w:r>
        <w:t>The authors moderate several conclusions appropriately. They distinguish lesion formation from collapse, state that network absorption is not derived, identify Mistral as unresolved, report costs and regressions of the repair, and include refuted pre-registered predictions.</w:t>
      </w:r>
    </w:p>
    <w:p>
      <w:pPr>
        <w:spacing w:after="40"/>
        <w:ind w:left="346" w:hanging="259"/>
      </w:pPr>
      <w:r>
        <w:t xml:space="preserve">5.  </w:t>
      </w:r>
      <w:r>
        <w:t>The topic has clear ICLR value. It links post-training quantization, mechanistic analysis of attention sinks, calibration design, and instruction-following evaluation. Practitioners deploying low-bit instruction models and researchers developing reconstruction-based quantizers would both benefit if the claims are substantiated under exact production configurations.</w:t>
      </w:r>
    </w:p>
    <w:p>
      <w:pPr>
        <w:pStyle w:val="Heading2"/>
      </w:pPr>
      <w:r>
        <w:t>4. Major concerns</w:t>
      </w:r>
    </w:p>
    <w:p>
      <w:pPr>
        <w:pStyle w:val="Heading3"/>
      </w:pPr>
      <w:r>
        <w:t>R2-M1 [novelty-significance]</w:t>
      </w:r>
    </w:p>
    <w:p>
      <w:pPr>
        <w:pStyle w:val="ReviewerLabel"/>
      </w:pPr>
      <w:r>
        <w:rPr>
          <w:b/>
        </w:rPr>
        <w:t>Severity</w:t>
      </w:r>
    </w:p>
    <w:p>
      <w:r>
        <w:t>Major</w:t>
      </w:r>
    </w:p>
    <w:p>
      <w:pPr>
        <w:pStyle w:val="ReviewerLabel"/>
      </w:pPr>
      <w:r>
        <w:rPr>
          <w:b/>
        </w:rPr>
        <w:t>Blocking</w:t>
      </w:r>
    </w:p>
    <w:p>
      <w:r>
        <w:t>No</w:t>
      </w:r>
    </w:p>
    <w:p>
      <w:pPr>
        <w:pStyle w:val="ReviewerLabel"/>
      </w:pPr>
      <w:r>
        <w:rPr>
          <w:b/>
        </w:rPr>
        <w:t>Claim pointer</w:t>
      </w:r>
    </w:p>
    <w:p>
      <w:r>
        <w:t>The paper presents the objective-level explanation of sink-induced damage and the weighting rule based on output sensitivity divided by input energy as substantive new contributions.</w:t>
      </w:r>
    </w:p>
    <w:p>
      <w:pPr>
        <w:pStyle w:val="ReviewerLabel"/>
      </w:pPr>
      <w:r>
        <w:rPr>
          <w:b/>
        </w:rPr>
        <w:t>Evidence pointer</w:t>
      </w:r>
    </w:p>
    <w:p>
      <w:r>
        <w:t xml:space="preserve">PDF pages 2, 7 to 9, and 22. </w:t>
      </w:r>
      <w:r>
        <w:rPr>
          <w:rFonts w:ascii="Courier New" w:hAnsi="Courier New"/>
          <w:sz w:val="17"/>
        </w:rPr>
        <w:t>02_background.tex</w:t>
      </w:r>
      <w:r>
        <w:t xml:space="preserve"> lines 12 to 16. </w:t>
      </w:r>
      <w:r>
        <w:rPr>
          <w:rFonts w:ascii="Courier New" w:hAnsi="Courier New"/>
          <w:sz w:val="17"/>
        </w:rPr>
        <w:t>05_theory.tex</w:t>
      </w:r>
      <w:r>
        <w:t xml:space="preserve"> lines 140 to 152. </w:t>
      </w:r>
      <w:r>
        <w:rPr>
          <w:rFonts w:ascii="Courier New" w:hAnsi="Courier New"/>
          <w:sz w:val="17"/>
        </w:rPr>
        <w:t>07_generality.tex</w:t>
      </w:r>
      <w:r>
        <w:t xml:space="preserve"> lines 9 to 11.</w:t>
      </w:r>
    </w:p>
    <w:p>
      <w:pPr>
        <w:pStyle w:val="ReviewerLabel"/>
      </w:pPr>
      <w:r>
        <w:rPr>
          <w:b/>
        </w:rPr>
        <w:t>Concern</w:t>
      </w:r>
    </w:p>
    <w:p>
      <w:r>
        <w:t>The relationship to the nearest cited work is too compressed to establish the originality boundary. The background groups token-saliency methods, end-loss-guided methods, output-curvature methods, length-normalized calibration, and chat-formatted calibration into a few sentences. It does not explain whether RSQ, VLMQ, GuidedQuant, KronQ, or multi-scale calibration can already change token allocation in a way that overlaps with the proposed objective. Table 8 compares six quantizers, but none of these closest cited loss-aware or token-saliency approaches appears as a same-protocol baseline. AutoRound is described as merely consistent with the position-mismatch proposition, which does not determine whether the new empirical contribution exceeds what an existing token-aware objective would already obtain.</w:t>
      </w:r>
    </w:p>
    <w:p>
      <w:pPr>
        <w:pStyle w:val="ReviewerLabel"/>
      </w:pPr>
      <w:r>
        <w:rPr>
          <w:b/>
        </w:rPr>
        <w:t>Why it matters</w:t>
      </w:r>
    </w:p>
    <w:p>
      <w:r>
        <w:t>The phenomenon may be important even if the repair is incremental, but ICLR readers need to know which part is new. At present, the paper establishes a detailed mechanism for GPTQ more clearly than it establishes the novelty of the proposed correction relative to the cited literature.</w:t>
      </w:r>
    </w:p>
    <w:p>
      <w:pPr>
        <w:pStyle w:val="ReviewerLabel"/>
      </w:pPr>
      <w:r>
        <w:rPr>
          <w:b/>
        </w:rPr>
        <w:t>Resolution test</w:t>
      </w:r>
    </w:p>
    <w:p>
      <w:r>
        <w:t>Add a method-by-method comparison that identifies the weighting axis, loss signal, curvature approximation, and update freedom of the closest cited methods. Evaluate feasible nearest baselines under the same calibration protocols and model set, or give a concrete technical reason why each cannot test the claimed failure. Moderate the novelty claim if the main distinction is the sink-specific derivation rather than the weighting form itself.</w:t>
      </w:r>
    </w:p>
    <w:p>
      <w:pPr>
        <w:pStyle w:val="Heading3"/>
      </w:pPr>
      <w:r>
        <w:t>R2-M2 [experimental-design]</w:t>
      </w:r>
    </w:p>
    <w:p>
      <w:pPr>
        <w:pStyle w:val="ReviewerLabel"/>
      </w:pPr>
      <w:r>
        <w:rPr>
          <w:b/>
        </w:rPr>
        <w:t>Severity</w:t>
      </w:r>
    </w:p>
    <w:p>
      <w:r>
        <w:t>Major</w:t>
      </w:r>
    </w:p>
    <w:p>
      <w:pPr>
        <w:pStyle w:val="ReviewerLabel"/>
      </w:pPr>
      <w:r>
        <w:rPr>
          <w:b/>
        </w:rPr>
        <w:t>Blocking</w:t>
      </w:r>
    </w:p>
    <w:p>
      <w:r>
        <w:t>Yes</w:t>
      </w:r>
    </w:p>
    <w:p>
      <w:pPr>
        <w:pStyle w:val="ReviewerLabel"/>
      </w:pPr>
      <w:r>
        <w:rPr>
          <w:b/>
        </w:rPr>
        <w:t>Claim pointer</w:t>
      </w:r>
    </w:p>
    <w:p>
      <w:r>
        <w:t>The abstract and introduction state that GPTQ under a calibration protocol applied by a widely used library by default can silently break instruction following.</w:t>
      </w:r>
    </w:p>
    <w:p>
      <w:pPr>
        <w:pStyle w:val="ReviewerLabel"/>
      </w:pPr>
      <w:r>
        <w:rPr>
          <w:b/>
        </w:rPr>
        <w:t>Evidence pointer</w:t>
      </w:r>
    </w:p>
    <w:p>
      <w:r>
        <w:t xml:space="preserve">PDF pages 1, 3, 15, and 16. </w:t>
      </w:r>
      <w:r>
        <w:rPr>
          <w:rFonts w:ascii="Courier New" w:hAnsi="Courier New"/>
          <w:sz w:val="17"/>
        </w:rPr>
        <w:t>00_abstract.tex</w:t>
      </w:r>
      <w:r>
        <w:t xml:space="preserve"> lines 4 to 5. </w:t>
      </w:r>
      <w:r>
        <w:rPr>
          <w:rFonts w:ascii="Courier New" w:hAnsi="Courier New"/>
          <w:sz w:val="17"/>
        </w:rPr>
        <w:t>03_failure.tex</w:t>
      </w:r>
      <w:r>
        <w:t xml:space="preserve"> lines 4 to 7. </w:t>
      </w:r>
      <w:r>
        <w:rPr>
          <w:rFonts w:ascii="Courier New" w:hAnsi="Courier New"/>
          <w:sz w:val="17"/>
        </w:rPr>
        <w:t>B_protocols.tex</w:t>
      </w:r>
      <w:r>
        <w:t xml:space="preserve"> lines 7 to 11 and 20 to 27.</w:t>
      </w:r>
    </w:p>
    <w:p>
      <w:pPr>
        <w:pStyle w:val="ReviewerLabel"/>
      </w:pPr>
      <w:r>
        <w:rPr>
          <w:b/>
        </w:rPr>
        <w:t>Concern</w:t>
      </w:r>
    </w:p>
    <w:p>
      <w:r>
        <w:t xml:space="preserve">The main arm is not an exact out-of-the-box library configuration. It uses the short-document sampling shape of GPTQModel and LLM Compressor, but it uses 128 rows rather than the 1,024-row GPTQModel example, enables act-order even though GPTQModel leaves </w:t>
      </w:r>
      <w:r>
        <w:rPr>
          <w:rFonts w:ascii="Courier New" w:hAnsi="Courier New"/>
          <w:sz w:val="17"/>
        </w:rPr>
        <w:t>desc_act</w:t>
      </w:r>
      <w:r>
        <w:t xml:space="preserve"> unset, disables true-sequential processing even though GPTQModel enables it by default, and uses fake quantization in 16-bit storage. The 1,024-row values show that sample count alone does not remove the failure, but the manuscript does not show an end-to-end run using the named package's actual default code path and documented settings. Consequently, the current evidence supports a failure under a library-like sampling protocol combined with the authors' quantizer choices, not yet the stronger practical default claim.</w:t>
      </w:r>
    </w:p>
    <w:p>
      <w:pPr>
        <w:pStyle w:val="ReviewerLabel"/>
      </w:pPr>
      <w:r>
        <w:rPr>
          <w:b/>
        </w:rPr>
        <w:t>Why it matters</w:t>
      </w:r>
    </w:p>
    <w:p>
      <w:r>
        <w:t>This is central to the paper's motivation and community significance. A warning about a widely deployed default has a different practical meaning from a failure in a controlled hybrid configuration. It also affects whether true-sequential processing, column ordering, or package-specific implementation details moderate the phenomenon.</w:t>
      </w:r>
    </w:p>
    <w:p>
      <w:pPr>
        <w:pStyle w:val="ReviewerLabel"/>
      </w:pPr>
      <w:r>
        <w:rPr>
          <w:b/>
        </w:rPr>
        <w:t>Resolution test</w:t>
      </w:r>
    </w:p>
    <w:p>
      <w:r>
        <w:t xml:space="preserve">Run the named library versions end to end with their exact documented defaults, including sample count, </w:t>
      </w:r>
      <w:r>
        <w:rPr>
          <w:rFonts w:ascii="Courier New" w:hAnsi="Courier New"/>
          <w:sz w:val="17"/>
        </w:rPr>
        <w:t>desc_act</w:t>
      </w:r>
      <w:r>
        <w:t>, true-sequential behavior, and actual quantized storage when supported. Repeat the critical runs across calibration draws. If the collapse does not persist, revise the abstract, introduction, and title-level framing to describe the tested sampling geometry and custom quantizer configuration precisely.</w:t>
      </w:r>
    </w:p>
    <w:p>
      <w:pPr>
        <w:pStyle w:val="Heading3"/>
      </w:pPr>
      <w:r>
        <w:t>R2-M3 [statistical-rigor]</w:t>
      </w:r>
    </w:p>
    <w:p>
      <w:pPr>
        <w:pStyle w:val="ReviewerLabel"/>
      </w:pPr>
      <w:r>
        <w:rPr>
          <w:b/>
        </w:rPr>
        <w:t>Severity</w:t>
      </w:r>
    </w:p>
    <w:p>
      <w:r>
        <w:t>Major</w:t>
      </w:r>
    </w:p>
    <w:p>
      <w:pPr>
        <w:pStyle w:val="ReviewerLabel"/>
      </w:pPr>
      <w:r>
        <w:rPr>
          <w:b/>
        </w:rPr>
        <w:t>Blocking</w:t>
      </w:r>
    </w:p>
    <w:p>
      <w:r>
        <w:t>No</w:t>
      </w:r>
    </w:p>
    <w:p>
      <w:pPr>
        <w:pStyle w:val="ReviewerLabel"/>
      </w:pPr>
      <w:r>
        <w:rPr>
          <w:b/>
        </w:rPr>
        <w:t>Claim pointer</w:t>
      </w:r>
    </w:p>
    <w:p>
      <w:r>
        <w:t>The corrected objective is described as removing every 3-bit collapse found, never falling more than 4.6 points below RTN across 18 models, and changing IFEval by an average of 0.3 points on the 16 noncollapsing models.</w:t>
      </w:r>
    </w:p>
    <w:p>
      <w:pPr>
        <w:pStyle w:val="ReviewerLabel"/>
      </w:pPr>
      <w:r>
        <w:rPr>
          <w:b/>
        </w:rPr>
        <w:t>Evidence pointer</w:t>
      </w:r>
    </w:p>
    <w:p>
      <w:r>
        <w:t xml:space="preserve">PDF pages 8, 23, and 25. </w:t>
      </w:r>
      <w:r>
        <w:rPr>
          <w:rFonts w:ascii="Courier New" w:hAnsi="Courier New"/>
          <w:sz w:val="17"/>
        </w:rPr>
        <w:t>03_failure.tex</w:t>
      </w:r>
      <w:r>
        <w:t xml:space="preserve"> lines 25 to 27. </w:t>
      </w:r>
      <w:r>
        <w:rPr>
          <w:rFonts w:ascii="Courier New" w:hAnsi="Courier New"/>
          <w:sz w:val="17"/>
        </w:rPr>
        <w:t>06_repair.tex</w:t>
      </w:r>
      <w:r>
        <w:t xml:space="preserve"> lines 16 to 19. </w:t>
      </w:r>
      <w:r>
        <w:rPr>
          <w:rFonts w:ascii="Courier New" w:hAnsi="Courier New"/>
          <w:sz w:val="17"/>
        </w:rPr>
        <w:t>07_generality.tex</w:t>
      </w:r>
      <w:r>
        <w:t xml:space="preserve"> lines 3 to 7. Table 16 on PDF page 25.</w:t>
      </w:r>
    </w:p>
    <w:p>
      <w:pPr>
        <w:pStyle w:val="ReviewerLabel"/>
      </w:pPr>
      <w:r>
        <w:rPr>
          <w:b/>
        </w:rPr>
        <w:t>Concern</w:t>
      </w:r>
    </w:p>
    <w:p>
      <w:r>
        <w:t>The manuscript demonstrates calibration-draw instability for the central failures, but most census-level claims appear to rely on one draw per model. Two repair draws are reported only for the three detailed collapse settings. The fixed four-point noise threshold is asserted from movement of a noncollapsing arm, yet no distribution, confidence interval, or model-wise seed summary is given for the 18-model comparison. The reported mean of 0.3 points on noncollapsing models is small relative to the stated four-point calibration noise, while its range is very wide. Thus the strong worst-case and average-generalization language is not yet statistically supported.</w:t>
      </w:r>
    </w:p>
    <w:p>
      <w:pPr>
        <w:pStyle w:val="ReviewerLabel"/>
      </w:pPr>
      <w:r>
        <w:rPr>
          <w:b/>
        </w:rPr>
        <w:t>Why it matters</w:t>
      </w:r>
    </w:p>
    <w:p>
      <w:r>
        <w:t>The main collapses are large enough that the qualitative failure is credible, but the significance and safety of the proposed repair depend on its behavior across calibration draws and families. A one-draw census cannot distinguish a robust correction from favorable sampling, especially when the paper itself shows that a model can move from collapse to health solely by changing the draw.</w:t>
      </w:r>
    </w:p>
    <w:p>
      <w:pPr>
        <w:pStyle w:val="ReviewerLabel"/>
      </w:pPr>
      <w:r>
        <w:rPr>
          <w:b/>
        </w:rPr>
        <w:t>Resolution test</w:t>
      </w:r>
    </w:p>
    <w:p>
      <w:r>
        <w:t>Use paired calibration draws for a representative set spanning collapsing, noncollapsing sink, and no-sink models. Report model-wise means, dispersion, paired differences, and the basis for the four-point threshold. Recast claims about averages and worst cases as single-draw observations if broader replication is infeasible.</w:t>
      </w:r>
    </w:p>
    <w:p>
      <w:pPr>
        <w:pStyle w:val="Heading3"/>
      </w:pPr>
      <w:r>
        <w:t>R2-M4 [claim-moderation]</w:t>
      </w:r>
    </w:p>
    <w:p>
      <w:pPr>
        <w:pStyle w:val="ReviewerLabel"/>
      </w:pPr>
      <w:r>
        <w:rPr>
          <w:b/>
        </w:rPr>
        <w:t>Severity</w:t>
      </w:r>
    </w:p>
    <w:p>
      <w:r>
        <w:t>Major</w:t>
      </w:r>
    </w:p>
    <w:p>
      <w:pPr>
        <w:pStyle w:val="ReviewerLabel"/>
      </w:pPr>
      <w:r>
        <w:rPr>
          <w:b/>
        </w:rPr>
        <w:t>Blocking</w:t>
      </w:r>
    </w:p>
    <w:p>
      <w:r>
        <w:t>No</w:t>
      </w:r>
    </w:p>
    <w:p>
      <w:pPr>
        <w:pStyle w:val="ReviewerLabel"/>
      </w:pPr>
      <w:r>
        <w:rPr>
          <w:b/>
        </w:rPr>
        <w:t>Claim pointer</w:t>
      </w:r>
    </w:p>
    <w:p>
      <w:r>
        <w:t>The paper states that a quantized network carrying the lesion survives only when matrices quantized after it absorb the lesion, and that protocol and draw act through this absorption.</w:t>
      </w:r>
    </w:p>
    <w:p>
      <w:pPr>
        <w:pStyle w:val="ReviewerLabel"/>
      </w:pPr>
      <w:r>
        <w:rPr>
          <w:b/>
        </w:rPr>
        <w:t>Evidence pointer</w:t>
      </w:r>
    </w:p>
    <w:p>
      <w:r>
        <w:t xml:space="preserve">PDF pages 4, 5, 9, 17, and 18. </w:t>
      </w:r>
      <w:r>
        <w:rPr>
          <w:rFonts w:ascii="Courier New" w:hAnsi="Courier New"/>
          <w:sz w:val="17"/>
        </w:rPr>
        <w:t>04_lesion.tex</w:t>
      </w:r>
      <w:r>
        <w:t xml:space="preserve"> lines 14 to 24. </w:t>
      </w:r>
      <w:r>
        <w:rPr>
          <w:rFonts w:ascii="Courier New" w:hAnsi="Courier New"/>
          <w:sz w:val="17"/>
        </w:rPr>
        <w:t>08_conclusion (3).tex</w:t>
      </w:r>
      <w:r>
        <w:t xml:space="preserve"> lines 8 to 10. </w:t>
      </w:r>
      <w:r>
        <w:rPr>
          <w:rFonts w:ascii="Courier New" w:hAnsi="Courier New"/>
          <w:sz w:val="17"/>
        </w:rPr>
        <w:t>B_protocols.tex</w:t>
      </w:r>
      <w:r>
        <w:t xml:space="preserve"> line 11. </w:t>
      </w:r>
      <w:r>
        <w:rPr>
          <w:rFonts w:ascii="Courier New" w:hAnsi="Courier New"/>
          <w:sz w:val="17"/>
        </w:rPr>
        <w:t>C_negative_results.tex</w:t>
      </w:r>
      <w:r>
        <w:t xml:space="preserve"> lines 36 to 43.</w:t>
      </w:r>
    </w:p>
    <w:p>
      <w:pPr>
        <w:pStyle w:val="ReviewerLabel"/>
      </w:pPr>
      <w:r>
        <w:rPr>
          <w:b/>
        </w:rPr>
        <w:t>Concern</w:t>
      </w:r>
    </w:p>
    <w:p>
      <w:r>
        <w:t>The transplant results establish context dependence and cancellation by a set of neighboring matrices, but they do not directly establish an adaptive absorption process. The paper reports that re-rounding every matrix from layer 2 onward does not cure the Llama collapse, so the relevant context lies among the other matrices of the first two layers. At the same time, the implementation collects Hessians for the seven matrices of a block from the block's unquantized input without a true-sequential pass. This makes the broad statement that the relevant matrices were solved on activations already carrying the lesion dependent on the exact block and matrix ordering. Absorption is not localized for Qwen, and the Mistral phenotype is explicitly unresolved.</w:t>
      </w:r>
    </w:p>
    <w:p>
      <w:pPr>
        <w:pStyle w:val="ReviewerLabel"/>
      </w:pPr>
      <w:r>
        <w:rPr>
          <w:b/>
        </w:rPr>
        <w:t>Why it matters</w:t>
      </w:r>
    </w:p>
    <w:p>
      <w:r>
        <w:t>The distinction between observed compatibility, static cancellation, and adaptation during sequential quantization is causal rather than stylistic. It affects the proposed explanation for why the same lesion collapses one checkpoint but not another.</w:t>
      </w:r>
    </w:p>
    <w:p>
      <w:pPr>
        <w:pStyle w:val="ReviewerLabel"/>
      </w:pPr>
      <w:r>
        <w:rPr>
          <w:b/>
        </w:rPr>
        <w:t>Resolution test</w:t>
      </w:r>
    </w:p>
    <w:p>
      <w:r>
        <w:t>Define absorption operationally and show that the implicated matrices were in fact optimized using activations that contained the relevant lesion. Use ordered checkpoint interventions or objective measurements before and after the lesion is introduced. Otherwise, replace causal absorption language with the narrower finding that the lesion's effect depends on the jointly quantized local matrix context.</w:t>
      </w:r>
    </w:p>
    <w:p>
      <w:pPr>
        <w:pStyle w:val="Heading3"/>
      </w:pPr>
      <w:r>
        <w:t>R2-M5 [reproducibility]</w:t>
      </w:r>
    </w:p>
    <w:p>
      <w:pPr>
        <w:pStyle w:val="ReviewerLabel"/>
      </w:pPr>
      <w:r>
        <w:rPr>
          <w:b/>
        </w:rPr>
        <w:t>Severity</w:t>
      </w:r>
    </w:p>
    <w:p>
      <w:r>
        <w:t>Major</w:t>
      </w:r>
    </w:p>
    <w:p>
      <w:pPr>
        <w:pStyle w:val="ReviewerLabel"/>
      </w:pPr>
      <w:r>
        <w:rPr>
          <w:b/>
        </w:rPr>
        <w:t>Blocking</w:t>
      </w:r>
    </w:p>
    <w:p>
      <w:r>
        <w:t>No</w:t>
      </w:r>
    </w:p>
    <w:p>
      <w:pPr>
        <w:pStyle w:val="ReviewerLabel"/>
      </w:pPr>
      <w:r>
        <w:rPr>
          <w:b/>
        </w:rPr>
        <w:t>Claim pointer</w:t>
      </w:r>
    </w:p>
    <w:p>
      <w:r>
        <w:t>The reproducibility statement says that all code, the run index, and the pre-registration log are released with the submission.</w:t>
      </w:r>
    </w:p>
    <w:p>
      <w:pPr>
        <w:pStyle w:val="ReviewerLabel"/>
      </w:pPr>
      <w:r>
        <w:rPr>
          <w:b/>
        </w:rPr>
        <w:t>Evidence pointer</w:t>
      </w:r>
    </w:p>
    <w:p>
      <w:r>
        <w:t xml:space="preserve">PDF page 9. </w:t>
      </w:r>
      <w:r>
        <w:rPr>
          <w:rFonts w:ascii="Courier New" w:hAnsi="Courier New"/>
          <w:sz w:val="17"/>
        </w:rPr>
        <w:t>10_statements.tex</w:t>
      </w:r>
      <w:r>
        <w:t xml:space="preserve"> lines 2 to 5. </w:t>
      </w:r>
      <w:r>
        <w:rPr>
          <w:rFonts w:ascii="Courier New" w:hAnsi="Courier New"/>
          <w:sz w:val="17"/>
        </w:rPr>
        <w:t>B_protocols.tex</w:t>
      </w:r>
      <w:r>
        <w:t xml:space="preserve"> lines 33 to 40. </w:t>
      </w:r>
      <w:r>
        <w:rPr>
          <w:rFonts w:ascii="Courier New" w:hAnsi="Courier New"/>
          <w:sz w:val="17"/>
        </w:rPr>
        <w:t>D_extra_tables.tex</w:t>
      </w:r>
      <w:r>
        <w:t xml:space="preserve"> lines 46 to 47.</w:t>
      </w:r>
    </w:p>
    <w:p>
      <w:pPr>
        <w:pStyle w:val="ReviewerLabel"/>
      </w:pPr>
      <w:r>
        <w:rPr>
          <w:b/>
        </w:rPr>
        <w:t>Concern</w:t>
      </w:r>
    </w:p>
    <w:p>
      <w:r>
        <w:t>The anonymous repository link remains a visible TODO, and the review packet contains no executable code, run index, checkpoints, raw logs, or pre-registration record. This matters more than usual because the manuscript reports a previous loop bug that changed important transplant and protocol conclusions, and many numerical claims are delegated to the unreleased run index rather than tabulated in the paper.</w:t>
      </w:r>
    </w:p>
    <w:p>
      <w:pPr>
        <w:pStyle w:val="ReviewerLabel"/>
      </w:pPr>
      <w:r>
        <w:rPr>
          <w:b/>
        </w:rPr>
        <w:t>Why it matters</w:t>
      </w:r>
    </w:p>
    <w:p>
      <w:r>
        <w:t>The experimental chain is intricate and implementation-sensitive. The current manuscript is not independently auditable at the level needed to verify the corrected loop, exact package settings, pre-registration timing, or numbers omitted from the tables.</w:t>
      </w:r>
    </w:p>
    <w:p>
      <w:pPr>
        <w:pStyle w:val="ReviewerLabel"/>
      </w:pPr>
      <w:r>
        <w:rPr>
          <w:b/>
        </w:rPr>
        <w:t>Resolution test</w:t>
      </w:r>
    </w:p>
    <w:p>
      <w:r>
        <w:t>Provide the anonymous repository, exact environment and package versions, scripts for every table and figure, the run index, calibration sample identifiers, and the time-stamped pre-registration log. Include a minimal end-to-end reproduction for one collapse, one excision or transplant, and the corrected objective.</w:t>
      </w:r>
    </w:p>
    <w:p>
      <w:pPr>
        <w:pStyle w:val="Heading2"/>
      </w:pPr>
      <w:r>
        <w:t>5. Minor comments</w:t>
      </w:r>
    </w:p>
    <w:p>
      <w:pPr>
        <w:pStyle w:val="Heading3"/>
      </w:pPr>
      <w:r>
        <w:t>R2-m1 [figures-and-tables]</w:t>
      </w:r>
    </w:p>
    <w:p>
      <w:pPr>
        <w:pStyle w:val="ReviewerLabel"/>
      </w:pPr>
      <w:r>
        <w:rPr>
          <w:b/>
        </w:rPr>
        <w:t>Severity</w:t>
      </w:r>
    </w:p>
    <w:p>
      <w:r>
        <w:t>Minor</w:t>
      </w:r>
    </w:p>
    <w:p>
      <w:pPr>
        <w:pStyle w:val="ReviewerLabel"/>
      </w:pPr>
      <w:r>
        <w:rPr>
          <w:b/>
        </w:rPr>
        <w:t>Affected element</w:t>
      </w:r>
    </w:p>
    <w:p>
      <w:r>
        <w:t>The claimed worst-case corrected-objective gap to RTN.</w:t>
      </w:r>
    </w:p>
    <w:p>
      <w:pPr>
        <w:pStyle w:val="ReviewerLabel"/>
      </w:pPr>
      <w:r>
        <w:rPr>
          <w:b/>
        </w:rPr>
        <w:t>Evidence pointer</w:t>
      </w:r>
    </w:p>
    <w:p>
      <w:r>
        <w:rPr>
          <w:rFonts w:ascii="Courier New" w:hAnsi="Courier New"/>
          <w:sz w:val="17"/>
        </w:rPr>
        <w:t>00_abstract.tex</w:t>
      </w:r>
      <w:r>
        <w:t xml:space="preserve"> line 11. Table 13 on PDF page 23. Table 15 on PDF page 25.</w:t>
      </w:r>
    </w:p>
    <w:p>
      <w:pPr>
        <w:pStyle w:val="ReviewerLabel"/>
      </w:pPr>
      <w:r>
        <w:rPr>
          <w:b/>
        </w:rPr>
        <w:t>Issue</w:t>
      </w:r>
    </w:p>
    <w:p>
      <w:r>
        <w:t>The abstract and Table 13 report a worst case of 4.6 points below RTN, but the displayed gemma-2-9b values in Table 15 are 0.664 and 0.711, which differ by 4.7 points. This may be a rounding artifact from unreported precision, but the published values do not reconcile.</w:t>
      </w:r>
    </w:p>
    <w:p>
      <w:pPr>
        <w:pStyle w:val="ReviewerLabel"/>
      </w:pPr>
      <w:r>
        <w:rPr>
          <w:b/>
        </w:rPr>
        <w:t>Required correction</w:t>
      </w:r>
    </w:p>
    <w:p>
      <w:r>
        <w:t>Report sufficient precision for the underlying pair or change the derived worst-case value so the displayed table and summary agree.</w:t>
      </w:r>
    </w:p>
    <w:p>
      <w:pPr>
        <w:pStyle w:val="Heading3"/>
      </w:pPr>
      <w:r>
        <w:t>R2-m2 [claim-moderation]</w:t>
      </w:r>
    </w:p>
    <w:p>
      <w:pPr>
        <w:pStyle w:val="ReviewerLabel"/>
      </w:pPr>
      <w:r>
        <w:rPr>
          <w:b/>
        </w:rPr>
        <w:t>Severity</w:t>
      </w:r>
    </w:p>
    <w:p>
      <w:r>
        <w:t>Minor</w:t>
      </w:r>
    </w:p>
    <w:p>
      <w:pPr>
        <w:pStyle w:val="ReviewerLabel"/>
      </w:pPr>
      <w:r>
        <w:rPr>
          <w:b/>
        </w:rPr>
        <w:t>Affected element</w:t>
      </w:r>
    </w:p>
    <w:p>
      <w:r>
        <w:t>The phrase “complete loss of instruction following.”</w:t>
      </w:r>
    </w:p>
    <w:p>
      <w:pPr>
        <w:pStyle w:val="ReviewerLabel"/>
      </w:pPr>
      <w:r>
        <w:rPr>
          <w:b/>
        </w:rPr>
        <w:t>Evidence pointer</w:t>
      </w:r>
    </w:p>
    <w:p>
      <w:r>
        <w:rPr>
          <w:rFonts w:ascii="Courier New" w:hAnsi="Courier New"/>
          <w:sz w:val="17"/>
        </w:rPr>
        <w:t>00_abstract.tex</w:t>
      </w:r>
      <w:r>
        <w:t xml:space="preserve"> lines 2 to 5. Table 4 on PDF page 20.</w:t>
      </w:r>
    </w:p>
    <w:p>
      <w:pPr>
        <w:pStyle w:val="ReviewerLabel"/>
      </w:pPr>
      <w:r>
        <w:rPr>
          <w:b/>
        </w:rPr>
        <w:t>Issue</w:t>
      </w:r>
    </w:p>
    <w:p>
      <w:r>
        <w:t>The phrase is too absolute for IFEval scores of 0.155 and 0.426. The degradation is severe, particularly for Llama, but neither result is a complete loss.</w:t>
      </w:r>
    </w:p>
    <w:p>
      <w:pPr>
        <w:pStyle w:val="ReviewerLabel"/>
      </w:pPr>
      <w:r>
        <w:rPr>
          <w:b/>
        </w:rPr>
        <w:t>Required correction</w:t>
      </w:r>
    </w:p>
    <w:p>
      <w:r>
        <w:t>Use “severe loss” or another quantitatively faithful formulation, and reserve “collapse” for an explicitly defined threshold.</w:t>
      </w:r>
    </w:p>
    <w:p>
      <w:pPr>
        <w:pStyle w:val="Heading3"/>
      </w:pPr>
      <w:r>
        <w:t>R2-m3 [writing-clarity]</w:t>
      </w:r>
    </w:p>
    <w:p>
      <w:pPr>
        <w:pStyle w:val="ReviewerLabel"/>
      </w:pPr>
      <w:r>
        <w:rPr>
          <w:b/>
        </w:rPr>
        <w:t>Severity</w:t>
      </w:r>
    </w:p>
    <w:p>
      <w:r>
        <w:t>Minor</w:t>
      </w:r>
    </w:p>
    <w:p>
      <w:pPr>
        <w:pStyle w:val="ReviewerLabel"/>
      </w:pPr>
      <w:r>
        <w:rPr>
          <w:b/>
        </w:rPr>
        <w:t>Affected element</w:t>
      </w:r>
    </w:p>
    <w:p>
      <w:r>
        <w:t>The reported average gain of 0.3 points on noncollapsing models.</w:t>
      </w:r>
    </w:p>
    <w:p>
      <w:pPr>
        <w:pStyle w:val="ReviewerLabel"/>
      </w:pPr>
      <w:r>
        <w:rPr>
          <w:b/>
        </w:rPr>
        <w:t>Evidence pointer</w:t>
      </w:r>
    </w:p>
    <w:p>
      <w:r>
        <w:rPr>
          <w:rFonts w:ascii="Courier New" w:hAnsi="Courier New"/>
          <w:sz w:val="17"/>
        </w:rPr>
        <w:t>00_abstract.tex</w:t>
      </w:r>
      <w:r>
        <w:t xml:space="preserve"> line 11. </w:t>
      </w:r>
      <w:r>
        <w:rPr>
          <w:rFonts w:ascii="Courier New" w:hAnsi="Courier New"/>
          <w:sz w:val="17"/>
        </w:rPr>
        <w:t>07_generality.tex</w:t>
      </w:r>
      <w:r>
        <w:t xml:space="preserve"> line 7. Table 13 on PDF page 23.</w:t>
      </w:r>
    </w:p>
    <w:p>
      <w:pPr>
        <w:pStyle w:val="ReviewerLabel"/>
      </w:pPr>
      <w:r>
        <w:rPr>
          <w:b/>
        </w:rPr>
        <w:t>Issue</w:t>
      </w:r>
    </w:p>
    <w:p>
      <w:r>
        <w:t>The abstract does not state that this average is relative to GPTQ rather than RTN, and “points” could be read as raw accuracy units rather than percentage points.</w:t>
      </w:r>
    </w:p>
    <w:p>
      <w:pPr>
        <w:pStyle w:val="ReviewerLabel"/>
      </w:pPr>
      <w:r>
        <w:rPr>
          <w:b/>
        </w:rPr>
        <w:t>Required correction</w:t>
      </w:r>
    </w:p>
    <w:p>
      <w:r>
        <w:t>Name the comparator and unit wherever this number appears.</w:t>
      </w:r>
    </w:p>
    <w:p>
      <w:pPr>
        <w:pStyle w:val="Heading3"/>
      </w:pPr>
      <w:r>
        <w:t>R2-m4 [writing-clarity]</w:t>
      </w:r>
    </w:p>
    <w:p>
      <w:pPr>
        <w:pStyle w:val="ReviewerLabel"/>
      </w:pPr>
      <w:r>
        <w:rPr>
          <w:b/>
        </w:rPr>
        <w:t>Severity</w:t>
      </w:r>
    </w:p>
    <w:p>
      <w:r>
        <w:t>Minor</w:t>
      </w:r>
    </w:p>
    <w:p>
      <w:pPr>
        <w:pStyle w:val="ReviewerLabel"/>
      </w:pPr>
      <w:r>
        <w:rPr>
          <w:b/>
        </w:rPr>
        <w:t>Affected element</w:t>
      </w:r>
    </w:p>
    <w:p>
      <w:r>
        <w:t>The statement that conventional metrics miss the collapse.</w:t>
      </w:r>
    </w:p>
    <w:p>
      <w:pPr>
        <w:pStyle w:val="ReviewerLabel"/>
      </w:pPr>
      <w:r>
        <w:rPr>
          <w:b/>
        </w:rPr>
        <w:t>Evidence pointer</w:t>
      </w:r>
    </w:p>
    <w:p>
      <w:r>
        <w:rPr>
          <w:rFonts w:ascii="Courier New" w:hAnsi="Courier New"/>
          <w:sz w:val="17"/>
        </w:rPr>
        <w:t>03_failure.tex</w:t>
      </w:r>
      <w:r>
        <w:t xml:space="preserve"> lines 16 to 20. Table 4 on PDF page 20.</w:t>
      </w:r>
    </w:p>
    <w:p>
      <w:pPr>
        <w:pStyle w:val="ReviewerLabel"/>
      </w:pPr>
      <w:r>
        <w:rPr>
          <w:b/>
        </w:rPr>
        <w:t>Issue</w:t>
      </w:r>
    </w:p>
    <w:p>
      <w:r>
        <w:t>Qwen perplexity and both MMLU scores miss the generation failure, but Llama perplexity worsens from 15.5 to 22.4. The main text acknowledges this, while the broader framing can sound categorical.</w:t>
      </w:r>
    </w:p>
    <w:p>
      <w:pPr>
        <w:pStyle w:val="ReviewerLabel"/>
      </w:pPr>
      <w:r>
        <w:rPr>
          <w:b/>
        </w:rPr>
        <w:t>Required correction</w:t>
      </w:r>
    </w:p>
    <w:p>
      <w:r>
        <w:t>State consistently that the failure can be missed by these metrics and identify the Llama perplexity exception in any summary that otherwise implies complete silence.</w:t>
      </w:r>
    </w:p>
    <w:p>
      <w:pPr>
        <w:pStyle w:val="Heading2"/>
      </w:pPr>
      <w:r>
        <w:t>6. Questions for the authors</w:t>
      </w:r>
    </w:p>
    <w:p>
      <w:pPr>
        <w:spacing w:after="40"/>
        <w:ind w:left="346" w:hanging="259"/>
      </w:pPr>
      <w:r>
        <w:t xml:space="preserve">1.  </w:t>
      </w:r>
      <w:r>
        <w:t xml:space="preserve">Do Llama and Qwen still collapse when GPTQModel is run through its own end-to-end default path with 1,024 calibration rows, true-sequential processing enabled, and </w:t>
      </w:r>
      <w:r>
        <w:rPr>
          <w:rFonts w:ascii="Courier New" w:hAnsi="Courier New"/>
          <w:sz w:val="17"/>
        </w:rPr>
        <w:t>desc_act</w:t>
      </w:r>
      <w:r>
        <w:t xml:space="preserve"> unset? Please distinguish package runs from reimplementations.</w:t>
      </w:r>
    </w:p>
    <w:p>
      <w:pPr>
        <w:spacing w:after="40"/>
        <w:ind w:left="346" w:hanging="259"/>
      </w:pPr>
      <w:r>
        <w:t xml:space="preserve">2.  </w:t>
      </w:r>
      <w:r>
        <w:t>Which closest cited token-aware or loss-aware method is mathematically nearest to the proposed weight, and what empirical result separates the two under the same protocol?</w:t>
      </w:r>
    </w:p>
    <w:p>
      <w:pPr>
        <w:spacing w:after="40"/>
        <w:ind w:left="346" w:hanging="259"/>
      </w:pPr>
      <w:r>
        <w:t xml:space="preserve">3.  </w:t>
      </w:r>
      <w:r>
        <w:t>How was the four-point seed-noise threshold estimated, and how many calibration draws were run for each of the 18 census models and each corrected-objective arm?</w:t>
      </w:r>
    </w:p>
    <w:p>
      <w:pPr>
        <w:spacing w:after="40"/>
        <w:ind w:left="346" w:hanging="259"/>
      </w:pPr>
      <w:r>
        <w:t xml:space="preserve">4.  </w:t>
      </w:r>
      <w:r>
        <w:t>Which exact matrices are claimed to absorb the Llama pair, in what quantization order were they processed, and which of their Hessians were collected from activations containing each component of the pair?</w:t>
      </w:r>
    </w:p>
    <w:p>
      <w:pPr>
        <w:spacing w:after="40"/>
        <w:ind w:left="346" w:hanging="259"/>
      </w:pPr>
      <w:r>
        <w:t xml:space="preserve">5.  </w:t>
      </w:r>
      <w:r>
        <w:t>Are the unrounded values behind gemma-2-9b consistent with the reported 4.6-point worst case, and will those values be made available in the run index?</w:t>
      </w:r>
    </w:p>
    <w:p>
      <w:pPr>
        <w:pStyle w:val="Heading2"/>
      </w:pPr>
      <w:r>
        <w:t>7. ICLR criteria assessment</w:t>
      </w:r>
    </w:p>
    <w:p>
      <w:pPr>
        <w:pStyle w:val="ReviewerLabel"/>
      </w:pPr>
      <w:r>
        <w:rPr>
          <w:b/>
        </w:rPr>
        <w:t>Novelty</w:t>
      </w:r>
    </w:p>
    <w:p>
      <w:r>
        <w:t>The sink-specific diagnosis, exact GPTQ update analysis, and lesion interventions appear original within the manuscript's cited framing. Confidence in the novelty of the repair itself is only moderate because the nearest token-saliency, end-loss-guided, and calibration-normalization methods are not distinguished or compared adequately.</w:t>
      </w:r>
    </w:p>
    <w:p>
      <w:pPr>
        <w:pStyle w:val="ReviewerLabel"/>
      </w:pPr>
      <w:r>
        <w:rPr>
          <w:b/>
        </w:rPr>
        <w:t>Significance and community value</w:t>
      </w:r>
    </w:p>
    <w:p>
      <w:r>
        <w:t>Potentially high. A reproducible failure of low-bit instruction models that escapes standard evaluation would matter to both deployment and quantization research. The value is reduced if the phenomenon does not occur under exact package defaults or if the repair is not robust across calibration draws.</w:t>
      </w:r>
    </w:p>
    <w:p>
      <w:pPr>
        <w:pStyle w:val="ReviewerLabel"/>
      </w:pPr>
      <w:r>
        <w:rPr>
          <w:b/>
        </w:rPr>
        <w:t>Technical soundness</w:t>
      </w:r>
    </w:p>
    <w:p>
      <w:r>
        <w:t>The local linear-algebra derivations are clear and the proof of the dominant-token update is credible from the supplied manuscript. The paper appropriately labels the sensitivity-weighted objective as a surrogate rather than the downstream Hessian. The main unresolved technical issue is the causal interpretation of network “absorption,” not the existence of the localized GPTQ error.</w:t>
      </w:r>
    </w:p>
    <w:p>
      <w:pPr>
        <w:pStyle w:val="ReviewerLabel"/>
      </w:pPr>
      <w:r>
        <w:rPr>
          <w:b/>
        </w:rPr>
        <w:t>Experimental rigor</w:t>
      </w:r>
    </w:p>
    <w:p>
      <w:r>
        <w:t>Strong intervention diversity and unusually candid negative results are positives. Weaknesses are the hybrid rather than exact-default principal configuration, sparse seed replication for the census, one checkpoint per arm, and the absence of executable evidence for an implementation-sensitive pipeline.</w:t>
      </w:r>
    </w:p>
    <w:p>
      <w:pPr>
        <w:pStyle w:val="ReviewerLabel"/>
      </w:pPr>
      <w:r>
        <w:rPr>
          <w:b/>
        </w:rPr>
        <w:t>Reproducibility</w:t>
      </w:r>
    </w:p>
    <w:p>
      <w:r>
        <w:t>The written protocol is detailed, but the promised repository, run index, logs, and pre-registration record are absent. Reproducibility is therefore not yet satisfactory for submission.</w:t>
      </w:r>
    </w:p>
    <w:p>
      <w:pPr>
        <w:pStyle w:val="ReviewerLabel"/>
      </w:pPr>
      <w:r>
        <w:rPr>
          <w:b/>
        </w:rPr>
        <w:t>Clarity</w:t>
      </w:r>
    </w:p>
    <w:p>
      <w:r>
        <w:t>The paper is generally well written and the narrative is easy to follow despite substantial technical density. The title and abstract overstate “complete” failure and default-library scope, while some numerical and comparator details need clarification.</w:t>
      </w:r>
    </w:p>
    <w:p>
      <w:pPr>
        <w:pStyle w:val="ReviewerLabel"/>
      </w:pPr>
      <w:r>
        <w:rPr>
          <w:b/>
        </w:rPr>
        <w:t>Ethics and responsible disclosure</w:t>
      </w:r>
    </w:p>
    <w:p>
      <w:r>
        <w:t>No human-subject or private-data concern is apparent. Because the paper names widely used packages and alleges a silent deployment-relevant failure, the final submission should accurately delimit the affected configurations and document any responsible notification of maintainers. This is not an ethical blocker on the evidence supplied.</w:t>
      </w:r>
    </w:p>
    <w:p>
      <w:pPr>
        <w:pStyle w:val="Heading2"/>
      </w:pPr>
      <w:r>
        <w:t>8. Recommendation posture</w:t>
      </w:r>
    </w:p>
    <w:p>
      <w:pPr>
        <w:pStyle w:val="ReviewerLabel"/>
      </w:pPr>
      <w:r>
        <w:rPr>
          <w:b/>
        </w:rPr>
        <w:t>Borderline</w:t>
      </w:r>
    </w:p>
    <w:p>
      <w:r>
        <w:t>The mechanism and intervention suite are compelling and likely valuable to ICLR, but the present manuscript does not yet establish its headline claim under an exact library-default configuration, and its originality and repair-generalization claims need stronger comparative and multi-draw evidence. I would move toward lean accept if R2-M2 is resolved and the novelty boundary is made concrete.</w:t>
      </w:r>
    </w:p>
    <w:p>
      <w:pPr>
        <w:pStyle w:val="Heading2"/>
      </w:pPr>
      <w:r>
        <w:t>9. Confidence</w:t>
      </w:r>
    </w:p>
    <w:p>
      <w:pPr>
        <w:pStyle w:val="ReviewerLabel"/>
      </w:pPr>
      <w:r>
        <w:rPr>
          <w:b/>
        </w:rPr>
        <w:t>Medium</w:t>
      </w:r>
    </w:p>
    <w:p>
      <w:r>
        <w:t>I am confident in the assessment of the manuscript's internal logic, displayed arithmetic, experimental framing, and cited positioning. Confidence is limited because the packet contains no code or run artifacts and novelty relative to the full external literature was not independently verified.</w:t>
      </w:r>
    </w:p>
    <w:p>
      <w:pPr>
        <w:pStyle w:val="Heading2"/>
      </w:pPr>
      <w:r>
        <w:t>10. Technical failings that must be resolved before the central case is established</w:t>
      </w:r>
    </w:p>
    <w:p>
      <w:r>
        <w:t>R2-M2. The practical claim about a widely used library default must be tested with an exact out-of-the-box configuration or narrowed to the hybrid configuration actually evaluated.</w:t>
      </w:r>
    </w:p>
    <w:p>
      <w:pPr>
        <w:pStyle w:val="Heading1"/>
        <w:pageBreakBefore/>
      </w:pPr>
      <w:r>
        <w:t>Reviewer 3</w:t>
      </w:r>
    </w:p>
    <w:p>
      <w:r>
        <w:rPr>
          <w:b/>
        </w:rPr>
        <w:t>Emphasis</w:t>
      </w:r>
      <w:r>
        <w:t xml:space="preserve"> Narrative coherence, logic, clarity, accessibility, figures and tables, cross-section consistency, and value to a broad ICLR readership. I also assessed the common ICLR criteria, technical soundness, experimental rigor, reproducibility, and numerical consistency.</w:t>
      </w:r>
    </w:p>
    <w:p>
      <w:pPr>
        <w:pStyle w:val="Heading2"/>
      </w:pPr>
      <w:r>
        <w:t>1. Summary of the paper and central claim</w:t>
      </w:r>
    </w:p>
    <w:p>
      <w:r>
        <w:t>The paper identifies a rare but severe failure of 3-bit post-training quantization in instruction-tuned language models. Under particular calibration protocols, GPTQ can preserve conventional likelihood and multiple-choice metrics while sharply degrading free-generation instruction following. The proposed account is that an attention-sink token dominates the input-side calibration curvature at an early MLP down-projection, even though downstream sensitivity lies mainly on format or scaffold tokens. GPTQ compensation then protects the sink token and reallocates error toward loss-relevant positions. The paper localizes the resulting structured error, termed the lesion, through excision and transplantation experiments, derives a per-step compensation formula, and proposes a token-reweighted curvature using output-gradient sensitivity divided by input energy. This repair removes the observed 3-bit collapses in the reported experiments.</w:t>
      </w:r>
    </w:p>
    <w:p>
      <w:pPr>
        <w:pStyle w:val="Heading2"/>
      </w:pPr>
      <w:r>
        <w:t>2. Overall assessment</w:t>
      </w:r>
    </w:p>
    <w:p>
      <w:r>
        <w:t>This is an unusually ambitious and potentially valuable paper. It connects a deployment-relevant failure, careful localization experiments, an analytical account of the GPTQ update, negative results, and a practical repair. The finding that perplexity and MMLU can miss a collapse in instruction following should interest researchers working on compression, efficient inference, language-model evaluation, interpretability, and reliability. The manuscript is also commendably candid about rarity, protocol dependence, failed predictions, and unresolved absorption by surrounding layers.</w:t>
      </w:r>
    </w:p>
    <w:p>
      <w:r>
        <w:t>The current draft is nevertheless difficult to evaluate at the level of precision demanded by its central mechanistic language. The exact algebraic identity, the position-diagonal loss approximation, the empirical-Fisher proxy, the isotropic corollary, and the partially successful empirical signatures are frequently compressed into one narrative claim. The term “lesion” also changes referent across models and sections. These issues are not cosmetic. They determine what the theory actually explains and what remains an empirical observation. The paper could become a strong ICLR contribution, but the central explanatory claim needs sharper boundaries, the model-specific causal story needs a stable vocabulary, and the generality and repair claims need clearer uncertainty and reproducibility support.</w:t>
      </w:r>
    </w:p>
    <w:p>
      <w:pPr>
        <w:pStyle w:val="Heading2"/>
      </w:pPr>
      <w:r>
        <w:t>3. Main strengths</w:t>
      </w:r>
    </w:p>
    <w:p>
      <w:pPr>
        <w:spacing w:after="40"/>
        <w:ind w:left="346" w:hanging="259"/>
      </w:pPr>
      <w:r>
        <w:t xml:space="preserve">1.  </w:t>
      </w:r>
      <w:r>
        <w:t>The motivating failure is important and concrete. The reported Llama and Qwen instruction-following drops are large, while standard validation metrics can remain deceptively ordinary.</w:t>
      </w:r>
    </w:p>
    <w:p>
      <w:pPr>
        <w:spacing w:after="40"/>
        <w:ind w:left="346" w:hanging="259"/>
      </w:pPr>
      <w:r>
        <w:t xml:space="preserve">2.  </w:t>
      </w:r>
      <w:r>
        <w:t>The paper performs unusually rich causal localization. Re-rounding, matrix transplantation, subset transplantation, activation patching, protocol changes, and failed predictions collectively provide more insight than a benchmark-only study.</w:t>
      </w:r>
    </w:p>
    <w:p>
      <w:pPr>
        <w:spacing w:after="40"/>
        <w:ind w:left="346" w:hanging="259"/>
      </w:pPr>
      <w:r>
        <w:t xml:space="preserve">3.  </w:t>
      </w:r>
      <w:r>
        <w:t>The analytical treatment exposes a useful distinction between input-side reconstruction curvature and downstream task sensitivity. The Sherman-Morrison derivation is clear and the token-weighted repair follows naturally as a practical surrogate.</w:t>
      </w:r>
    </w:p>
    <w:p>
      <w:pPr>
        <w:spacing w:after="40"/>
        <w:ind w:left="346" w:hanging="259"/>
      </w:pPr>
      <w:r>
        <w:t xml:space="preserve">4.  </w:t>
      </w:r>
      <w:r>
        <w:t>The authors state important limitations. They do not claim to explain network-level absorption, they report the partially failed readout prediction, and they disclose thirty pre-registered predictions that did not survive testing.</w:t>
      </w:r>
    </w:p>
    <w:p>
      <w:pPr>
        <w:spacing w:after="40"/>
        <w:ind w:left="346" w:hanging="259"/>
      </w:pPr>
      <w:r>
        <w:t xml:space="preserve">5.  </w:t>
      </w:r>
      <w:r>
        <w:t>The scope is meaningful for ICLR. The study spans 28 models for the mismatch premise, 18 quantized models for the main census, multiple calibration protocols, several quantizers, two bit widths, and several generation and likelihood-based evaluations.</w:t>
      </w:r>
    </w:p>
    <w:p>
      <w:pPr>
        <w:pStyle w:val="Heading2"/>
      </w:pPr>
      <w:r>
        <w:t>4. Major concerns</w:t>
      </w:r>
    </w:p>
    <w:p>
      <w:pPr>
        <w:pStyle w:val="Heading3"/>
      </w:pPr>
      <w:r>
        <w:t>R3-M1 [claim-moderation]</w:t>
      </w:r>
    </w:p>
    <w:p>
      <w:r>
        <w:rPr>
          <w:b/>
        </w:rPr>
        <w:t>Severity</w:t>
      </w:r>
      <w:r>
        <w:t xml:space="preserve"> Major</w:t>
      </w:r>
    </w:p>
    <w:p>
      <w:r>
        <w:rPr>
          <w:b/>
        </w:rPr>
        <w:t>Blocking</w:t>
      </w:r>
      <w:r>
        <w:t xml:space="preserve"> Yes</w:t>
      </w:r>
    </w:p>
    <w:p>
      <w:r>
        <w:rPr>
          <w:b/>
        </w:rPr>
        <w:t>Claim pointer</w:t>
      </w:r>
      <w:r>
        <w:t xml:space="preserve"> The abstract and conclusion state that the dominant-token analysis predicts the matrix, row, direction, and amplitude of the damage, and that the loss ignores the sink token while depending on format tokens.</w:t>
      </w:r>
    </w:p>
    <w:p>
      <w:r>
        <w:rPr>
          <w:b/>
        </w:rPr>
        <w:t>Evidence pointer</w:t>
      </w:r>
      <w:r>
        <w:t xml:space="preserve"> </w:t>
      </w:r>
      <w:r>
        <w:rPr>
          <w:rFonts w:ascii="Courier New" w:hAnsi="Courier New"/>
          <w:sz w:val="17"/>
        </w:rPr>
        <w:t>00_abstract.tex</w:t>
      </w:r>
      <w:r>
        <w:t xml:space="preserve"> lines 7 to 8; </w:t>
      </w:r>
      <w:r>
        <w:rPr>
          <w:rFonts w:ascii="Courier New" w:hAnsi="Courier New"/>
          <w:sz w:val="17"/>
        </w:rPr>
        <w:t>05_theory.tex</w:t>
      </w:r>
      <w:r>
        <w:t xml:space="preserve"> lines 23 to 50, 68 to 95, and 100 to 151; </w:t>
      </w:r>
      <w:r>
        <w:rPr>
          <w:rFonts w:ascii="Courier New" w:hAnsi="Courier New"/>
          <w:sz w:val="17"/>
        </w:rPr>
        <w:t>C_negative_results.tex</w:t>
      </w:r>
      <w:r>
        <w:t xml:space="preserve"> lines 45 to 50; </w:t>
      </w:r>
      <w:r>
        <w:rPr>
          <w:rFonts w:ascii="Courier New" w:hAnsi="Courier New"/>
          <w:sz w:val="17"/>
        </w:rPr>
        <w:t>08_conclusion (3).tex</w:t>
      </w:r>
      <w:r>
        <w:t xml:space="preserve"> lines 3 to 5; PDF pages 5 to 8, 18 to 20, and 26.</w:t>
      </w:r>
    </w:p>
    <w:p>
      <w:r>
        <w:rPr>
          <w:b/>
        </w:rPr>
        <w:t>Concern</w:t>
      </w:r>
      <w:r>
        <w:t xml:space="preserve"> Several logically distinct objects are presented as one mechanism. Equation 3 is introduced after neglecting the first-order term and cross-position Hessian blocks. The positional quantity (g_t) is then the squared output gradient, explicitly described as an empirical-Fisher trace proxy rather than the downstream Hessian block. Theorem 1 is an exact identity after decomposing the input curvature, but the simple direction, readout, and amplitude signatures come from Corollary 1 under the isotropic assumption (M_j=\lambda I). The paper’s own negative results show that the isotropic and whitened readouts do not reliably place the template tokens, and that the block-diagonal restriction of the two-sided expansion fails on Llama. Across the census, row concentration and range overshoot hold in 14 of 17 and 16 of 17 cases, not universally. The prose acknowledges pieces of this boundary, but the abstract, contribution statement, and conclusion still read as though the exact theorem establishes the full causal chain.</w:t>
      </w:r>
    </w:p>
    <w:p>
      <w:r>
        <w:rPr>
          <w:b/>
        </w:rPr>
        <w:t>Why it matters</w:t>
      </w:r>
      <w:r>
        <w:t xml:space="preserve"> The mechanistic explanation is the main intellectual contribution. At present, a broad reader can reasonably infer that the paper proves a loss-level mechanism when it proves an exact GPTQ update identity, uses an approximate sensitivity surrogate, and then validates some signatures empirically. Until these levels are separated, the central case is stronger in wording than in logic.</w:t>
      </w:r>
    </w:p>
    <w:p>
      <w:r>
        <w:rPr>
          <w:b/>
        </w:rPr>
        <w:t>Resolution test</w:t>
      </w:r>
      <w:r>
        <w:t xml:space="preserve"> State a claim ladder in the main text. It should distinguish what is exact for the GPTQ loop, what requires dominant-token or isotropic assumptions, what is measured rather than derived, and what failed. Provide direct evidence for the specific statement that sink-output perturbations are loss-insensitive, or moderate it to the empirical-Fisher and intervention evidence actually shown. Reconcile the negative cross-position result with the use of Equation 3. Rewrite the abstract, contribution paragraph, and conclusion so each claimed prediction is tied to its assumption and observed success rate.</w:t>
      </w:r>
    </w:p>
    <w:p>
      <w:pPr>
        <w:pStyle w:val="Heading3"/>
      </w:pPr>
      <w:r>
        <w:t>R3-M2 [writing-clarity]</w:t>
      </w:r>
    </w:p>
    <w:p>
      <w:r>
        <w:rPr>
          <w:b/>
        </w:rPr>
        <w:t>Severity</w:t>
      </w:r>
      <w:r>
        <w:t xml:space="preserve"> Major</w:t>
      </w:r>
    </w:p>
    <w:p>
      <w:r>
        <w:rPr>
          <w:b/>
        </w:rPr>
        <w:t>Blocking</w:t>
      </w:r>
      <w:r>
        <w:t xml:space="preserve"> No</w:t>
      </w:r>
    </w:p>
    <w:p>
      <w:r>
        <w:rPr>
          <w:b/>
        </w:rPr>
        <w:t>Claim pointer</w:t>
      </w:r>
      <w:r>
        <w:t xml:space="preserve"> The paper localizes a lesion to one or two matrices, says it is necessary but not sufficient, and later states that a lesion collapses every RTN network tested unless neighboring matrices absorb it.</w:t>
      </w:r>
    </w:p>
    <w:p>
      <w:r>
        <w:rPr>
          <w:b/>
        </w:rPr>
        <w:t>Evidence pointer</w:t>
      </w:r>
      <w:r>
        <w:t xml:space="preserve"> </w:t>
      </w:r>
      <w:r>
        <w:rPr>
          <w:rFonts w:ascii="Courier New" w:hAnsi="Courier New"/>
          <w:sz w:val="17"/>
        </w:rPr>
        <w:t>01_introduction (3).tex</w:t>
      </w:r>
      <w:r>
        <w:t xml:space="preserve"> lines 10 to 15; </w:t>
      </w:r>
      <w:r>
        <w:rPr>
          <w:rFonts w:ascii="Courier New" w:hAnsi="Courier New"/>
          <w:sz w:val="17"/>
        </w:rPr>
        <w:t>04_lesion.tex</w:t>
      </w:r>
      <w:r>
        <w:t xml:space="preserve"> lines 3 to 24; </w:t>
      </w:r>
      <w:r>
        <w:rPr>
          <w:rFonts w:ascii="Courier New" w:hAnsi="Courier New"/>
          <w:sz w:val="17"/>
        </w:rPr>
        <w:t>05_theory.tex</w:t>
      </w:r>
      <w:r>
        <w:t xml:space="preserve"> lines 130 to 137; </w:t>
      </w:r>
      <w:r>
        <w:rPr>
          <w:rFonts w:ascii="Courier New" w:hAnsi="Courier New"/>
          <w:sz w:val="17"/>
        </w:rPr>
        <w:t>08_conclusion (3).tex</w:t>
      </w:r>
      <w:r>
        <w:t xml:space="preserve"> lines 3 to 10; PDF Tables 9, 10, and 14 on pages 22 and 24.</w:t>
      </w:r>
    </w:p>
    <w:p>
      <w:r>
        <w:rPr>
          <w:b/>
        </w:rPr>
        <w:t>Concern</w:t>
      </w:r>
      <w:r>
        <w:t xml:space="preserve"> The central causal object changes meaning. Section 4 first defines the lesion as the concentrated part of one matrix. It later calls the pair of Llama layer-0 and layer-1 down-projections “Llama’s lesion.” For Qwen, one matrix is the minimal collapsing set. For Mistral, the collapse requires fourteen matrices and is explicitly unresolved. Elsewhere “the lesion” can mean the structured compensation pattern, a donor matrix, a minimal collapsing set, or the damaging component before absorption. The accompanying distinction between lesion, background, neighbors, absorption, and minimal set therefore becomes hard to track, especially when a foreign matrix is fatal but the same matrix is tolerated in its native GPTQ network.</w:t>
      </w:r>
    </w:p>
    <w:p>
      <w:r>
        <w:rPr>
          <w:b/>
        </w:rPr>
        <w:t>Why it matters</w:t>
      </w:r>
      <w:r>
        <w:t xml:space="preserve"> The transplantation evidence is a major strength, but unstable terminology obscures which causal claim each intervention supports. It also makes statements such as “necessary, not sufficient” and “collapses every RTN network” appear contradictory until the reader reconstructs model-specific definitions from several tables.</w:t>
      </w:r>
    </w:p>
    <w:p>
      <w:r>
        <w:rPr>
          <w:b/>
        </w:rPr>
        <w:t>Resolution test</w:t>
      </w:r>
      <w:r>
        <w:t xml:space="preserve"> Define separate terms for the structured error component, the primary sink-forming matrix, any protocol-induced secondary matrix, the minimal collapsing set, and the absorbing background. Use those terms consistently in the abstract, Sections 4 and 5, and the conclusion. Add one compact model-by-model causal table or diagram for Llama, Qwen, and Mistral showing the native failure, the minimal transplanted set, the excision result, and what remains unexplained.</w:t>
      </w:r>
    </w:p>
    <w:p>
      <w:pPr>
        <w:pStyle w:val="Heading3"/>
      </w:pPr>
      <w:r>
        <w:t>R3-M3 [statistical-rigor]</w:t>
      </w:r>
    </w:p>
    <w:p>
      <w:r>
        <w:rPr>
          <w:b/>
        </w:rPr>
        <w:t>Severity</w:t>
      </w:r>
      <w:r>
        <w:t xml:space="preserve"> Major</w:t>
      </w:r>
    </w:p>
    <w:p>
      <w:r>
        <w:rPr>
          <w:b/>
        </w:rPr>
        <w:t>Blocking</w:t>
      </w:r>
      <w:r>
        <w:t xml:space="preserve"> No</w:t>
      </w:r>
    </w:p>
    <w:p>
      <w:r>
        <w:rPr>
          <w:b/>
        </w:rPr>
        <w:t>Claim pointer</w:t>
      </w:r>
      <w:r>
        <w:t xml:space="preserve"> The corrected objective repairs every 3-bit collapse found, never falls more than 4.6 IFEval points below RTN across 18 models, and changes the 16 non-collapsing models by an average of 0.3 points.</w:t>
      </w:r>
    </w:p>
    <w:p>
      <w:r>
        <w:rPr>
          <w:b/>
        </w:rPr>
        <w:t>Evidence pointer</w:t>
      </w:r>
      <w:r>
        <w:t xml:space="preserve"> </w:t>
      </w:r>
      <w:r>
        <w:rPr>
          <w:rFonts w:ascii="Courier New" w:hAnsi="Courier New"/>
          <w:sz w:val="17"/>
        </w:rPr>
        <w:t>03_failure.tex</w:t>
      </w:r>
      <w:r>
        <w:t xml:space="preserve"> lines 6 to 7 and 22 to 27; </w:t>
      </w:r>
      <w:r>
        <w:rPr>
          <w:rFonts w:ascii="Courier New" w:hAnsi="Courier New"/>
          <w:sz w:val="17"/>
        </w:rPr>
        <w:t>06_repair.tex</w:t>
      </w:r>
      <w:r>
        <w:t xml:space="preserve"> lines 8 to 19; </w:t>
      </w:r>
      <w:r>
        <w:rPr>
          <w:rFonts w:ascii="Courier New" w:hAnsi="Courier New"/>
          <w:sz w:val="17"/>
        </w:rPr>
        <w:t>07_generality.tex</w:t>
      </w:r>
      <w:r>
        <w:t xml:space="preserve"> lines 3 to 11; </w:t>
      </w:r>
      <w:r>
        <w:rPr>
          <w:rFonts w:ascii="Courier New" w:hAnsi="Courier New"/>
          <w:sz w:val="17"/>
        </w:rPr>
        <w:t>B_protocols.tex</w:t>
      </w:r>
      <w:r>
        <w:t xml:space="preserve"> lines 42 to 63; </w:t>
      </w:r>
      <w:r>
        <w:rPr>
          <w:rFonts w:ascii="Courier New" w:hAnsi="Courier New"/>
          <w:sz w:val="17"/>
        </w:rPr>
        <w:t>10_statements.tex</w:t>
      </w:r>
      <w:r>
        <w:t xml:space="preserve"> lines 2 to 5; PDF Tables 13, 15, and 16 on pages 23 and 25.</w:t>
      </w:r>
    </w:p>
    <w:p>
      <w:r>
        <w:rPr>
          <w:b/>
        </w:rPr>
        <w:t>Concern</w:t>
      </w:r>
      <w:r>
        <w:t xml:space="preserve"> Most census arms are represented by one checkpoint and one calibration draw. Replication is concentrated on the three collapse cases and only two draws are shown for the corrected objective. A uniform four-point “seed noise” threshold is adopted from a non-collapsing arm, but its derivation and transfer across models, protocols, and metrics are not quantified. The reported mean gain of 0.3 points on healthy models is much smaller than that threshold, while the range is wide. The “never more than 4.6 points below RTN” statement is a sample extremum, not an uncertainty bound. In addition, the reproducibility statement says code, checkpoints, run index, and pre-registration log are released, but the current PDF still contains </w:t>
      </w:r>
      <w:r>
        <w:rPr>
          <w:rFonts w:ascii="Courier New" w:hAnsi="Courier New"/>
          <w:sz w:val="17"/>
        </w:rPr>
        <w:t>[TODO: Anonymous repository link.]</w:t>
      </w:r>
      <w:r>
        <w:t xml:space="preserve"> and the packet contains none of those artifacts.</w:t>
      </w:r>
    </w:p>
    <w:p>
      <w:r>
        <w:rPr>
          <w:b/>
        </w:rPr>
        <w:t>Why it matters</w:t>
      </w:r>
      <w:r>
        <w:t xml:space="preserve"> The large central collapses are not explained away by ordinary run noise, but the generality and safety of the repair are more weakly supported than the prose suggests. The unavailable run index also prevents independent checking of numerous values that are cited in prose but not tabulated.</w:t>
      </w:r>
    </w:p>
    <w:p>
      <w:r>
        <w:rPr>
          <w:b/>
        </w:rPr>
        <w:t>Resolution test</w:t>
      </w:r>
      <w:r>
        <w:t xml:space="preserve"> Explain how the four-point threshold was estimated and report variability for representative healthy and repaired arms across multiple calibration draws. Present the 18-model repair result as an empirical census rather than a bound, with paired per-model deltas and uncertainty where feasible. Provide the anonymous repository, run index, checkpoint mapping, and pre-registration record before submission, and verify that the released implementation reproduces the reported default-protocol results.</w:t>
      </w:r>
    </w:p>
    <w:p>
      <w:pPr>
        <w:pStyle w:val="Heading3"/>
      </w:pPr>
      <w:r>
        <w:t>R3-M4 [writing-clarity]</w:t>
      </w:r>
    </w:p>
    <w:p>
      <w:r>
        <w:rPr>
          <w:b/>
        </w:rPr>
        <w:t>Severity</w:t>
      </w:r>
      <w:r>
        <w:t xml:space="preserve"> Major</w:t>
      </w:r>
    </w:p>
    <w:p>
      <w:r>
        <w:rPr>
          <w:b/>
        </w:rPr>
        <w:t>Blocking</w:t>
      </w:r>
      <w:r>
        <w:t xml:space="preserve"> No</w:t>
      </w:r>
    </w:p>
    <w:p>
      <w:r>
        <w:rPr>
          <w:b/>
        </w:rPr>
        <w:t>Claim pointer</w:t>
      </w:r>
      <w:r>
        <w:t xml:space="preserve"> The main text asks readers to accept the mismatch across models, the lesion anatomy, the repair tradeoffs, and the generality claims through repeated references to appendix figures and tables.</w:t>
      </w:r>
    </w:p>
    <w:p>
      <w:r>
        <w:rPr>
          <w:b/>
        </w:rPr>
        <w:t>Evidence pointer</w:t>
      </w:r>
      <w:r>
        <w:t xml:space="preserve"> </w:t>
      </w:r>
      <w:r>
        <w:rPr>
          <w:rFonts w:ascii="Courier New" w:hAnsi="Courier New"/>
          <w:sz w:val="17"/>
        </w:rPr>
        <w:t>05_theory.tex</w:t>
      </w:r>
      <w:r>
        <w:t xml:space="preserve"> lines 44 to 50 and 97 to 137; </w:t>
      </w:r>
      <w:r>
        <w:rPr>
          <w:rFonts w:ascii="Courier New" w:hAnsi="Courier New"/>
          <w:sz w:val="17"/>
        </w:rPr>
        <w:t>06_repair.tex</w:t>
      </w:r>
      <w:r>
        <w:t xml:space="preserve"> lines 9 to 19; </w:t>
      </w:r>
      <w:r>
        <w:rPr>
          <w:rFonts w:ascii="Courier New" w:hAnsi="Courier New"/>
          <w:sz w:val="17"/>
        </w:rPr>
        <w:t>07_generality.tex</w:t>
      </w:r>
      <w:r>
        <w:t xml:space="preserve"> lines 3 to 11; </w:t>
      </w:r>
      <w:r>
        <w:rPr>
          <w:rFonts w:ascii="Courier New" w:hAnsi="Courier New"/>
          <w:sz w:val="17"/>
        </w:rPr>
        <w:t>D_extra_tables.tex</w:t>
      </w:r>
      <w:r>
        <w:t xml:space="preserve"> lines 3 to 8 and 24 to 47; PDF pages 1 to 9, 19 to 26.</w:t>
      </w:r>
    </w:p>
    <w:p>
      <w:r>
        <w:rPr>
          <w:b/>
        </w:rPr>
        <w:t>Concern</w:t>
      </w:r>
      <w:r>
        <w:t xml:space="preserve"> The nine-page narrative is exceptionally dense, while two figures most important to the mechanistic story are deferred. Figure 3, which visualizes the core input-side versus output-side mismatch across models, appears on PDF page 19. Figure 4, which shows where the lesion appears and which token classes read it out, appears alone on page 26. The main theory section therefore introduces several ratios, assumptions, theorem parts, partial failures, and census counts without the visual evidence needed to orient a broad reader. The main figures also use very small text and compressed legends. The resulting appendix traversal makes it difficult to distinguish the discovery result, the exact identity, the empirical signatures, and the repair evidence on a first reading.</w:t>
      </w:r>
    </w:p>
    <w:p>
      <w:r>
        <w:rPr>
          <w:b/>
        </w:rPr>
        <w:t>Why it matters</w:t>
      </w:r>
      <w:r>
        <w:t xml:space="preserve"> ICLR value depends not only on specialist correctness but on whether the central idea can be inspected and reused by the broader community. Here the presentation hides some of the strongest evidence and increases the risk that readers overgeneralize the theorem or miss the model-specific qualifications.</w:t>
      </w:r>
    </w:p>
    <w:p>
      <w:r>
        <w:rPr>
          <w:b/>
        </w:rPr>
        <w:t>Resolution test</w:t>
      </w:r>
      <w:r>
        <w:t xml:space="preserve"> Move or redesign a compact version of Figures 3 and 4 into the main paper, or merge their essential evidence into a single mechanism figure. Add a short claim-to-evidence roadmap before the theory. Reduce numerical enumeration in prose when the values already appear in a table, and make the exact, approximate, and empirical layers visually explicit.</w:t>
      </w:r>
    </w:p>
    <w:p>
      <w:pPr>
        <w:pStyle w:val="Heading2"/>
      </w:pPr>
      <w:r>
        <w:t>5. Minor comments</w:t>
      </w:r>
    </w:p>
    <w:p>
      <w:pPr>
        <w:pStyle w:val="Heading3"/>
      </w:pPr>
      <w:r>
        <w:t>R3-m1 [claim-moderation]</w:t>
      </w:r>
    </w:p>
    <w:p>
      <w:r>
        <w:rPr>
          <w:b/>
        </w:rPr>
        <w:t>Severity</w:t>
      </w:r>
      <w:r>
        <w:t xml:space="preserve"> Minor</w:t>
      </w:r>
    </w:p>
    <w:p>
      <w:r>
        <w:rPr>
          <w:b/>
        </w:rPr>
        <w:t>Affected element</w:t>
      </w:r>
      <w:r>
        <w:t xml:space="preserve"> Title and headline scope.</w:t>
      </w:r>
    </w:p>
    <w:p>
      <w:r>
        <w:rPr>
          <w:b/>
        </w:rPr>
        <w:t>Evidence pointer</w:t>
      </w:r>
      <w:r>
        <w:t xml:space="preserve"> </w:t>
      </w:r>
      <w:r>
        <w:rPr>
          <w:rFonts w:ascii="Courier New" w:hAnsi="Courier New"/>
          <w:sz w:val="17"/>
        </w:rPr>
        <w:t>main (3).tex</w:t>
      </w:r>
      <w:r>
        <w:t xml:space="preserve"> line 40; </w:t>
      </w:r>
      <w:r>
        <w:rPr>
          <w:rFonts w:ascii="Courier New" w:hAnsi="Courier New"/>
          <w:sz w:val="17"/>
        </w:rPr>
        <w:t>00_abstract.tex</w:t>
      </w:r>
      <w:r>
        <w:t xml:space="preserve"> line 5; </w:t>
      </w:r>
      <w:r>
        <w:rPr>
          <w:rFonts w:ascii="Courier New" w:hAnsi="Courier New"/>
          <w:sz w:val="17"/>
        </w:rPr>
        <w:t>07_generality.tex</w:t>
      </w:r>
      <w:r>
        <w:t xml:space="preserve"> lines 4 to 7.</w:t>
      </w:r>
    </w:p>
    <w:p>
      <w:r>
        <w:rPr>
          <w:b/>
        </w:rPr>
        <w:t>Issue</w:t>
      </w:r>
      <w:r>
        <w:t xml:space="preserve"> The title says layer-wise quantization “breaks instruction following,” while the paper emphasizes that collapse is rare and protocol dependent. The broader objective mismatch is common, but collapse is not.</w:t>
      </w:r>
    </w:p>
    <w:p>
      <w:r>
        <w:rPr>
          <w:b/>
        </w:rPr>
        <w:t>Required correction</w:t>
      </w:r>
      <w:r>
        <w:t xml:space="preserve"> Add “can” or otherwise qualify the title so it distinguishes the widespread mismatch from the observed collapse rate.</w:t>
      </w:r>
    </w:p>
    <w:p>
      <w:pPr>
        <w:pStyle w:val="Heading3"/>
      </w:pPr>
      <w:r>
        <w:t>R3-m2 [figures-and-tables]</w:t>
      </w:r>
    </w:p>
    <w:p>
      <w:r>
        <w:rPr>
          <w:b/>
        </w:rPr>
        <w:t>Severity</w:t>
      </w:r>
      <w:r>
        <w:t xml:space="preserve"> Minor</w:t>
      </w:r>
    </w:p>
    <w:p>
      <w:r>
        <w:rPr>
          <w:b/>
        </w:rPr>
        <w:t>Affected element</w:t>
      </w:r>
      <w:r>
        <w:t xml:space="preserve"> Numerical consistency and table captions.</w:t>
      </w:r>
    </w:p>
    <w:p>
      <w:r>
        <w:rPr>
          <w:b/>
        </w:rPr>
        <w:t>Evidence pointer</w:t>
      </w:r>
      <w:r>
        <w:t xml:space="preserve"> PDF Table 4 on page 20, Table 13 on page 23, and Tables 15 and 16 on page 25; </w:t>
      </w:r>
      <w:r>
        <w:rPr>
          <w:rFonts w:ascii="Courier New" w:hAnsi="Courier New"/>
          <w:sz w:val="17"/>
        </w:rPr>
        <w:t>00_numbers.tex</w:t>
      </w:r>
      <w:r>
        <w:t xml:space="preserve"> lines 72 to 75 and 113 to 116.</w:t>
      </w:r>
    </w:p>
    <w:p>
      <w:r>
        <w:rPr>
          <w:b/>
        </w:rPr>
        <w:t>Issue</w:t>
      </w:r>
      <w:r>
        <w:t xml:space="preserve"> The numerical audit found several discrepancies. Qwen2.5-14B 4-bit GPTQ is 0.809 in Table 4 and the numerical macro, but 0.808 in Table 15. Table 13 reports a worst corrected-minus-RTN value of minus 4.6 points, while the displayed gemma-2-9b values in Table 15, 0.664 versus 0.711, imply minus 4.7 points. Table 16 says every collapse is 30 to 40 points, but the displayed RTN baselines and seed values imply approximately 23 to 45 points, including the Mistral gaps of about 23 to 25 points. Table 4’s statement that likelihood-based metrics are at or above RTN is also ambiguous because lower perplexity is better and the two models move in opposite directions.</w:t>
      </w:r>
    </w:p>
    <w:p>
      <w:r>
        <w:rPr>
          <w:b/>
        </w:rPr>
        <w:t>Required correction</w:t>
      </w:r>
      <w:r>
        <w:t xml:space="preserve"> Regenerate all repeated values from one source at one stated precision. Replace the Table 16 range with the range derivable from the displayed values, and rewrite the Table 4 caption to name MMLU and perplexity separately with the correct direction of improvement.</w:t>
      </w:r>
    </w:p>
    <w:p>
      <w:pPr>
        <w:pStyle w:val="Heading3"/>
      </w:pPr>
      <w:r>
        <w:t>R3-m3 [reproducibility]</w:t>
      </w:r>
    </w:p>
    <w:p>
      <w:r>
        <w:rPr>
          <w:b/>
        </w:rPr>
        <w:t>Severity</w:t>
      </w:r>
      <w:r>
        <w:t xml:space="preserve"> Minor</w:t>
      </w:r>
    </w:p>
    <w:p>
      <w:r>
        <w:rPr>
          <w:b/>
        </w:rPr>
        <w:t>Affected element</w:t>
      </w:r>
      <w:r>
        <w:t xml:space="preserve"> Relationship to the claimed library default.</w:t>
      </w:r>
    </w:p>
    <w:p>
      <w:r>
        <w:rPr>
          <w:b/>
        </w:rPr>
        <w:t>Evidence pointer</w:t>
      </w:r>
      <w:r>
        <w:t xml:space="preserve"> </w:t>
      </w:r>
      <w:r>
        <w:rPr>
          <w:rFonts w:ascii="Courier New" w:hAnsi="Courier New"/>
          <w:sz w:val="17"/>
        </w:rPr>
        <w:t>03_failure.tex</w:t>
      </w:r>
      <w:r>
        <w:t xml:space="preserve"> lines 4 to 6; </w:t>
      </w:r>
      <w:r>
        <w:rPr>
          <w:rFonts w:ascii="Courier New" w:hAnsi="Courier New"/>
          <w:sz w:val="17"/>
        </w:rPr>
        <w:t>B_protocols.tex</w:t>
      </w:r>
      <w:r>
        <w:t xml:space="preserve"> lines 4 to 11 and 13 to 31; PDF Table 1 on page 15.</w:t>
      </w:r>
    </w:p>
    <w:p>
      <w:r>
        <w:rPr>
          <w:b/>
        </w:rPr>
        <w:t>Issue</w:t>
      </w:r>
      <w:r>
        <w:t xml:space="preserve"> The paper is careful to say that the calibration sampling shape is a library default, but this distinction is easy to miss because the main quantizer uses act-order and no true-sequential pass, whereas Table 1 lists different GPTQModel defaults for those choices.</w:t>
      </w:r>
    </w:p>
    <w:p>
      <w:r>
        <w:rPr>
          <w:b/>
        </w:rPr>
        <w:t>Required correction</w:t>
      </w:r>
      <w:r>
        <w:t xml:space="preserve"> State near the first headline result that the default claim concerns sampling, not the full end-to-end default configuration. Report an actual default-library run or explain precisely which library defaults were changed and why they do not alter the phenomenon.</w:t>
      </w:r>
    </w:p>
    <w:p>
      <w:pPr>
        <w:pStyle w:val="Heading3"/>
      </w:pPr>
      <w:r>
        <w:t>R3-m4 [writing-clarity]</w:t>
      </w:r>
    </w:p>
    <w:p>
      <w:r>
        <w:rPr>
          <w:b/>
        </w:rPr>
        <w:t>Severity</w:t>
      </w:r>
      <w:r>
        <w:t xml:space="preserve"> Minor</w:t>
      </w:r>
    </w:p>
    <w:p>
      <w:r>
        <w:rPr>
          <w:b/>
        </w:rPr>
        <w:t>Affected element</w:t>
      </w:r>
      <w:r>
        <w:t xml:space="preserve"> Definition of a sink-dominated matrix.</w:t>
      </w:r>
    </w:p>
    <w:p>
      <w:r>
        <w:rPr>
          <w:b/>
        </w:rPr>
        <w:t>Evidence pointer</w:t>
      </w:r>
      <w:r>
        <w:t xml:space="preserve"> </w:t>
      </w:r>
      <w:r>
        <w:rPr>
          <w:rFonts w:ascii="Courier New" w:hAnsi="Courier New"/>
          <w:sz w:val="17"/>
        </w:rPr>
        <w:t>04_lesion.tex</w:t>
      </w:r>
      <w:r>
        <w:t xml:space="preserve"> lines 15 to 18; </w:t>
      </w:r>
      <w:r>
        <w:rPr>
          <w:rFonts w:ascii="Courier New" w:hAnsi="Courier New"/>
          <w:sz w:val="17"/>
        </w:rPr>
        <w:t>05_theory.tex</w:t>
      </w:r>
      <w:r>
        <w:t xml:space="preserve"> lines 44 to 50; </w:t>
      </w:r>
      <w:r>
        <w:rPr>
          <w:rFonts w:ascii="Courier New" w:hAnsi="Courier New"/>
          <w:sz w:val="17"/>
        </w:rPr>
        <w:t>07_generality.tex</w:t>
      </w:r>
      <w:r>
        <w:t xml:space="preserve"> line 4; </w:t>
      </w:r>
      <w:r>
        <w:rPr>
          <w:rFonts w:ascii="Courier New" w:hAnsi="Courier New"/>
          <w:sz w:val="17"/>
        </w:rPr>
        <w:t>00_numbers.tex</w:t>
      </w:r>
      <w:r>
        <w:t xml:space="preserve"> lines 118 to 123 and 163 to 170.</w:t>
      </w:r>
    </w:p>
    <w:p>
      <w:r>
        <w:rPr>
          <w:b/>
        </w:rPr>
        <w:t>Issue</w:t>
      </w:r>
      <w:r>
        <w:t xml:space="preserve"> The Llama layer-0 down-projection is called a sink under short documents with (A_{BOS}=0.266), while the formal mismatch criterion elsewhere uses (A_{BOS}\ge 0.50). The reader cannot tell whether “sink,” “sink-dominated,” and “weaker copy” use different thresholds.</w:t>
      </w:r>
    </w:p>
    <w:p>
      <w:r>
        <w:rPr>
          <w:b/>
        </w:rPr>
        <w:t>Required correction</w:t>
      </w:r>
      <w:r>
        <w:t xml:space="preserve"> Define these terms and thresholds once, and do not describe the layer-0 matrix as satisfying Proposition 1 unless it meets the stated criterion.</w:t>
      </w:r>
    </w:p>
    <w:p>
      <w:pPr>
        <w:pStyle w:val="Heading3"/>
      </w:pPr>
      <w:r>
        <w:t>R3-m5 [writing-clarity]</w:t>
      </w:r>
    </w:p>
    <w:p>
      <w:r>
        <w:rPr>
          <w:b/>
        </w:rPr>
        <w:t>Severity</w:t>
      </w:r>
      <w:r>
        <w:t xml:space="preserve"> Minor</w:t>
      </w:r>
    </w:p>
    <w:p>
      <w:r>
        <w:rPr>
          <w:b/>
        </w:rPr>
        <w:t>Affected element</w:t>
      </w:r>
      <w:r>
        <w:t xml:space="preserve"> Proposition and proof structure.</w:t>
      </w:r>
    </w:p>
    <w:p>
      <w:r>
        <w:rPr>
          <w:b/>
        </w:rPr>
        <w:t>Evidence pointer</w:t>
      </w:r>
      <w:r>
        <w:t xml:space="preserve"> </w:t>
      </w:r>
      <w:r>
        <w:rPr>
          <w:rFonts w:ascii="Courier New" w:hAnsi="Courier New"/>
          <w:sz w:val="17"/>
        </w:rPr>
        <w:t>05_theory.tex</w:t>
      </w:r>
      <w:r>
        <w:t xml:space="preserve"> lines 143 to 151; </w:t>
      </w:r>
      <w:r>
        <w:rPr>
          <w:rFonts w:ascii="Courier New" w:hAnsi="Courier New"/>
          <w:sz w:val="17"/>
        </w:rPr>
        <w:t>A_proofs.tex</w:t>
      </w:r>
      <w:r>
        <w:t xml:space="preserve"> lines 72 to 81.</w:t>
      </w:r>
    </w:p>
    <w:p>
      <w:r>
        <w:rPr>
          <w:b/>
        </w:rPr>
        <w:t>Issue</w:t>
      </w:r>
      <w:r>
        <w:t xml:space="preserve"> Proposition 2 contains parts (a) and (b), but its appendix proof contains an additional part (c). The identity proved as part (c) appears in prose after the proposition rather than in the proposition itself.</w:t>
      </w:r>
    </w:p>
    <w:p>
      <w:r>
        <w:rPr>
          <w:b/>
        </w:rPr>
        <w:t>Required correction</w:t>
      </w:r>
      <w:r>
        <w:t xml:space="preserve"> Add part (c) to Proposition 2 or remove the part label from the proof and cross-reference the prose statement explicitly.</w:t>
      </w:r>
    </w:p>
    <w:p>
      <w:pPr>
        <w:pStyle w:val="Heading3"/>
      </w:pPr>
      <w:r>
        <w:t>R3-m6 [figures-and-tables]</w:t>
      </w:r>
    </w:p>
    <w:p>
      <w:r>
        <w:rPr>
          <w:b/>
        </w:rPr>
        <w:t>Severity</w:t>
      </w:r>
      <w:r>
        <w:t xml:space="preserve"> Minor</w:t>
      </w:r>
    </w:p>
    <w:p>
      <w:r>
        <w:rPr>
          <w:b/>
        </w:rPr>
        <w:t>Affected element</w:t>
      </w:r>
      <w:r>
        <w:t xml:space="preserve"> PDF accessibility and polish.</w:t>
      </w:r>
    </w:p>
    <w:p>
      <w:r>
        <w:rPr>
          <w:b/>
        </w:rPr>
        <w:t>Evidence pointer</w:t>
      </w:r>
      <w:r>
        <w:t xml:space="preserve"> PDF pages 1 to 26, especially Figures 1 and 2 on pages 2 and 4, Figure 3 on page 19, and Figure 4 on page 26.</w:t>
      </w:r>
    </w:p>
    <w:p>
      <w:r>
        <w:rPr>
          <w:b/>
        </w:rPr>
        <w:t>Issue</w:t>
      </w:r>
      <w:r>
        <w:t xml:space="preserve"> Internal links and citations are surrounded by highly visible colored boxes, several figure labels are too small for comfortable reading, and Figure 4 occupies a page with substantial unused space. Color is also used without an explicit statement that all distinctions remain legible in grayscale.</w:t>
      </w:r>
    </w:p>
    <w:p>
      <w:r>
        <w:rPr>
          <w:b/>
        </w:rPr>
        <w:t>Required correction</w:t>
      </w:r>
      <w:r>
        <w:t xml:space="preserve"> Use unobtrusive link styling, enlarge figure text and legends, improve appendix float placement, and check grayscale and color-vision accessibility.</w:t>
      </w:r>
    </w:p>
    <w:p>
      <w:pPr>
        <w:pStyle w:val="Heading2"/>
      </w:pPr>
      <w:r>
        <w:t>6. Questions for the authors</w:t>
      </w:r>
    </w:p>
    <w:p>
      <w:pPr>
        <w:spacing w:after="40"/>
        <w:ind w:left="346" w:hanging="259"/>
      </w:pPr>
      <w:r>
        <w:t xml:space="preserve">1.  </w:t>
      </w:r>
      <w:r>
        <w:t>What is the intended invariant definition of “lesion” across Llama, Qwen, and Mistral? Is it a matrix error pattern, a transplanted matrix, or the minimal collapsing set?</w:t>
      </w:r>
    </w:p>
    <w:p>
      <w:pPr>
        <w:spacing w:after="40"/>
        <w:ind w:left="346" w:hanging="259"/>
      </w:pPr>
      <w:r>
        <w:t xml:space="preserve">2.  </w:t>
      </w:r>
      <w:r>
        <w:t>How should readers interpret the negative and non-negligible cross-position result for Llama in relation to Equation 3 and the claim that output-side sensitivity explains the lesion’s cost?</w:t>
      </w:r>
    </w:p>
    <w:p>
      <w:pPr>
        <w:spacing w:after="40"/>
        <w:ind w:left="346" w:hanging="259"/>
      </w:pPr>
      <w:r>
        <w:t xml:space="preserve">3.  </w:t>
      </w:r>
      <w:r>
        <w:t>How was the four-point seed-noise threshold estimated, and why is one threshold appropriate across model sizes, calibration protocols, and metrics?</w:t>
      </w:r>
    </w:p>
    <w:p>
      <w:pPr>
        <w:spacing w:after="40"/>
        <w:ind w:left="346" w:hanging="259"/>
      </w:pPr>
      <w:r>
        <w:t xml:space="preserve">4.  </w:t>
      </w:r>
      <w:r>
        <w:t>Does the collapse reproduce under the complete GPTQModel default execution path, including its true-sequential behavior and default column-order setting, rather than only under the same sampling shape?</w:t>
      </w:r>
    </w:p>
    <w:p>
      <w:pPr>
        <w:spacing w:after="40"/>
        <w:ind w:left="346" w:hanging="259"/>
      </w:pPr>
      <w:r>
        <w:t xml:space="preserve">5.  </w:t>
      </w:r>
      <w:r>
        <w:t>Are the 0.808 versus 0.809 and minus 4.6 versus minus 4.7 differences caused by hidden precision, different runs, or stale table values?</w:t>
      </w:r>
    </w:p>
    <w:p>
      <w:pPr>
        <w:spacing w:after="40"/>
        <w:ind w:left="346" w:hanging="259"/>
      </w:pPr>
      <w:r>
        <w:t xml:space="preserve">6.  </w:t>
      </w:r>
      <w:r>
        <w:t>Can the authors provide a loss-intervention experiment that directly compares equal-norm perturbations at BOS, scaffold, user-text, and response positions, thereby connecting the empirical-Fisher proxy to the stated loss-sensitivity claim?</w:t>
      </w:r>
    </w:p>
    <w:p>
      <w:pPr>
        <w:pStyle w:val="Heading2"/>
      </w:pPr>
      <w:r>
        <w:t>7. ICLR criteria assessment</w:t>
      </w:r>
    </w:p>
    <w:p>
      <w:r>
        <w:rPr>
          <w:b/>
        </w:rPr>
        <w:t>Novelty</w:t>
      </w:r>
      <w:r>
        <w:t xml:space="preserve"> The precise combination of a silent instruction-following collapse, localization to attention-sink down-projections, an analytical GPTQ compensation account, and a token-weighted repair appears original within the supplied manuscript. Novelty relative to the full external literature is not independently verified from this packet.</w:t>
      </w:r>
    </w:p>
    <w:p>
      <w:r>
        <w:rPr>
          <w:b/>
        </w:rPr>
        <w:t>Significance and community value</w:t>
      </w:r>
      <w:r>
        <w:t xml:space="preserve"> High if the central explanatory boundaries are repaired. The work has direct implications for quantization evaluation and offers a broadly useful warning that perplexity and multiple-choice benchmarks may not validate generative behavior.</w:t>
      </w:r>
    </w:p>
    <w:p>
      <w:r>
        <w:rPr>
          <w:b/>
        </w:rPr>
        <w:t>Technical soundness</w:t>
      </w:r>
      <w:r>
        <w:t xml:space="preserve"> The GPTQ update derivation is plausible and clearly documented, and the localization experiments are strong. Soundness is weakened by the current conflation of exact algebra, approximate loss geometry, proxy sensitivity, and empirical signatures. R3-M1 must be resolved for the mechanism to be stated at its present strength.</w:t>
      </w:r>
    </w:p>
    <w:p>
      <w:r>
        <w:rPr>
          <w:b/>
        </w:rPr>
        <w:t>Experimental rigor</w:t>
      </w:r>
      <w:r>
        <w:t xml:space="preserve"> Strong in breadth and intervention design, with welcome negative results and protocol controls. Replication and uncertainty are uneven. Large collapse effects are convincing, while small average repair effects and census extrema should be presented more cautiously.</w:t>
      </w:r>
    </w:p>
    <w:p>
      <w:r>
        <w:rPr>
          <w:b/>
        </w:rPr>
        <w:t>Reproducibility</w:t>
      </w:r>
      <w:r>
        <w:t xml:space="preserve"> Methods, evaluation settings, and many values are documented in unusual detail. Reproducibility cannot yet be fully assessed because the anonymous code, run index, checkpoints, and pre-registration log promised by the paper are absent from the packet and replaced by a visible TODO.</w:t>
      </w:r>
    </w:p>
    <w:p>
      <w:r>
        <w:rPr>
          <w:b/>
        </w:rPr>
        <w:t>Clarity</w:t>
      </w:r>
      <w:r>
        <w:t xml:space="preserve"> The prose is technically sophisticated but too compressed for the breadth of the story. Stable terminology, a claim ladder, and relocation of key figures would materially improve readability for nonspecialists and adjacent ICLR audiences.</w:t>
      </w:r>
    </w:p>
    <w:p>
      <w:r>
        <w:rPr>
          <w:b/>
        </w:rPr>
        <w:t>Ethics and responsible disclosure</w:t>
      </w:r>
      <w:r>
        <w:t xml:space="preserve"> The work raises a legitimate reliability risk associated with deploying quantized instruction-tuned models. The ethics and AI-use statements are appropriate for the supplied material. No human-subject or private-data issue is apparent.</w:t>
      </w:r>
    </w:p>
    <w:p>
      <w:pPr>
        <w:pStyle w:val="Heading2"/>
      </w:pPr>
      <w:r>
        <w:t>8. Recommendation posture</w:t>
      </w:r>
    </w:p>
    <w:p>
      <w:pPr>
        <w:pStyle w:val="ReviewerLabel"/>
      </w:pPr>
      <w:r>
        <w:rPr>
          <w:b/>
        </w:rPr>
        <w:t>Borderline</w:t>
      </w:r>
    </w:p>
    <w:p>
      <w:r>
        <w:t>The phenomenon, localization experiments, and repair are compelling enough to merit serious consideration. My main reservation is not the rarity of collapse, which the paper reports honestly. It is that the manuscript currently presents an exact input-curvature identity, an approximate loss-side argument, and partially successful empirical signatures as a single established mechanism. If R3-M1 is resolved and the model-specific causal vocabulary and reproducibility package are strengthened, I would be inclined to support acceptance.</w:t>
      </w:r>
    </w:p>
    <w:p>
      <w:pPr>
        <w:pStyle w:val="Heading2"/>
      </w:pPr>
      <w:r>
        <w:t>9. Confidence</w:t>
      </w:r>
    </w:p>
    <w:p>
      <w:pPr>
        <w:pStyle w:val="ReviewerLabel"/>
      </w:pPr>
      <w:r>
        <w:rPr>
          <w:b/>
        </w:rPr>
        <w:t>High</w:t>
      </w:r>
    </w:p>
    <w:p>
      <w:r>
        <w:t>I reviewed the complete 26-page PDF and the supplied LaTeX sources, including the numerical macros, proofs, protocols, negative results, and additional tables. Confidence is limited only by the absence of code, raw logs, datasets, checkpoints, and the promised run index, and by the instruction not to verify novelty against external literature.</w:t>
      </w:r>
    </w:p>
    <w:p>
      <w:pPr>
        <w:pStyle w:val="Heading2"/>
      </w:pPr>
      <w:r>
        <w:t>10. Technical failings that must be resolved before the central case is established</w:t>
      </w:r>
    </w:p>
    <w:p>
      <w:r>
        <w:t>R3-M1. The manuscript must separate the exact GPTQ update result from the approximate loss-side model and from the empirically partial signatures, then align the abstract, contribution statement, and conclusion with that evidence boundary.</w:t>
      </w:r>
    </w:p>
    <w:p>
      <w:pPr>
        <w:pStyle w:val="Heading1"/>
      </w:pPr>
      <w:r>
        <w:t>Cross Review Synthesis</w:t>
      </w:r>
    </w:p>
    <w:p>
      <w:pPr>
        <w:pStyle w:val="Heading2"/>
      </w:pPr>
      <w:r>
        <w:t>Editorial posture</w:t>
      </w:r>
    </w:p>
    <w:p>
      <w:r>
        <w:t xml:space="preserve">The three independent reports converge on a promising but not yet submission-ready paper. Reviewer 1 recommends </w:t>
      </w:r>
      <w:r>
        <w:rPr>
          <w:b/>
        </w:rPr>
        <w:t>lean reject</w:t>
      </w:r>
      <w:r>
        <w:t xml:space="preserve"> with high confidence. Reviewers 2 and 3 recommend </w:t>
      </w:r>
      <w:r>
        <w:rPr>
          <w:b/>
        </w:rPr>
        <w:t>borderline</w:t>
      </w:r>
      <w:r>
        <w:t>, with medium and high confidence respectively. The shared positive judgment is that the failure phenomenon, matched RTN comparison, matrix-level interventions, candid negative results, and simple repair are all potentially valuable to ICLR. The shared reservation is that the strongest headline claims currently exceed the evidence boundary.</w:t>
      </w:r>
    </w:p>
    <w:p>
      <w:r>
        <w:t xml:space="preserve">The appropriate author-facing posture is therefore </w:t>
      </w:r>
      <w:r>
        <w:rPr>
          <w:b/>
        </w:rPr>
        <w:t>borderline, leaning lean reject until the blocking items are resolved</w:t>
      </w:r>
      <w:r>
        <w:t>. This is not a judgment that the core phenomenon is uninteresting. The large IFEval drops appear credible. The problem is that the manuscript currently asks one narrative to carry five different levels of evidence: an exact GPTQ update identity, strong simplifying assumptions, a gradient-based sensitivity proxy, partially successful empirical signatures, and a broad practical warning about library defaults. Those levels need to be separated.</w:t>
      </w:r>
    </w:p>
    <w:p>
      <w:pPr>
        <w:pStyle w:val="Heading2"/>
      </w:pPr>
      <w:r>
        <w:t>Consensus strengths</w:t>
      </w:r>
    </w:p>
    <w:p>
      <w:pPr>
        <w:spacing w:after="40"/>
        <w:ind w:left="346" w:hanging="259"/>
      </w:pPr>
      <w:r>
        <w:t xml:space="preserve">1.  </w:t>
      </w:r>
      <w:r>
        <w:rPr>
          <w:b/>
        </w:rPr>
        <w:t>The phenomenon is important and decision-relevant.</w:t>
      </w:r>
      <w:r>
        <w:t xml:space="preserve"> All three reviewers consider the gap between free-generation behavior and conventional quantization checks a meaningful warning for efficient language-model deployment.</w:t>
      </w:r>
    </w:p>
    <w:p>
      <w:pPr>
        <w:spacing w:after="40"/>
        <w:ind w:left="346" w:hanging="259"/>
      </w:pPr>
      <w:r>
        <w:t xml:space="preserve">2.  </w:t>
      </w:r>
      <w:r>
        <w:rPr>
          <w:b/>
        </w:rPr>
        <w:t>The intervention suite is a major strength.</w:t>
      </w:r>
      <w:r>
        <w:t xml:space="preserve"> Re-rounding, matrix excision, transplants, activation patching, protocol changes, repair ablations, and matched RTN comparisons make the paper substantially stronger than a benchmark-only failure report.</w:t>
      </w:r>
    </w:p>
    <w:p>
      <w:pPr>
        <w:spacing w:after="40"/>
        <w:ind w:left="346" w:hanging="259"/>
      </w:pPr>
      <w:r>
        <w:t xml:space="preserve">3.  </w:t>
      </w:r>
      <w:r>
        <w:rPr>
          <w:b/>
        </w:rPr>
        <w:t>The input-side GPTQ analysis is useful.</w:t>
      </w:r>
      <w:r>
        <w:t xml:space="preserve"> The reviewers agree that the Sherman-Morrison decomposition is clear and informative as an identity for the quantization update. The concern is how far that identity is extended into claims about downstream loss.</w:t>
      </w:r>
    </w:p>
    <w:p>
      <w:pPr>
        <w:spacing w:after="40"/>
        <w:ind w:left="346" w:hanging="259"/>
      </w:pPr>
      <w:r>
        <w:t xml:space="preserve">4.  </w:t>
      </w:r>
      <w:r>
        <w:rPr>
          <w:b/>
        </w:rPr>
        <w:t>The paper is unusually candid.</w:t>
      </w:r>
      <w:r>
        <w:t xml:space="preserve"> The explicit discussion of rarity, failed predictions, unresolved Mistral behavior, and absorption limits increases trust and should be retained.</w:t>
      </w:r>
    </w:p>
    <w:p>
      <w:pPr>
        <w:spacing w:after="40"/>
        <w:ind w:left="346" w:hanging="259"/>
      </w:pPr>
      <w:r>
        <w:t xml:space="preserve">5.  </w:t>
      </w:r>
      <w:r>
        <w:rPr>
          <w:b/>
        </w:rPr>
        <w:t>The proposed repair is practical enough to matter.</w:t>
      </w:r>
      <w:r>
        <w:t xml:space="preserve"> Its simplicity and reported compute or memory costs make it a plausible contribution if its evidence boundary and robustness are made precise.</w:t>
      </w:r>
    </w:p>
    <w:p>
      <w:pPr>
        <w:pStyle w:val="Heading2"/>
      </w:pPr>
      <w:r>
        <w:t>Consensus concerns</w:t>
      </w:r>
    </w:p>
    <w:p>
      <w:pPr>
        <w:pStyle w:val="Heading3"/>
      </w:pPr>
      <w:r>
        <w:t>S1 Separate the exact theorem from the approximate loss mechanism</w:t>
      </w:r>
    </w:p>
    <w:p>
      <w:r>
        <w:rPr>
          <w:b/>
        </w:rPr>
        <w:t>Independent overlap</w:t>
      </w:r>
      <w:r>
        <w:t xml:space="preserve"> R1-M1, R1-M2, and R3-M1.</w:t>
      </w:r>
    </w:p>
    <w:p>
      <w:r>
        <w:t>The exact theorem decomposes GPTQ compensation using the full remainder matrix. The clean direction, row, readout, and amplitude story additionally relies on dominant-token and isotropic assumptions. The loss-side argument then replaces the downstream Hessian with a squared-gradient empirical-Fisher proxy and neglects cross-position blocks. The paper's own negative results show that the position-diagonal restriction fails materially on Llama and that some readout and direction predictions are only partial.</w:t>
      </w:r>
    </w:p>
    <w:p>
      <w:r>
        <w:rPr>
          <w:b/>
        </w:rPr>
        <w:t>Required resolution</w:t>
      </w:r>
      <w:r>
        <w:t xml:space="preserve"> Add a claim ladder in the main paper. Label each statement as exact, assumption-dependent, proxy-based, or empirical. Compare the full or Hessian-vector-product loss change with the diagonal approximation and the gradient proxy for lesion-scale perturbations. If the proxy is only a useful heuristic, say so. Rewrite the abstract, contribution paragraph, and conclusion so they no longer imply that the exact theorem alone proves the downstream loss mechanism or universally predicts direction and row structure.</w:t>
      </w:r>
    </w:p>
    <w:p>
      <w:pPr>
        <w:pStyle w:val="Heading3"/>
      </w:pPr>
      <w:r>
        <w:t>S2 Test the full default pipeline or narrow the default claim</w:t>
      </w:r>
    </w:p>
    <w:p>
      <w:r>
        <w:rPr>
          <w:b/>
        </w:rPr>
        <w:t>Independent overlap</w:t>
      </w:r>
      <w:r>
        <w:t xml:space="preserve"> R1-M5, R2-M2, and R3-m3.</w:t>
      </w:r>
    </w:p>
    <w:p>
      <w:r>
        <w:t>The main experiment uses a library-like short-document sampling shape, but not the complete named package default. The manuscript changes the number of rows, act-order setting, true-sequential behavior, and storage or fake-quantization path. The present evidence therefore establishes a failure in the tested hybrid configuration, not yet an end-to-end default-library failure.</w:t>
      </w:r>
    </w:p>
    <w:p>
      <w:r>
        <w:rPr>
          <w:b/>
        </w:rPr>
        <w:t>Required resolution</w:t>
      </w:r>
      <w:r>
        <w:t xml:space="preserve"> Run pinned versions of the named libraries using the actual documented defaults and deployment path. Report controlled ablations for sample count, </w:t>
      </w:r>
      <w:r>
        <w:rPr>
          <w:rFonts w:ascii="Courier New" w:hAnsi="Courier New"/>
          <w:sz w:val="17"/>
        </w:rPr>
        <w:t>desc_act</w:t>
      </w:r>
      <w:r>
        <w:t>, true-sequential processing, and fake versus deployed quantization. If the exact default does not reproduce the collapse, consistently replace “library default” with a precise description of the sampling geometry and quantizer choices.</w:t>
      </w:r>
    </w:p>
    <w:p>
      <w:pPr>
        <w:pStyle w:val="Heading3"/>
      </w:pPr>
      <w:r>
        <w:t>S3 Add replication and uncertainty before making safety or bound-like claims</w:t>
      </w:r>
    </w:p>
    <w:p>
      <w:r>
        <w:rPr>
          <w:b/>
        </w:rPr>
        <w:t>Independent overlap</w:t>
      </w:r>
      <w:r>
        <w:t xml:space="preserve"> R1-M4, R2-M3, and R3-M3.</w:t>
      </w:r>
    </w:p>
    <w:p>
      <w:r>
        <w:t xml:space="preserve">All reviewers distinguish the very large flagship collapses from the much weaker evidence supporting repair safety and census-wide generalization. Most of the 18-model census uses one calibration draw. The four-point threshold is not supported by a reported distribution. The mean </w:t>
      </w:r>
      <w:r>
        <w:rPr>
          <w:rFonts w:ascii="Courier New" w:hAnsi="Courier New"/>
          <w:sz w:val="17"/>
        </w:rPr>
        <w:t>+0.3</w:t>
      </w:r>
      <w:r>
        <w:t xml:space="preserve"> point result is smaller than that stated noise scale, and “never more than 4.6 points below RTN” is a sample extremum rather than a statistical bound.</w:t>
      </w:r>
    </w:p>
    <w:p>
      <w:r>
        <w:rPr>
          <w:b/>
        </w:rPr>
        <w:t>Required resolution</w:t>
      </w:r>
      <w:r>
        <w:t xml:space="preserve"> Use paired calibration draws for collapsing, non-collapsing sink, and no-sink models. Report model-wise means, dispersion, paired differences, prompt-level intervals for key IFEval comparisons, exact sample sizes, and a justified collapse threshold. Describe the current census as a fixed descriptive census unless a broader uncertainty analysis is added.</w:t>
      </w:r>
    </w:p>
    <w:p>
      <w:pPr>
        <w:pStyle w:val="Heading3"/>
      </w:pPr>
      <w:r>
        <w:t>S4 Supply the promised reproducibility package</w:t>
      </w:r>
    </w:p>
    <w:p>
      <w:r>
        <w:rPr>
          <w:b/>
        </w:rPr>
        <w:t>Independent overlap</w:t>
      </w:r>
      <w:r>
        <w:t xml:space="preserve"> R1-M6, R2-M5, and R3-M3.</w:t>
      </w:r>
    </w:p>
    <w:p>
      <w:r>
        <w:t xml:space="preserve">The PDF states that code, the run index, and the preregistration log are released, yet page 10 still contains </w:t>
      </w:r>
      <w:r>
        <w:rPr>
          <w:rFonts w:ascii="Courier New" w:hAnsi="Courier New"/>
          <w:sz w:val="17"/>
        </w:rPr>
        <w:t>[TODO: Anonymous repository link.]</w:t>
      </w:r>
      <w:r>
        <w:t>. No executable code, raw logs, checkpoints, run index, or preregistration record was supplied for review. This is consequential because the appendix documents a prior loop bug that changed important protocol and transplant conclusions.</w:t>
      </w:r>
    </w:p>
    <w:p>
      <w:r>
        <w:rPr>
          <w:b/>
        </w:rPr>
        <w:t>Required resolution</w:t>
      </w:r>
      <w:r>
        <w:t xml:space="preserve"> Before submission, provide an immutable anonymous repository with pinned dependencies, exact package commits, all configuration files and seeds, calibration sample identifiers, raw outputs, the full run index, time-stamped preregistration material, regression tests for cache and layer-call semantics, and scripts that regenerate every table and figure.</w:t>
      </w:r>
    </w:p>
    <w:p>
      <w:pPr>
        <w:pStyle w:val="Heading3"/>
      </w:pPr>
      <w:r>
        <w:t>S5 Reconcile repeated values mechanically</w:t>
      </w:r>
    </w:p>
    <w:p>
      <w:r>
        <w:rPr>
          <w:b/>
        </w:rPr>
        <w:t>Independent overlap</w:t>
      </w:r>
      <w:r>
        <w:t xml:space="preserve"> R1-m5, R2-m1, and R3-m2, with additional independent source and arithmetic verification in the consistency audit.</w:t>
      </w:r>
    </w:p>
    <w:p>
      <w:r>
        <w:t>The current draft contains repeated-value discrepancies that should be fixed from a single source of truth.</w:t>
      </w:r>
    </w:p>
    <w:p>
      <w:pPr>
        <w:pStyle w:val="ListBullet"/>
      </w:pPr>
      <w:r>
        <w:t xml:space="preserve">Qwen2.5-14B 4-bit GPTQ IFEval is </w:t>
      </w:r>
      <w:r>
        <w:rPr>
          <w:rFonts w:ascii="Courier New" w:hAnsi="Courier New"/>
          <w:sz w:val="17"/>
        </w:rPr>
        <w:t>0.809</w:t>
      </w:r>
      <w:r>
        <w:t xml:space="preserve"> in Table 4 and </w:t>
      </w:r>
      <w:r>
        <w:rPr>
          <w:rFonts w:ascii="Courier New" w:hAnsi="Courier New"/>
          <w:sz w:val="17"/>
        </w:rPr>
        <w:t>00_numbers.tex</w:t>
      </w:r>
      <w:r>
        <w:t xml:space="preserve">, but </w:t>
      </w:r>
      <w:r>
        <w:rPr>
          <w:rFonts w:ascii="Courier New" w:hAnsi="Courier New"/>
          <w:sz w:val="17"/>
        </w:rPr>
        <w:t>0.808</w:t>
      </w:r>
      <w:r>
        <w:t xml:space="preserve"> in Table 15.</w:t>
      </w:r>
    </w:p>
    <w:p>
      <w:pPr>
        <w:pStyle w:val="ListBullet"/>
      </w:pPr>
      <w:r>
        <w:t xml:space="preserve">The claimed worst corrected-minus-RTN gap is </w:t>
      </w:r>
      <w:r>
        <w:rPr>
          <w:rFonts w:ascii="Courier New" w:hAnsi="Courier New"/>
          <w:sz w:val="17"/>
        </w:rPr>
        <w:t>-4.6</w:t>
      </w:r>
      <w:r>
        <w:t xml:space="preserve"> points, while the displayed gemma-2-9b values </w:t>
      </w:r>
      <w:r>
        <w:rPr>
          <w:rFonts w:ascii="Courier New" w:hAnsi="Courier New"/>
          <w:sz w:val="17"/>
        </w:rPr>
        <w:t>0.664</w:t>
      </w:r>
      <w:r>
        <w:t xml:space="preserve"> and </w:t>
      </w:r>
      <w:r>
        <w:rPr>
          <w:rFonts w:ascii="Courier New" w:hAnsi="Courier New"/>
          <w:sz w:val="17"/>
        </w:rPr>
        <w:t>0.711</w:t>
      </w:r>
      <w:r>
        <w:t xml:space="preserve"> imply </w:t>
      </w:r>
      <w:r>
        <w:rPr>
          <w:rFonts w:ascii="Courier New" w:hAnsi="Courier New"/>
          <w:sz w:val="17"/>
        </w:rPr>
        <w:t>-4.7</w:t>
      </w:r>
      <w:r>
        <w:t xml:space="preserve"> points. Hidden precision might explain this, but the printed values do not.</w:t>
      </w:r>
    </w:p>
    <w:p>
      <w:pPr>
        <w:pStyle w:val="ListBullet"/>
      </w:pPr>
      <w:r>
        <w:t xml:space="preserve">Table 16 says every collapse is </w:t>
      </w:r>
      <w:r>
        <w:rPr>
          <w:rFonts w:ascii="Courier New" w:hAnsi="Courier New"/>
          <w:sz w:val="17"/>
        </w:rPr>
        <w:t>30-40</w:t>
      </w:r>
      <w:r>
        <w:t xml:space="preserve"> points. The displayed RTN baselines and collapse draws imply a broader range of roughly </w:t>
      </w:r>
      <w:r>
        <w:rPr>
          <w:rFonts w:ascii="Courier New" w:hAnsi="Courier New"/>
          <w:sz w:val="17"/>
        </w:rPr>
        <w:t>23-45</w:t>
      </w:r>
      <w:r>
        <w:t xml:space="preserve"> points, including Mistral gaps near </w:t>
      </w:r>
      <w:r>
        <w:rPr>
          <w:rFonts w:ascii="Courier New" w:hAnsi="Courier New"/>
          <w:sz w:val="17"/>
        </w:rPr>
        <w:t>23-25</w:t>
      </w:r>
      <w:r>
        <w:t xml:space="preserve"> points.</w:t>
      </w:r>
    </w:p>
    <w:p>
      <w:pPr>
        <w:pStyle w:val="ListBullet"/>
      </w:pPr>
      <w:r>
        <w:t xml:space="preserve">The abstract's average </w:t>
      </w:r>
      <w:r>
        <w:rPr>
          <w:rFonts w:ascii="Courier New" w:hAnsi="Courier New"/>
          <w:sz w:val="17"/>
        </w:rPr>
        <w:t>+0.3 points</w:t>
      </w:r>
      <w:r>
        <w:t xml:space="preserve"> does not name its comparator. It is the corrected objective versus GPTQ on the 16 non-collapsing models, not versus RTN.</w:t>
      </w:r>
    </w:p>
    <w:p>
      <w:pPr>
        <w:pStyle w:val="ListBullet"/>
      </w:pPr>
      <w:r>
        <w:rPr>
          <w:rFonts w:ascii="Courier New" w:hAnsi="Courier New"/>
          <w:sz w:val="17"/>
        </w:rPr>
        <w:t>00_numbers.tex</w:t>
      </w:r>
      <w:r>
        <w:t xml:space="preserve"> defines </w:t>
      </w:r>
      <w:r>
        <w:rPr>
          <w:rFonts w:ascii="Courier New" w:hAnsi="Courier New"/>
          <w:sz w:val="17"/>
        </w:rPr>
        <w:t>\LrtnBothDownIF</w:t>
      </w:r>
      <w:r>
        <w:t xml:space="preserve"> after a percent sign, which comments out the definition and should be corrected or removed.</w:t>
      </w:r>
    </w:p>
    <w:p>
      <w:r>
        <w:rPr>
          <w:b/>
        </w:rPr>
        <w:t>Required resolution</w:t>
      </w:r>
      <w:r>
        <w:t xml:space="preserve"> Regenerate abstract values, prose, tables, captions, and macros from one run index at one stated precision. Add an automated repeated-number check to the release pipeline.</w:t>
      </w:r>
    </w:p>
    <w:p>
      <w:pPr>
        <w:pStyle w:val="Heading3"/>
      </w:pPr>
      <w:r>
        <w:t>S6 Moderate absolute language</w:t>
      </w:r>
    </w:p>
    <w:p>
      <w:r>
        <w:rPr>
          <w:b/>
        </w:rPr>
        <w:t>Independent overlap</w:t>
      </w:r>
      <w:r>
        <w:t xml:space="preserve"> R1-m6 and R2-m2, with related title-scope concern R3-m1.</w:t>
      </w:r>
    </w:p>
    <w:p>
      <w:r>
        <w:t xml:space="preserve">IFEval values of </w:t>
      </w:r>
      <w:r>
        <w:rPr>
          <w:rFonts w:ascii="Courier New" w:hAnsi="Courier New"/>
          <w:sz w:val="17"/>
        </w:rPr>
        <w:t>0.155</w:t>
      </w:r>
      <w:r>
        <w:t xml:space="preserve"> and </w:t>
      </w:r>
      <w:r>
        <w:rPr>
          <w:rFonts w:ascii="Courier New" w:hAnsi="Courier New"/>
          <w:sz w:val="17"/>
        </w:rPr>
        <w:t>0.426</w:t>
      </w:r>
      <w:r>
        <w:t xml:space="preserve"> represent severe degradation, not literal “complete loss.” The title also states that layer-wise quantization breaks instruction following even though the paper emphasizes that the collapse is rare and protocol dependent.</w:t>
      </w:r>
    </w:p>
    <w:p>
      <w:r>
        <w:rPr>
          <w:b/>
        </w:rPr>
        <w:t>Required resolution</w:t>
      </w:r>
      <w:r>
        <w:t xml:space="preserve"> Use “severe” or “catastrophic degradation,” define an operational collapse threshold, and consider adding “can” to the title. Apply the same calibrated wording in the abstract and conclusion.</w:t>
      </w:r>
    </w:p>
    <w:p>
      <w:pPr>
        <w:pStyle w:val="Heading3"/>
      </w:pPr>
      <w:r>
        <w:t>S7 Stabilize the causal vocabulary around lesion and absorption</w:t>
      </w:r>
    </w:p>
    <w:p>
      <w:r>
        <w:rPr>
          <w:b/>
        </w:rPr>
        <w:t>Independent overlap</w:t>
      </w:r>
      <w:r>
        <w:t xml:space="preserve"> R2-M4 and R3-M2.</w:t>
      </w:r>
    </w:p>
    <w:p>
      <w:r>
        <w:t>The manuscript alternates among a structured matrix error, one primary matrix, a two-matrix pair, a minimal collapsing set, and a transplant donor when using the word “lesion.” The transplants establish context dependence, but do not by themselves show an adaptive absorption process. The relevant quantization order and whether the neighboring matrices were optimized on activations already carrying the lesion also need to be explicit.</w:t>
      </w:r>
    </w:p>
    <w:p>
      <w:r>
        <w:rPr>
          <w:b/>
        </w:rPr>
        <w:t>Required resolution</w:t>
      </w:r>
      <w:r>
        <w:t xml:space="preserve"> Use separate names for the structured error component, primary sink-forming matrix, protocol-induced secondary matrix, minimal collapsing set, and compatible background. Add a model-by-model causal table for Llama, Qwen, and Mistral. Use “context dependence” or “cancellation” unless ordered interventions directly establish absorption.</w:t>
      </w:r>
    </w:p>
    <w:p>
      <w:pPr>
        <w:pStyle w:val="Heading2"/>
      </w:pPr>
      <w:r>
        <w:t>Important concerns raised by one reviewer</w:t>
      </w:r>
    </w:p>
    <w:p>
      <w:r>
        <w:t>These points did not receive independent overlap from two reviewers, so they are not labeled consensus. They are nevertheless technically important and should be resolved.</w:t>
      </w:r>
    </w:p>
    <w:p>
      <w:pPr>
        <w:pStyle w:val="Heading3"/>
      </w:pPr>
      <w:r>
        <w:t>Calibration token budget and BOS frequency</w:t>
      </w:r>
    </w:p>
    <w:p>
      <w:r>
        <w:t>R1-M3 identifies a direct contradiction in the protocol comparison. The short-document arm uses 128 documents with mean length 420, approximately 53,760 tokens. The window arm uses 128 windows of 2,048 tokens, or 262,144 tokens. The latter is about 4.88 times larger, although the Introduction says that the token budget is the same. The number and frequency of BOS tokens also change, which is central to the proposed mechanism.</w:t>
      </w:r>
    </w:p>
    <w:p>
      <w:r>
        <w:t>The manuscript should correct the statement and run factorial controls that isolate segmentation, total non-padding token count, number of document starts, sample count, and corpus.</w:t>
      </w:r>
    </w:p>
    <w:p>
      <w:pPr>
        <w:pStyle w:val="Heading3"/>
      </w:pPr>
      <w:r>
        <w:t>Novelty boundary around token-aware objectives</w:t>
      </w:r>
    </w:p>
    <w:p>
      <w:r>
        <w:t>R2-M1 finds that the closest token-saliency, end-loss-guided, output-curvature, calibration-normalization, and chat-formatted calibration methods are discussed too briefly. A method-by-method comparison and same-protocol baselines are needed to establish whether the repair itself is novel or whether the primary novelty is the sink-specific diagnosis and derivation.</w:t>
      </w:r>
    </w:p>
    <w:p>
      <w:pPr>
        <w:pStyle w:val="Heading3"/>
      </w:pPr>
      <w:r>
        <w:t>Main-text evidence and visual accessibility</w:t>
      </w:r>
    </w:p>
    <w:p>
      <w:r>
        <w:t>R3-M4 finds that Figures 3 and 4 contain central mechanistic evidence but are deferred to pages 19 and 26. The nine-page main narrative is dense, while important figure labels are small and hyperlinks have prominent colored boxes. Move or redesign a compact mechanism figure into the main paper, enlarge labels, improve float use, and check grayscale and color-vision accessibility.</w:t>
      </w:r>
    </w:p>
    <w:p>
      <w:pPr>
        <w:pStyle w:val="Heading3"/>
      </w:pPr>
      <w:r>
        <w:t>Theorem and terminology precision</w:t>
      </w:r>
    </w:p>
    <w:p>
      <w:r>
        <w:t xml:space="preserve">R1-m2 notes that Proposition 2 allows positive semidefinite </w:t>
      </w:r>
      <w:r>
        <w:rPr>
          <w:rFonts w:ascii="Courier New" w:hAnsi="Courier New"/>
          <w:sz w:val="17"/>
        </w:rPr>
        <w:t>G</w:t>
      </w:r>
      <w:r>
        <w:t xml:space="preserve">, for which a compensation minimizer need not be unique. R3-m5 notes that the proposition has parts (a) and (b) while its proof includes part (c). R3-m4 also identifies a threshold conflict: a Llama matrix with </w:t>
      </w:r>
      <w:r>
        <w:rPr>
          <w:rFonts w:ascii="Courier New" w:hAnsi="Courier New"/>
          <w:sz w:val="17"/>
        </w:rPr>
        <w:t>A_BOS = 0.266</w:t>
      </w:r>
      <w:r>
        <w:t xml:space="preserve"> is called a sink even though the formal mismatch condition uses </w:t>
      </w:r>
      <w:r>
        <w:rPr>
          <w:rFonts w:ascii="Courier New" w:hAnsi="Courier New"/>
          <w:sz w:val="17"/>
        </w:rPr>
        <w:t>A_BOS &gt;= 0.50</w:t>
      </w:r>
      <w:r>
        <w:t>.</w:t>
      </w:r>
    </w:p>
    <w:p>
      <w:r>
        <w:t xml:space="preserve">State existence rather than uniqueness for singular </w:t>
      </w:r>
      <w:r>
        <w:rPr>
          <w:rFonts w:ascii="Courier New" w:hAnsi="Courier New"/>
          <w:sz w:val="17"/>
        </w:rPr>
        <w:t>G</w:t>
      </w:r>
      <w:r>
        <w:t>, or assume positive definiteness. Align the proposition and proof structure, and define “sink,” “sink-dominated,” and “weaker copy” with one consistent threshold vocabulary.</w:t>
      </w:r>
    </w:p>
    <w:p>
      <w:pPr>
        <w:pStyle w:val="Heading2"/>
      </w:pPr>
      <w:r>
        <w:t>Reviewer differences</w:t>
      </w:r>
    </w:p>
    <w:p>
      <w:r>
        <w:t>Reviewer 1 is the most skeptical because the full curvature bridge, protocol control, statistical analysis, and missing artifacts are all treated as blockers. Reviewer 2 accepts the local algebra more readily and focuses on exact default configuration, novelty relative to close methods, replication, and causal moderation of absorption. Reviewer 3 focuses on the way exact, approximate, proxy-based, and empirical levels are compressed into one explanation, as well as unstable causal terminology and placement of key figures.</w:t>
      </w:r>
    </w:p>
    <w:p>
      <w:r>
        <w:t>These are differences in emphasis rather than incompatible judgments. All three reviewers view the phenomenon as potentially valuable. No reviewer recommends acceptance in the current form.</w:t>
      </w:r>
    </w:p>
    <w:p>
      <w:pPr>
        <w:pStyle w:val="Heading2"/>
      </w:pPr>
      <w:r>
        <w:t>Submission priority plan</w:t>
      </w:r>
    </w:p>
    <w:p>
      <w:pPr>
        <w:pStyle w:val="Heading3"/>
      </w:pPr>
      <w:r>
        <w:t>Priority 0 before submission</w:t>
      </w:r>
    </w:p>
    <w:p>
      <w:pPr>
        <w:spacing w:after="40"/>
        <w:ind w:left="346" w:hanging="259"/>
      </w:pPr>
      <w:r>
        <w:t xml:space="preserve">1.  </w:t>
      </w:r>
      <w:r>
        <w:t>Run the actual pinned default-library pipelines or rewrite every default-related claim to match the tested hybrid configuration.</w:t>
      </w:r>
    </w:p>
    <w:p>
      <w:pPr>
        <w:spacing w:after="40"/>
        <w:ind w:left="346" w:hanging="259"/>
      </w:pPr>
      <w:r>
        <w:t xml:space="preserve">2.  </w:t>
      </w:r>
      <w:r>
        <w:t>Correct the “same token budget” statement and isolate segmentation, token count, and BOS frequency with matched controls.</w:t>
      </w:r>
    </w:p>
    <w:p>
      <w:pPr>
        <w:spacing w:after="40"/>
        <w:ind w:left="346" w:hanging="259"/>
      </w:pPr>
      <w:r>
        <w:t xml:space="preserve">3.  </w:t>
      </w:r>
      <w:r>
        <w:t>Add the mechanism claim ladder and either validate the loss-side curvature bridge or narrow it to a gradient-weighted surrogate.</w:t>
      </w:r>
    </w:p>
    <w:p>
      <w:pPr>
        <w:spacing w:after="40"/>
        <w:ind w:left="346" w:hanging="259"/>
      </w:pPr>
      <w:r>
        <w:t xml:space="preserve">4.  </w:t>
      </w:r>
      <w:r>
        <w:t>Add multi-draw and prompt-level uncertainty for the flagship failures, key interventions, and representative repair arms.</w:t>
      </w:r>
    </w:p>
    <w:p>
      <w:pPr>
        <w:spacing w:after="40"/>
        <w:ind w:left="346" w:hanging="259"/>
      </w:pPr>
      <w:r>
        <w:t xml:space="preserve">5.  </w:t>
      </w:r>
      <w:r>
        <w:t>Release the anonymous repository, run index, preregistration record, exact configurations, raw outputs, and regression tests.</w:t>
      </w:r>
    </w:p>
    <w:p>
      <w:pPr>
        <w:spacing w:after="40"/>
        <w:ind w:left="346" w:hanging="259"/>
      </w:pPr>
      <w:r>
        <w:t xml:space="preserve">6.  </w:t>
      </w:r>
      <w:r>
        <w:t>Reconcile all repeated values and repair the visible repository TODO.</w:t>
      </w:r>
    </w:p>
    <w:p>
      <w:pPr>
        <w:pStyle w:val="Heading3"/>
      </w:pPr>
      <w:r>
        <w:t>Priority 1 strongly recommended</w:t>
      </w:r>
    </w:p>
    <w:p>
      <w:pPr>
        <w:spacing w:after="40"/>
        <w:ind w:left="346" w:hanging="259"/>
      </w:pPr>
      <w:r>
        <w:t xml:space="preserve">1.  </w:t>
      </w:r>
      <w:r>
        <w:t>Compare the repair with the closest token-aware and loss-aware methods under the same protocol.</w:t>
      </w:r>
    </w:p>
    <w:p>
      <w:pPr>
        <w:spacing w:after="40"/>
        <w:ind w:left="346" w:hanging="259"/>
      </w:pPr>
      <w:r>
        <w:t xml:space="preserve">2.  </w:t>
      </w:r>
      <w:r>
        <w:t>Standardize lesion, minimal set, background, and absorption terminology and add a compact model-by-model causal table.</w:t>
      </w:r>
    </w:p>
    <w:p>
      <w:pPr>
        <w:spacing w:after="40"/>
        <w:ind w:left="346" w:hanging="259"/>
      </w:pPr>
      <w:r>
        <w:t xml:space="preserve">3.  </w:t>
      </w:r>
      <w:r>
        <w:t>Moderate “complete loss,” “bound,” “predicts direction,” “restores missing curvature,” and categorical “metrics miss” language.</w:t>
      </w:r>
    </w:p>
    <w:p>
      <w:pPr>
        <w:spacing w:after="40"/>
        <w:ind w:left="346" w:hanging="259"/>
      </w:pPr>
      <w:r>
        <w:t xml:space="preserve">4.  </w:t>
      </w:r>
      <w:r>
        <w:t xml:space="preserve">Report the four IFEval components for headline arms and label the aggregate consistently as </w:t>
      </w:r>
      <w:r>
        <w:rPr>
          <w:rFonts w:ascii="Courier New" w:hAnsi="Courier New"/>
          <w:sz w:val="17"/>
        </w:rPr>
        <w:t>IFEval avg4</w:t>
      </w:r>
      <w:r>
        <w:t xml:space="preserve"> if that is the intended metric.</w:t>
      </w:r>
    </w:p>
    <w:p>
      <w:pPr>
        <w:pStyle w:val="Heading3"/>
      </w:pPr>
      <w:r>
        <w:t>Priority 2 presentation polish</w:t>
      </w:r>
    </w:p>
    <w:p>
      <w:pPr>
        <w:spacing w:after="40"/>
        <w:ind w:left="346" w:hanging="259"/>
      </w:pPr>
      <w:r>
        <w:t xml:space="preserve">1.  </w:t>
      </w:r>
      <w:r>
        <w:t>Move the essential evidence from Figures 3 and 4 into the main paper.</w:t>
      </w:r>
    </w:p>
    <w:p>
      <w:pPr>
        <w:spacing w:after="40"/>
        <w:ind w:left="346" w:hanging="259"/>
      </w:pPr>
      <w:r>
        <w:t xml:space="preserve">2.  </w:t>
      </w:r>
      <w:r>
        <w:t>Reduce dense numerical enumeration in prose when the values already appear in tables.</w:t>
      </w:r>
    </w:p>
    <w:p>
      <w:pPr>
        <w:spacing w:after="40"/>
        <w:ind w:left="346" w:hanging="259"/>
      </w:pPr>
      <w:r>
        <w:t xml:space="preserve">3.  </w:t>
      </w:r>
      <w:r>
        <w:t>Enlarge figure labels, improve Figure 4 page use, simplify link styling, and verify grayscale accessibility.</w:t>
      </w:r>
    </w:p>
    <w:p>
      <w:pPr>
        <w:spacing w:after="40"/>
        <w:ind w:left="346" w:hanging="259"/>
      </w:pPr>
      <w:r>
        <w:t xml:space="preserve">4.  </w:t>
      </w:r>
      <w:r>
        <w:t>Add “can” or another qualifier to the title if the collapse remains rare and protocol dependent.</w:t>
      </w:r>
    </w:p>
    <w:p>
      <w:pPr>
        <w:pStyle w:val="Heading2"/>
      </w:pPr>
      <w:r>
        <w:t>Suggested revised central claim</w:t>
      </w:r>
    </w:p>
    <w:p>
      <w:r>
        <w:t>The manuscript's current evidence supports a narrower and still valuable claim:</w:t>
      </w:r>
    </w:p>
    <w:p>
      <w:r>
        <w:t>&gt; Under specific short-document calibration configurations, 3-bit GPTQ can severely degrade instruction following in some instruction-tuned models even when common likelihood or multiple-choice checks appear acceptable. The failures are associated with structured error at early sink-forming MLP down-projections. An exact decomposition shows how a dominant input token can amplify GPTQ compensation, while token weights based on downstream gradient sensitivity provide a practical surrogate repair that removes the observed collapses in the reported census. The loss-side interpretation and robustness across calibration draws remain empirical rather than proven.</w:t>
      </w:r>
    </w:p>
    <w:p>
      <w:r>
        <w:t>This wording keeps the discovery, localization, exact input-side result, and practical repair without treating the proxy as a proven downstream Hessian or the tested configuration as a complete library default.</w:t>
      </w:r>
    </w:p>
    <w:p>
      <w:pPr>
        <w:pStyle w:val="Heading1"/>
        <w:pageBreakBefore/>
      </w:pPr>
      <w:r>
        <w:t>Risk and Unsupported Claims</w:t>
      </w:r>
    </w:p>
    <w:p>
      <w:pPr>
        <w:pStyle w:val="Heading2"/>
      </w:pPr>
      <w:r>
        <w:t>High-risk claims in the current draft</w:t>
      </w:r>
    </w:p>
    <w:p>
      <w:pPr>
        <w:spacing w:after="40"/>
        <w:ind w:left="346" w:hanging="259"/>
      </w:pPr>
      <w:r>
        <w:t xml:space="preserve">1.  </w:t>
      </w:r>
      <w:r>
        <w:rPr>
          <w:b/>
        </w:rPr>
        <w:t>“Widely used library default”</w:t>
      </w:r>
      <w:r>
        <w:t xml:space="preserve"> is not established for the complete end-to-end default path. The current evidence supports a default-like sampling protocol combined with custom quantizer choices.</w:t>
      </w:r>
    </w:p>
    <w:p>
      <w:pPr>
        <w:spacing w:after="40"/>
        <w:ind w:left="346" w:hanging="259"/>
      </w:pPr>
      <w:r>
        <w:t xml:space="preserve">2.  </w:t>
      </w:r>
      <w:r>
        <w:rPr>
          <w:b/>
        </w:rPr>
        <w:t>“The loss ignores the sink token”</w:t>
      </w:r>
      <w:r>
        <w:t xml:space="preserve"> is stronger than the reported gradient proxy and activation interventions. Direct curvature or loss-perturbation evidence is needed.</w:t>
      </w:r>
    </w:p>
    <w:p>
      <w:pPr>
        <w:spacing w:after="40"/>
        <w:ind w:left="346" w:hanging="259"/>
      </w:pPr>
      <w:r>
        <w:t xml:space="preserve">3.  </w:t>
      </w:r>
      <w:r>
        <w:rPr>
          <w:b/>
        </w:rPr>
        <w:t>“The exact analysis predicts matrix, row, direction, and amplitude”</w:t>
      </w:r>
      <w:r>
        <w:t xml:space="preserve"> conflates the general identity with isotropic assumptions and empirical success rates. Direction and readout results are partial.</w:t>
      </w:r>
    </w:p>
    <w:p>
      <w:pPr>
        <w:spacing w:after="40"/>
        <w:ind w:left="346" w:hanging="259"/>
      </w:pPr>
      <w:r>
        <w:t xml:space="preserve">4.  </w:t>
      </w:r>
      <w:r>
        <w:rPr>
          <w:b/>
        </w:rPr>
        <w:t>“Restores the missing curvature”</w:t>
      </w:r>
      <w:r>
        <w:t xml:space="preserve"> is not justified when the method uses a scalar empirical-Fisher proxy and important cross-position terms are omitted.</w:t>
      </w:r>
    </w:p>
    <w:p>
      <w:pPr>
        <w:spacing w:after="40"/>
        <w:ind w:left="346" w:hanging="259"/>
      </w:pPr>
      <w:r>
        <w:t xml:space="preserve">5.  </w:t>
      </w:r>
      <w:r>
        <w:rPr>
          <w:b/>
        </w:rPr>
        <w:t>“Removes every collapse” and “never worse than 4.6 points”</w:t>
      </w:r>
      <w:r>
        <w:t xml:space="preserve"> are descriptive statements about the tested draws, not statistical guarantees or uncertainty bounds.</w:t>
      </w:r>
    </w:p>
    <w:p>
      <w:pPr>
        <w:spacing w:after="40"/>
        <w:ind w:left="346" w:hanging="259"/>
      </w:pPr>
      <w:r>
        <w:t xml:space="preserve">6.  </w:t>
      </w:r>
      <w:r>
        <w:rPr>
          <w:b/>
        </w:rPr>
        <w:t>“Neighboring matrices absorb the lesion”</w:t>
      </w:r>
      <w:r>
        <w:t xml:space="preserve"> is a causal process claim not yet isolated by the transplantation evidence. The evidence clearly supports context dependence.</w:t>
      </w:r>
    </w:p>
    <w:p>
      <w:pPr>
        <w:spacing w:after="40"/>
        <w:ind w:left="346" w:hanging="259"/>
      </w:pPr>
      <w:r>
        <w:t xml:space="preserve">7.  </w:t>
      </w:r>
      <w:r>
        <w:rPr>
          <w:b/>
        </w:rPr>
        <w:t>“All code and logs are released”</w:t>
      </w:r>
      <w:r>
        <w:t xml:space="preserve"> is contradicted by the visible repository TODO and absent artifacts.</w:t>
      </w:r>
    </w:p>
    <w:p>
      <w:pPr>
        <w:spacing w:after="40"/>
        <w:ind w:left="346" w:hanging="259"/>
      </w:pPr>
      <w:r>
        <w:t xml:space="preserve">8.  </w:t>
      </w:r>
      <w:r>
        <w:rPr>
          <w:b/>
        </w:rPr>
        <w:t>“Complete loss of instruction following”</w:t>
      </w:r>
      <w:r>
        <w:t xml:space="preserve"> overstates nonzero reported performance.</w:t>
      </w:r>
    </w:p>
    <w:p>
      <w:pPr>
        <w:pStyle w:val="Heading2"/>
      </w:pPr>
      <w:r>
        <w:t>Evidence and audit limitations</w:t>
      </w:r>
    </w:p>
    <w:p>
      <w:pPr>
        <w:pStyle w:val="ListBullet"/>
      </w:pPr>
      <w:r>
        <w:t>No executable implementation, raw logs, datasets, checkpoints, run index, calibration sample list, preregistration record, or standalone figure sources were available.</w:t>
      </w:r>
    </w:p>
    <w:p>
      <w:pPr>
        <w:pStyle w:val="ListBullet"/>
      </w:pPr>
      <w:r>
        <w:t>Novelty was evaluated from the paper's own related-work discussion and was not independently verified against the full external literature.</w:t>
      </w:r>
    </w:p>
    <w:p>
      <w:pPr>
        <w:pStyle w:val="ListBullet"/>
      </w:pPr>
      <w:r>
        <w:t>The PDF was the visual authority. The supplied LaTeX sources were used for exact wording, equations, macros, and line-level anchors, but some table and figure source files referenced by the main file were not among the uploaded files.</w:t>
      </w:r>
    </w:p>
    <w:p>
      <w:pPr>
        <w:pStyle w:val="ListBullet"/>
      </w:pPr>
      <w:r>
        <w:t>The large flagship drops can be checked arithmetically from displayed values, but many mechanistic and run-level claims cannot be independently reproduced from the supplied materials.</w:t>
      </w:r>
    </w:p>
    <w:p>
      <w:pPr>
        <w:pStyle w:val="Heading2"/>
      </w:pPr>
      <w:r>
        <w:t>Final readiness judgment</w:t>
      </w:r>
    </w:p>
    <w:p>
      <w:r>
        <w:t>Do not submit the current draft unchanged. The paper has a strong core and could become competitive, but the default-configuration claim, mechanism boundary, protocol control, uncertainty analysis, released artifact, and repeated-number ledger should be repaired first. If all Priority 0 items are resolved cleanly, the work could plausibly move from borderline or lean reject toward lean accept.</w:t>
      </w:r>
    </w:p>
    <w:sectPr w:rsidR="00FC693F" w:rsidRPr="0006063C" w:rsidSect="00034616">
      <w:headerReference w:type="default" r:id="rId9"/>
      <w:footerReference w:type="default" r:id="rId10"/>
      <w:pgSz w:w="12240" w:h="15840"/>
      <w:pgMar w:top="1094" w:right="1181" w:bottom="1037"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86169"/>
        <w:sz w:val="16"/>
      </w:rPr>
      <w:t xml:space="preserve">Page </w:t>
    </w:r>
    <w:r>
      <w:rPr>
        <w:rFonts w:ascii="Arial" w:hAnsi="Arial"/>
        <w:color w:val="586169"/>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86169"/>
        <w:sz w:val="16"/>
      </w:rPr>
      <w:t>ICLR 2027 pre-submission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Arial" w:hAnsi="Arial"/>
      <w:color w:val="181A1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81A1B"/>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81A1B"/>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81A1B"/>
      <w:sz w:val="23"/>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ascii="Arial" w:hAnsi="Arial"/>
      <w:b/>
      <w:bCs/>
      <w:i/>
      <w:iCs/>
      <w:color w:val="181A1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rial" w:hAnsi="Arial"/>
      <w:b/>
      <w:color w:val="181A1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val="0"/>
      <w:iCs/>
      <w:color w:val="5861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6" w:hanging="259"/>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46" w:hanging="259"/>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erLabel">
    <w:name w:val="Reviewer Label"/>
    <w:basedOn w:val="Normal"/>
    <w:pPr>
      <w:keepNext/>
      <w:spacing w:before="80" w:after="20"/>
    </w:pPr>
    <w:rPr>
      <w:rFonts w:ascii="Arial" w:hAnsi="Arial"/>
      <w:b/>
      <w:color w:val="181A1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clr.cc/Conferences/2027/Reviewer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ICLR 2027 Pre Submission Review</dc:title>
  <dc:subject>One Token Owns the Calibration Hessian Why Layer-wise Quantization Silently Breaks Instruction Following</dc:subject>
  <dc:creator>Pre-submission review</dc:creator>
  <cp:keywords>ICLR 2027, peer review, quantization, consistency audit</cp:keywords>
  <dc:description>Three frozen independent reviewer reports followed by a post-review synthesis.</dc:description>
  <cp:lastModifiedBy/>
  <cp:revision>1</cp:revision>
  <dcterms:created xsi:type="dcterms:W3CDTF">2013-12-23T23:15:00Z</dcterms:created>
  <dcterms:modified xsi:type="dcterms:W3CDTF">2013-12-23T23:15:00Z</dcterms:modified>
  <cp:category/>
</cp:coreProperties>
</file>