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E94" w:rsidRPr="00983E94" w:rsidRDefault="00983E94" w:rsidP="00983E94">
      <w:pPr>
        <w:widowControl/>
        <w:shd w:val="clear" w:color="auto" w:fill="CCE8CF"/>
        <w:jc w:val="left"/>
        <w:rPr>
          <w:rFonts w:ascii="Segoe UI" w:eastAsia="宋体" w:hAnsi="Segoe UI" w:cs="Segoe UI"/>
          <w:b/>
          <w:bCs/>
          <w:color w:val="333333"/>
          <w:kern w:val="0"/>
          <w:sz w:val="48"/>
          <w:szCs w:val="48"/>
        </w:rPr>
      </w:pPr>
      <w:r w:rsidRPr="00983E94">
        <w:rPr>
          <w:rFonts w:ascii="Segoe UI" w:eastAsia="宋体" w:hAnsi="Segoe UI" w:cs="Segoe UI"/>
          <w:b/>
          <w:bCs/>
          <w:color w:val="333333"/>
          <w:kern w:val="0"/>
          <w:sz w:val="48"/>
          <w:szCs w:val="48"/>
        </w:rPr>
        <w:t>【量化课堂】机器学习多因子策略</w:t>
      </w:r>
    </w:p>
    <w:p w:rsidR="00983E94" w:rsidRPr="00983E94" w:rsidRDefault="00983E94" w:rsidP="00983E94">
      <w:pPr>
        <w:widowControl/>
        <w:shd w:val="clear" w:color="auto" w:fill="CCE8CF"/>
        <w:wordWrap w:val="0"/>
        <w:spacing w:before="150" w:after="75"/>
        <w:jc w:val="left"/>
        <w:outlineLvl w:val="2"/>
        <w:rPr>
          <w:rFonts w:ascii="Segoe UI" w:eastAsia="宋体" w:hAnsi="Segoe UI" w:cs="Segoe UI"/>
          <w:b/>
          <w:bCs/>
          <w:color w:val="333333"/>
          <w:kern w:val="0"/>
          <w:sz w:val="29"/>
          <w:szCs w:val="29"/>
        </w:rPr>
      </w:pPr>
      <w:r w:rsidRPr="00983E94">
        <w:rPr>
          <w:rFonts w:ascii="Segoe UI" w:eastAsia="宋体" w:hAnsi="Segoe UI" w:cs="Segoe UI"/>
          <w:b/>
          <w:bCs/>
          <w:color w:val="333333"/>
          <w:kern w:val="0"/>
          <w:sz w:val="29"/>
          <w:szCs w:val="29"/>
        </w:rPr>
        <w:t>前言</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在二级市场的量化策略中，多因子策略称得上是最早被创造但同时也是变化最多的投资策略之一，好的因子意味着长期稳定的收入，因此能够发现一个好的因子是每位宽客的一致愿望。多因子策略理解起来并不复杂，实现起来却可以通过多种不同的渠道，从而带来不同的表现，本文基于经济学家在</w:t>
      </w:r>
      <w:r w:rsidRPr="00983E94">
        <w:rPr>
          <w:rFonts w:ascii="Segoe UI" w:eastAsia="宋体" w:hAnsi="Segoe UI" w:cs="Segoe UI"/>
          <w:color w:val="333333"/>
          <w:kern w:val="0"/>
          <w:sz w:val="24"/>
          <w:szCs w:val="24"/>
        </w:rPr>
        <w:t>2005</w:t>
      </w:r>
      <w:r w:rsidRPr="00983E94">
        <w:rPr>
          <w:rFonts w:ascii="Segoe UI" w:eastAsia="宋体" w:hAnsi="Segoe UI" w:cs="Segoe UI"/>
          <w:color w:val="333333"/>
          <w:kern w:val="0"/>
          <w:sz w:val="24"/>
          <w:szCs w:val="24"/>
        </w:rPr>
        <w:t>和</w:t>
      </w:r>
      <w:r w:rsidRPr="00983E94">
        <w:rPr>
          <w:rFonts w:ascii="Segoe UI" w:eastAsia="宋体" w:hAnsi="Segoe UI" w:cs="Segoe UI"/>
          <w:color w:val="333333"/>
          <w:kern w:val="0"/>
          <w:sz w:val="24"/>
          <w:szCs w:val="24"/>
        </w:rPr>
        <w:t>2012</w:t>
      </w:r>
      <w:r w:rsidRPr="00983E94">
        <w:rPr>
          <w:rFonts w:ascii="Segoe UI" w:eastAsia="宋体" w:hAnsi="Segoe UI" w:cs="Segoe UI"/>
          <w:color w:val="333333"/>
          <w:kern w:val="0"/>
          <w:sz w:val="24"/>
          <w:szCs w:val="24"/>
        </w:rPr>
        <w:t>发表的两篇论文，探究市值因子在我国二级市场中的表现。</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与传统多元线性回归不同，本文采用了支持向量回归（</w:t>
      </w:r>
      <w:r w:rsidRPr="00983E94">
        <w:rPr>
          <w:rFonts w:ascii="Segoe UI" w:eastAsia="宋体" w:hAnsi="Segoe UI" w:cs="Segoe UI"/>
          <w:color w:val="333333"/>
          <w:kern w:val="0"/>
          <w:sz w:val="24"/>
          <w:szCs w:val="24"/>
        </w:rPr>
        <w:t>Support Vector Regression</w:t>
      </w:r>
      <w:r w:rsidRPr="00983E94">
        <w:rPr>
          <w:rFonts w:ascii="Segoe UI" w:eastAsia="宋体" w:hAnsi="Segoe UI" w:cs="Segoe UI"/>
          <w:color w:val="333333"/>
          <w:kern w:val="0"/>
          <w:sz w:val="24"/>
          <w:szCs w:val="24"/>
        </w:rPr>
        <w:t>）和随机森林回归（</w:t>
      </w:r>
      <w:r w:rsidRPr="00983E94">
        <w:rPr>
          <w:rFonts w:ascii="Segoe UI" w:eastAsia="宋体" w:hAnsi="Segoe UI" w:cs="Segoe UI"/>
          <w:color w:val="333333"/>
          <w:kern w:val="0"/>
          <w:sz w:val="24"/>
          <w:szCs w:val="24"/>
        </w:rPr>
        <w:t>Random Forest Regression</w:t>
      </w:r>
      <w:r w:rsidRPr="00983E94">
        <w:rPr>
          <w:rFonts w:ascii="Segoe UI" w:eastAsia="宋体" w:hAnsi="Segoe UI" w:cs="Segoe UI"/>
          <w:color w:val="333333"/>
          <w:kern w:val="0"/>
          <w:sz w:val="24"/>
          <w:szCs w:val="24"/>
        </w:rPr>
        <w:t>）两种机器学习算法得到因子，实证表明，</w:t>
      </w:r>
      <w:r w:rsidRPr="00983E94">
        <w:rPr>
          <w:rFonts w:ascii="Segoe UI" w:eastAsia="宋体" w:hAnsi="Segoe UI" w:cs="Segoe UI"/>
          <w:color w:val="333333"/>
          <w:kern w:val="0"/>
          <w:sz w:val="24"/>
          <w:szCs w:val="24"/>
        </w:rPr>
        <w:t>SVR</w:t>
      </w:r>
      <w:r w:rsidRPr="00983E94">
        <w:rPr>
          <w:rFonts w:ascii="Segoe UI" w:eastAsia="宋体" w:hAnsi="Segoe UI" w:cs="Segoe UI"/>
          <w:color w:val="333333"/>
          <w:kern w:val="0"/>
          <w:sz w:val="24"/>
          <w:szCs w:val="24"/>
        </w:rPr>
        <w:t>算法下得到的因子带来的收益率显著优于传统多元线性回归，而随机森林算法下得到的因子带来的收益率虽略低于多元线性回归，但在经历回撤时拥有更加稳定的表现。</w:t>
      </w:r>
    </w:p>
    <w:p w:rsidR="00983E94" w:rsidRPr="00983E94" w:rsidRDefault="00983E94" w:rsidP="00983E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983E94">
        <w:rPr>
          <w:rFonts w:ascii="Courier New" w:eastAsia="宋体" w:hAnsi="Courier New" w:cs="Courier New"/>
          <w:color w:val="333333"/>
          <w:kern w:val="0"/>
          <w:sz w:val="24"/>
          <w:szCs w:val="24"/>
        </w:rPr>
        <w:t>本文由</w:t>
      </w:r>
      <w:r w:rsidRPr="00983E94">
        <w:rPr>
          <w:rFonts w:ascii="Courier New" w:eastAsia="宋体" w:hAnsi="Courier New" w:cs="Courier New"/>
          <w:color w:val="333333"/>
          <w:kern w:val="0"/>
          <w:sz w:val="24"/>
          <w:szCs w:val="24"/>
        </w:rPr>
        <w:t xml:space="preserve"> JoinQuant </w:t>
      </w:r>
      <w:r w:rsidRPr="00983E94">
        <w:rPr>
          <w:rFonts w:ascii="Courier New" w:eastAsia="宋体" w:hAnsi="Courier New" w:cs="Courier New"/>
          <w:color w:val="333333"/>
          <w:kern w:val="0"/>
          <w:sz w:val="24"/>
          <w:szCs w:val="24"/>
        </w:rPr>
        <w:t>量化课堂推出</w:t>
      </w:r>
      <w:r w:rsidRPr="00983E94">
        <w:rPr>
          <w:rFonts w:ascii="Courier New" w:eastAsia="宋体" w:hAnsi="Courier New" w:cs="Courier New"/>
          <w:color w:val="333333"/>
          <w:kern w:val="0"/>
          <w:sz w:val="24"/>
          <w:szCs w:val="24"/>
        </w:rPr>
        <w:t xml:space="preserve"> </w:t>
      </w:r>
      <w:r w:rsidRPr="00983E94">
        <w:rPr>
          <w:rFonts w:ascii="Courier New" w:eastAsia="宋体" w:hAnsi="Courier New" w:cs="Courier New"/>
          <w:color w:val="333333"/>
          <w:kern w:val="0"/>
          <w:sz w:val="24"/>
          <w:szCs w:val="24"/>
        </w:rPr>
        <w:t>。难度标签为进阶，理解深度标签：</w:t>
      </w:r>
      <w:r w:rsidRPr="00983E94">
        <w:rPr>
          <w:rFonts w:ascii="Courier New" w:eastAsia="宋体" w:hAnsi="Courier New" w:cs="Courier New"/>
          <w:color w:val="333333"/>
          <w:kern w:val="0"/>
          <w:sz w:val="24"/>
          <w:szCs w:val="24"/>
        </w:rPr>
        <w:t>level-1</w:t>
      </w:r>
    </w:p>
    <w:p w:rsidR="00983E94" w:rsidRPr="00983E94" w:rsidRDefault="00983E94" w:rsidP="00983E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983E94" w:rsidRPr="00983E94" w:rsidRDefault="00983E94" w:rsidP="00983E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983E94">
        <w:rPr>
          <w:rFonts w:ascii="Courier New" w:eastAsia="宋体" w:hAnsi="Courier New" w:cs="Courier New"/>
          <w:color w:val="333333"/>
          <w:kern w:val="0"/>
          <w:sz w:val="24"/>
          <w:szCs w:val="24"/>
        </w:rPr>
        <w:t>作者：</w:t>
      </w:r>
      <w:r w:rsidRPr="00983E94">
        <w:rPr>
          <w:rFonts w:ascii="Courier New" w:eastAsia="宋体" w:hAnsi="Courier New" w:cs="Courier New"/>
          <w:color w:val="333333"/>
          <w:kern w:val="0"/>
          <w:sz w:val="24"/>
          <w:szCs w:val="24"/>
        </w:rPr>
        <w:t xml:space="preserve"> xfy</w:t>
      </w:r>
    </w:p>
    <w:p w:rsidR="00983E94" w:rsidRPr="00983E94" w:rsidRDefault="00983E94" w:rsidP="00983E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983E94">
        <w:rPr>
          <w:rFonts w:ascii="Courier New" w:eastAsia="宋体" w:hAnsi="Courier New" w:cs="Courier New"/>
          <w:color w:val="333333"/>
          <w:kern w:val="0"/>
          <w:sz w:val="24"/>
          <w:szCs w:val="24"/>
        </w:rPr>
        <w:t>编辑：</w:t>
      </w:r>
      <w:r w:rsidRPr="00983E94">
        <w:rPr>
          <w:rFonts w:ascii="Courier New" w:eastAsia="宋体" w:hAnsi="Courier New" w:cs="Courier New"/>
          <w:color w:val="333333"/>
          <w:kern w:val="0"/>
          <w:sz w:val="24"/>
          <w:szCs w:val="24"/>
        </w:rPr>
        <w:t xml:space="preserve"> </w:t>
      </w:r>
      <w:r w:rsidRPr="00983E94">
        <w:rPr>
          <w:rFonts w:ascii="Courier New" w:eastAsia="宋体" w:hAnsi="Courier New" w:cs="Courier New"/>
          <w:color w:val="333333"/>
          <w:kern w:val="0"/>
          <w:sz w:val="24"/>
          <w:szCs w:val="24"/>
        </w:rPr>
        <w:t>肖睿</w:t>
      </w:r>
    </w:p>
    <w:p w:rsidR="00983E94" w:rsidRPr="00983E94" w:rsidRDefault="00983E94" w:rsidP="00983E94">
      <w:pPr>
        <w:widowControl/>
        <w:shd w:val="clear" w:color="auto" w:fill="CCE8CF"/>
        <w:wordWrap w:val="0"/>
        <w:spacing w:before="150" w:after="75"/>
        <w:jc w:val="left"/>
        <w:outlineLvl w:val="2"/>
        <w:rPr>
          <w:rFonts w:ascii="Segoe UI" w:eastAsia="宋体" w:hAnsi="Segoe UI" w:cs="Segoe UI"/>
          <w:b/>
          <w:bCs/>
          <w:color w:val="333333"/>
          <w:kern w:val="0"/>
          <w:sz w:val="29"/>
          <w:szCs w:val="29"/>
        </w:rPr>
      </w:pPr>
      <w:r w:rsidRPr="00983E94">
        <w:rPr>
          <w:rFonts w:ascii="Segoe UI" w:eastAsia="宋体" w:hAnsi="Segoe UI" w:cs="Segoe UI"/>
          <w:b/>
          <w:bCs/>
          <w:color w:val="333333"/>
          <w:kern w:val="0"/>
          <w:sz w:val="29"/>
          <w:szCs w:val="29"/>
        </w:rPr>
        <w:t>多因子策略简介</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所谓因子，通俗来讲就是一个</w:t>
      </w:r>
      <w:r w:rsidRPr="00983E94">
        <w:rPr>
          <w:rFonts w:ascii="Segoe UI" w:eastAsia="宋体" w:hAnsi="Segoe UI" w:cs="Segoe UI"/>
          <w:color w:val="333333"/>
          <w:kern w:val="0"/>
          <w:sz w:val="24"/>
          <w:szCs w:val="24"/>
        </w:rPr>
        <w:t>“</w:t>
      </w:r>
      <w:r w:rsidRPr="00983E94">
        <w:rPr>
          <w:rFonts w:ascii="Segoe UI" w:eastAsia="宋体" w:hAnsi="Segoe UI" w:cs="Segoe UI"/>
          <w:color w:val="333333"/>
          <w:kern w:val="0"/>
          <w:sz w:val="24"/>
          <w:szCs w:val="24"/>
        </w:rPr>
        <w:t>标准</w:t>
      </w:r>
      <w:r w:rsidRPr="00983E94">
        <w:rPr>
          <w:rFonts w:ascii="Segoe UI" w:eastAsia="宋体" w:hAnsi="Segoe UI" w:cs="Segoe UI"/>
          <w:color w:val="333333"/>
          <w:kern w:val="0"/>
          <w:sz w:val="24"/>
          <w:szCs w:val="24"/>
        </w:rPr>
        <w:t>”</w:t>
      </w:r>
      <w:r w:rsidRPr="00983E94">
        <w:rPr>
          <w:rFonts w:ascii="Segoe UI" w:eastAsia="宋体" w:hAnsi="Segoe UI" w:cs="Segoe UI"/>
          <w:color w:val="333333"/>
          <w:kern w:val="0"/>
          <w:sz w:val="24"/>
          <w:szCs w:val="24"/>
        </w:rPr>
        <w:t>，这个</w:t>
      </w:r>
      <w:r w:rsidRPr="00983E94">
        <w:rPr>
          <w:rFonts w:ascii="Segoe UI" w:eastAsia="宋体" w:hAnsi="Segoe UI" w:cs="Segoe UI"/>
          <w:color w:val="333333"/>
          <w:kern w:val="0"/>
          <w:sz w:val="24"/>
          <w:szCs w:val="24"/>
        </w:rPr>
        <w:t>“</w:t>
      </w:r>
      <w:r w:rsidRPr="00983E94">
        <w:rPr>
          <w:rFonts w:ascii="Segoe UI" w:eastAsia="宋体" w:hAnsi="Segoe UI" w:cs="Segoe UI"/>
          <w:color w:val="333333"/>
          <w:kern w:val="0"/>
          <w:sz w:val="24"/>
          <w:szCs w:val="24"/>
        </w:rPr>
        <w:t>标准</w:t>
      </w:r>
      <w:r w:rsidRPr="00983E94">
        <w:rPr>
          <w:rFonts w:ascii="Segoe UI" w:eastAsia="宋体" w:hAnsi="Segoe UI" w:cs="Segoe UI"/>
          <w:color w:val="333333"/>
          <w:kern w:val="0"/>
          <w:sz w:val="24"/>
          <w:szCs w:val="24"/>
        </w:rPr>
        <w:t>”</w:t>
      </w:r>
      <w:r w:rsidRPr="00983E94">
        <w:rPr>
          <w:rFonts w:ascii="Segoe UI" w:eastAsia="宋体" w:hAnsi="Segoe UI" w:cs="Segoe UI"/>
          <w:color w:val="333333"/>
          <w:kern w:val="0"/>
          <w:sz w:val="24"/>
          <w:szCs w:val="24"/>
        </w:rPr>
        <w:t>决定我们选择哪些股票，决定我们什么时候买入卖出，决定我们交易的份额。而多因子，顾名思义就是根据多个</w:t>
      </w:r>
      <w:r w:rsidRPr="00983E94">
        <w:rPr>
          <w:rFonts w:ascii="Segoe UI" w:eastAsia="宋体" w:hAnsi="Segoe UI" w:cs="Segoe UI"/>
          <w:color w:val="333333"/>
          <w:kern w:val="0"/>
          <w:sz w:val="24"/>
          <w:szCs w:val="24"/>
        </w:rPr>
        <w:t>“</w:t>
      </w:r>
      <w:r w:rsidRPr="00983E94">
        <w:rPr>
          <w:rFonts w:ascii="Segoe UI" w:eastAsia="宋体" w:hAnsi="Segoe UI" w:cs="Segoe UI"/>
          <w:color w:val="333333"/>
          <w:kern w:val="0"/>
          <w:sz w:val="24"/>
          <w:szCs w:val="24"/>
        </w:rPr>
        <w:t>标准</w:t>
      </w:r>
      <w:r w:rsidRPr="00983E94">
        <w:rPr>
          <w:rFonts w:ascii="Segoe UI" w:eastAsia="宋体" w:hAnsi="Segoe UI" w:cs="Segoe UI"/>
          <w:color w:val="333333"/>
          <w:kern w:val="0"/>
          <w:sz w:val="24"/>
          <w:szCs w:val="24"/>
        </w:rPr>
        <w:t>”</w:t>
      </w:r>
      <w:r w:rsidRPr="00983E94">
        <w:rPr>
          <w:rFonts w:ascii="Segoe UI" w:eastAsia="宋体" w:hAnsi="Segoe UI" w:cs="Segoe UI"/>
          <w:color w:val="333333"/>
          <w:kern w:val="0"/>
          <w:sz w:val="24"/>
          <w:szCs w:val="24"/>
        </w:rPr>
        <w:t>确定我们的投资策略，最为经典的多因子模型之一当属</w:t>
      </w:r>
      <w:r w:rsidRPr="00983E94">
        <w:rPr>
          <w:rFonts w:ascii="Segoe UI" w:eastAsia="宋体" w:hAnsi="Segoe UI" w:cs="Segoe UI"/>
          <w:color w:val="333333"/>
          <w:kern w:val="0"/>
          <w:sz w:val="24"/>
          <w:szCs w:val="24"/>
        </w:rPr>
        <w:t>Fama</w:t>
      </w:r>
      <w:r w:rsidRPr="00983E94">
        <w:rPr>
          <w:rFonts w:ascii="Segoe UI" w:eastAsia="宋体" w:hAnsi="Segoe UI" w:cs="Segoe UI"/>
          <w:color w:val="333333"/>
          <w:kern w:val="0"/>
          <w:sz w:val="24"/>
          <w:szCs w:val="24"/>
        </w:rPr>
        <w:t>和</w:t>
      </w:r>
      <w:r w:rsidRPr="00983E94">
        <w:rPr>
          <w:rFonts w:ascii="Segoe UI" w:eastAsia="宋体" w:hAnsi="Segoe UI" w:cs="Segoe UI"/>
          <w:color w:val="333333"/>
          <w:kern w:val="0"/>
          <w:sz w:val="24"/>
          <w:szCs w:val="24"/>
        </w:rPr>
        <w:t>French</w:t>
      </w:r>
      <w:r w:rsidRPr="00983E94">
        <w:rPr>
          <w:rFonts w:ascii="Segoe UI" w:eastAsia="宋体" w:hAnsi="Segoe UI" w:cs="Segoe UI"/>
          <w:color w:val="333333"/>
          <w:kern w:val="0"/>
          <w:sz w:val="24"/>
          <w:szCs w:val="24"/>
        </w:rPr>
        <w:t>提出的三因子模型，而其基本思路为，我们假定股票的超额收益率可以由市场风险，市值风险，账面市值比三个因素决定，因此我们将股票一个时期内的超额收益率对这三个因素进行回归，再将回归得到的参数对本时期内的超额收益率进行预测，比较真实值和预测值。如果预测值大于真实值，也就是说理论上的超额收益率应该大于当前的超额收益率，那么根据有效市场假说，未来的超额收益率应该上升，反之亦然。</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lastRenderedPageBreak/>
        <w:t>除了最简单的三因子模型外，</w:t>
      </w:r>
      <w:r w:rsidRPr="00983E94">
        <w:rPr>
          <w:rFonts w:ascii="Segoe UI" w:eastAsia="宋体" w:hAnsi="Segoe UI" w:cs="Segoe UI"/>
          <w:color w:val="333333"/>
          <w:kern w:val="0"/>
          <w:sz w:val="24"/>
          <w:szCs w:val="24"/>
        </w:rPr>
        <w:t>Fama</w:t>
      </w:r>
      <w:r w:rsidRPr="00983E94">
        <w:rPr>
          <w:rFonts w:ascii="Segoe UI" w:eastAsia="宋体" w:hAnsi="Segoe UI" w:cs="Segoe UI"/>
          <w:color w:val="333333"/>
          <w:kern w:val="0"/>
          <w:sz w:val="24"/>
          <w:szCs w:val="24"/>
        </w:rPr>
        <w:t>和</w:t>
      </w:r>
      <w:r w:rsidRPr="00983E94">
        <w:rPr>
          <w:rFonts w:ascii="Segoe UI" w:eastAsia="宋体" w:hAnsi="Segoe UI" w:cs="Segoe UI"/>
          <w:color w:val="333333"/>
          <w:kern w:val="0"/>
          <w:sz w:val="24"/>
          <w:szCs w:val="24"/>
        </w:rPr>
        <w:t>French</w:t>
      </w:r>
      <w:r w:rsidRPr="00983E94">
        <w:rPr>
          <w:rFonts w:ascii="Segoe UI" w:eastAsia="宋体" w:hAnsi="Segoe UI" w:cs="Segoe UI"/>
          <w:color w:val="333333"/>
          <w:kern w:val="0"/>
          <w:sz w:val="24"/>
          <w:szCs w:val="24"/>
        </w:rPr>
        <w:t>还在</w:t>
      </w:r>
      <w:r w:rsidRPr="00983E94">
        <w:rPr>
          <w:rFonts w:ascii="Segoe UI" w:eastAsia="宋体" w:hAnsi="Segoe UI" w:cs="Segoe UI"/>
          <w:color w:val="333333"/>
          <w:kern w:val="0"/>
          <w:sz w:val="24"/>
          <w:szCs w:val="24"/>
        </w:rPr>
        <w:t>2013</w:t>
      </w:r>
      <w:r w:rsidRPr="00983E94">
        <w:rPr>
          <w:rFonts w:ascii="Segoe UI" w:eastAsia="宋体" w:hAnsi="Segoe UI" w:cs="Segoe UI"/>
          <w:color w:val="333333"/>
          <w:kern w:val="0"/>
          <w:sz w:val="24"/>
          <w:szCs w:val="24"/>
        </w:rPr>
        <w:t>年提出了五因子模型，对个股的超额收益率进行了更加细致的解读。关于多因子策略，更加详细介绍可以参考聚宽量化课堂的以下几篇文章：</w:t>
      </w:r>
    </w:p>
    <w:p w:rsidR="00983E94" w:rsidRPr="00983E94" w:rsidRDefault="00983E94" w:rsidP="00983E94">
      <w:pPr>
        <w:widowControl/>
        <w:shd w:val="clear" w:color="auto" w:fill="CCE8CF"/>
        <w:wordWrap w:val="0"/>
        <w:jc w:val="left"/>
        <w:rPr>
          <w:rFonts w:ascii="Segoe UI" w:eastAsia="宋体" w:hAnsi="Segoe UI" w:cs="Segoe UI"/>
          <w:color w:val="333333"/>
          <w:kern w:val="0"/>
          <w:sz w:val="24"/>
          <w:szCs w:val="24"/>
        </w:rPr>
      </w:pPr>
      <w:hyperlink r:id="rId4" w:history="1">
        <w:r w:rsidRPr="00983E94">
          <w:rPr>
            <w:rFonts w:ascii="Segoe UI" w:eastAsia="宋体" w:hAnsi="Segoe UI" w:cs="Segoe UI"/>
            <w:color w:val="256DA8"/>
            <w:kern w:val="0"/>
            <w:sz w:val="24"/>
            <w:szCs w:val="24"/>
          </w:rPr>
          <w:t>《多因子策略入门》</w:t>
        </w:r>
      </w:hyperlink>
      <w:r w:rsidRPr="00983E94">
        <w:rPr>
          <w:rFonts w:ascii="Segoe UI" w:eastAsia="宋体" w:hAnsi="Segoe UI" w:cs="Segoe UI"/>
          <w:color w:val="333333"/>
          <w:kern w:val="0"/>
          <w:sz w:val="24"/>
          <w:szCs w:val="24"/>
        </w:rPr>
        <w:br/>
      </w:r>
      <w:hyperlink r:id="rId5" w:history="1">
        <w:r w:rsidRPr="00983E94">
          <w:rPr>
            <w:rFonts w:ascii="Segoe UI" w:eastAsia="宋体" w:hAnsi="Segoe UI" w:cs="Segoe UI"/>
            <w:color w:val="256DA8"/>
            <w:kern w:val="0"/>
            <w:sz w:val="24"/>
            <w:szCs w:val="24"/>
          </w:rPr>
          <w:t>《</w:t>
        </w:r>
        <w:r w:rsidRPr="00983E94">
          <w:rPr>
            <w:rFonts w:ascii="Segoe UI" w:eastAsia="宋体" w:hAnsi="Segoe UI" w:cs="Segoe UI"/>
            <w:color w:val="256DA8"/>
            <w:kern w:val="0"/>
            <w:sz w:val="24"/>
            <w:szCs w:val="24"/>
          </w:rPr>
          <w:t>Fama-French</w:t>
        </w:r>
        <w:r w:rsidRPr="00983E94">
          <w:rPr>
            <w:rFonts w:ascii="Segoe UI" w:eastAsia="宋体" w:hAnsi="Segoe UI" w:cs="Segoe UI"/>
            <w:color w:val="256DA8"/>
            <w:kern w:val="0"/>
            <w:sz w:val="24"/>
            <w:szCs w:val="24"/>
          </w:rPr>
          <w:t>三因子火锅》</w:t>
        </w:r>
      </w:hyperlink>
      <w:r w:rsidRPr="00983E94">
        <w:rPr>
          <w:rFonts w:ascii="Segoe UI" w:eastAsia="宋体" w:hAnsi="Segoe UI" w:cs="Segoe UI"/>
          <w:color w:val="333333"/>
          <w:kern w:val="0"/>
          <w:sz w:val="24"/>
          <w:szCs w:val="24"/>
        </w:rPr>
        <w:br/>
      </w:r>
      <w:hyperlink r:id="rId6" w:history="1">
        <w:r w:rsidRPr="00983E94">
          <w:rPr>
            <w:rFonts w:ascii="Segoe UI" w:eastAsia="宋体" w:hAnsi="Segoe UI" w:cs="Segoe UI"/>
            <w:color w:val="256DA8"/>
            <w:kern w:val="0"/>
            <w:sz w:val="24"/>
            <w:szCs w:val="24"/>
          </w:rPr>
          <w:t>《</w:t>
        </w:r>
        <w:r w:rsidRPr="00983E94">
          <w:rPr>
            <w:rFonts w:ascii="Segoe UI" w:eastAsia="宋体" w:hAnsi="Segoe UI" w:cs="Segoe UI"/>
            <w:color w:val="256DA8"/>
            <w:kern w:val="0"/>
            <w:sz w:val="24"/>
            <w:szCs w:val="24"/>
          </w:rPr>
          <w:t>Fama-French</w:t>
        </w:r>
        <w:r w:rsidRPr="00983E94">
          <w:rPr>
            <w:rFonts w:ascii="Segoe UI" w:eastAsia="宋体" w:hAnsi="Segoe UI" w:cs="Segoe UI"/>
            <w:color w:val="256DA8"/>
            <w:kern w:val="0"/>
            <w:sz w:val="24"/>
            <w:szCs w:val="24"/>
          </w:rPr>
          <w:t>五因子模型》</w:t>
        </w:r>
      </w:hyperlink>
    </w:p>
    <w:p w:rsidR="00983E94" w:rsidRPr="00983E94" w:rsidRDefault="00983E94" w:rsidP="00983E94">
      <w:pPr>
        <w:widowControl/>
        <w:shd w:val="clear" w:color="auto" w:fill="CCE8CF"/>
        <w:wordWrap w:val="0"/>
        <w:spacing w:before="150" w:after="75"/>
        <w:jc w:val="left"/>
        <w:outlineLvl w:val="2"/>
        <w:rPr>
          <w:rFonts w:ascii="Segoe UI" w:eastAsia="宋体" w:hAnsi="Segoe UI" w:cs="Segoe UI"/>
          <w:b/>
          <w:bCs/>
          <w:color w:val="333333"/>
          <w:kern w:val="0"/>
          <w:sz w:val="29"/>
          <w:szCs w:val="29"/>
        </w:rPr>
      </w:pPr>
      <w:r w:rsidRPr="00983E94">
        <w:rPr>
          <w:rFonts w:ascii="Segoe UI" w:eastAsia="宋体" w:hAnsi="Segoe UI" w:cs="Segoe UI"/>
          <w:b/>
          <w:bCs/>
          <w:color w:val="333333"/>
          <w:kern w:val="0"/>
          <w:sz w:val="29"/>
          <w:szCs w:val="29"/>
        </w:rPr>
        <w:t>市值解释因子简介</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2005</w:t>
      </w:r>
      <w:r w:rsidRPr="00983E94">
        <w:rPr>
          <w:rFonts w:ascii="Segoe UI" w:eastAsia="宋体" w:hAnsi="Segoe UI" w:cs="Segoe UI"/>
          <w:color w:val="333333"/>
          <w:kern w:val="0"/>
          <w:sz w:val="24"/>
          <w:szCs w:val="24"/>
        </w:rPr>
        <w:t>年，在哈佛大学</w:t>
      </w:r>
      <w:r w:rsidRPr="00983E94">
        <w:rPr>
          <w:rFonts w:ascii="Segoe UI" w:eastAsia="宋体" w:hAnsi="Segoe UI" w:cs="Segoe UI"/>
          <w:color w:val="333333"/>
          <w:kern w:val="0"/>
          <w:sz w:val="24"/>
          <w:szCs w:val="24"/>
        </w:rPr>
        <w:t>Matthew Rhodes-Kropf</w:t>
      </w:r>
      <w:r w:rsidRPr="00983E94">
        <w:rPr>
          <w:rFonts w:ascii="Segoe UI" w:eastAsia="宋体" w:hAnsi="Segoe UI" w:cs="Segoe UI"/>
          <w:color w:val="333333"/>
          <w:kern w:val="0"/>
          <w:sz w:val="24"/>
          <w:szCs w:val="24"/>
        </w:rPr>
        <w:t>教授以及杜克大学</w:t>
      </w:r>
      <w:r w:rsidRPr="00983E94">
        <w:rPr>
          <w:rFonts w:ascii="Segoe UI" w:eastAsia="宋体" w:hAnsi="Segoe UI" w:cs="Segoe UI"/>
          <w:color w:val="333333"/>
          <w:kern w:val="0"/>
          <w:sz w:val="24"/>
          <w:szCs w:val="24"/>
        </w:rPr>
        <w:t>S. Viwanathan</w:t>
      </w:r>
      <w:r w:rsidRPr="00983E94">
        <w:rPr>
          <w:rFonts w:ascii="Segoe UI" w:eastAsia="宋体" w:hAnsi="Segoe UI" w:cs="Segoe UI"/>
          <w:color w:val="333333"/>
          <w:kern w:val="0"/>
          <w:sz w:val="24"/>
          <w:szCs w:val="24"/>
        </w:rPr>
        <w:t>和</w:t>
      </w:r>
      <w:r w:rsidRPr="00983E94">
        <w:rPr>
          <w:rFonts w:ascii="Segoe UI" w:eastAsia="宋体" w:hAnsi="Segoe UI" w:cs="Segoe UI"/>
          <w:color w:val="333333"/>
          <w:kern w:val="0"/>
          <w:sz w:val="24"/>
          <w:szCs w:val="24"/>
        </w:rPr>
        <w:t>David T. Robinson</w:t>
      </w:r>
      <w:r w:rsidRPr="00983E94">
        <w:rPr>
          <w:rFonts w:ascii="Segoe UI" w:eastAsia="宋体" w:hAnsi="Segoe UI" w:cs="Segoe UI"/>
          <w:color w:val="333333"/>
          <w:kern w:val="0"/>
          <w:sz w:val="24"/>
          <w:szCs w:val="24"/>
        </w:rPr>
        <w:t>教授合著的论文《</w:t>
      </w:r>
      <w:r w:rsidRPr="00983E94">
        <w:rPr>
          <w:rFonts w:ascii="Segoe UI" w:eastAsia="宋体" w:hAnsi="Segoe UI" w:cs="Segoe UI"/>
          <w:color w:val="333333"/>
          <w:kern w:val="0"/>
          <w:sz w:val="24"/>
          <w:szCs w:val="24"/>
        </w:rPr>
        <w:t>Valuation Waves and Merger Activity: The Empirical Evidence</w:t>
      </w:r>
      <w:r w:rsidRPr="00983E94">
        <w:rPr>
          <w:rFonts w:ascii="Segoe UI" w:eastAsia="宋体" w:hAnsi="Segoe UI" w:cs="Segoe UI"/>
          <w:color w:val="333333"/>
          <w:kern w:val="0"/>
          <w:sz w:val="24"/>
          <w:szCs w:val="24"/>
        </w:rPr>
        <w:t>》中，股票市值被分解为如下的三因子模型：</w:t>
      </w:r>
    </w:p>
    <w:p w:rsidR="00983E94" w:rsidRPr="00983E94" w:rsidRDefault="00983E94" w:rsidP="00983E94">
      <w:pPr>
        <w:widowControl/>
        <w:shd w:val="clear" w:color="auto" w:fill="CCE8CF"/>
        <w:wordWrap w:val="0"/>
        <w:jc w:val="center"/>
        <w:rPr>
          <w:rFonts w:ascii="宋体" w:eastAsia="宋体" w:hAnsi="宋体" w:cs="宋体"/>
          <w:kern w:val="0"/>
          <w:sz w:val="24"/>
          <w:szCs w:val="24"/>
          <w:bdr w:val="none" w:sz="0" w:space="0" w:color="auto" w:frame="1"/>
        </w:rPr>
      </w:pPr>
      <w:r w:rsidRPr="00983E94">
        <w:rPr>
          <w:rFonts w:ascii="MathJax_Math-italic" w:eastAsia="宋体" w:hAnsi="MathJax_Math-italic" w:cs="Segoe UI"/>
          <w:color w:val="333333"/>
          <w:kern w:val="0"/>
          <w:sz w:val="28"/>
          <w:szCs w:val="28"/>
          <w:bdr w:val="none" w:sz="0" w:space="0" w:color="auto" w:frame="1"/>
        </w:rPr>
        <w:t>m</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0</w:t>
      </w:r>
      <w:r w:rsidRPr="00983E94">
        <w:rPr>
          <w:rFonts w:ascii="MathJax_Main" w:eastAsia="宋体" w:hAnsi="MathJax_Main" w:cs="Segoe UI"/>
          <w:color w:val="333333"/>
          <w:kern w:val="0"/>
          <w:sz w:val="28"/>
          <w:szCs w:val="28"/>
          <w:bdr w:val="none" w:sz="0" w:space="0" w:color="auto" w:frame="1"/>
        </w:rPr>
        <w:t>IND+</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1</w:t>
      </w:r>
      <w:r w:rsidRPr="00983E94">
        <w:rPr>
          <w:rFonts w:ascii="MathJax_Math-italic" w:eastAsia="宋体" w:hAnsi="MathJax_Math-italic" w:cs="Segoe UI"/>
          <w:color w:val="333333"/>
          <w:kern w:val="0"/>
          <w:sz w:val="28"/>
          <w:szCs w:val="28"/>
          <w:bdr w:val="none" w:sz="0" w:space="0" w:color="auto" w:frame="1"/>
        </w:rPr>
        <w:t>b</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2</w:t>
      </w:r>
      <w:r w:rsidRPr="00983E94">
        <w:rPr>
          <w:rFonts w:ascii="MathJax_Main" w:eastAsia="宋体" w:hAnsi="MathJax_Main" w:cs="Segoe UI"/>
          <w:color w:val="333333"/>
          <w:kern w:val="0"/>
          <w:sz w:val="28"/>
          <w:szCs w:val="28"/>
          <w:bdr w:val="none" w:sz="0" w:space="0" w:color="auto" w:frame="1"/>
        </w:rPr>
        <w:t>ln(NI)</w:t>
      </w:r>
      <w:r w:rsidRPr="00983E94">
        <w:rPr>
          <w:rFonts w:ascii="MathJax_Main" w:eastAsia="宋体" w:hAnsi="MathJax_Main" w:cs="Segoe UI"/>
          <w:color w:val="333333"/>
          <w:kern w:val="0"/>
          <w:sz w:val="20"/>
          <w:szCs w:val="20"/>
          <w:bdr w:val="none" w:sz="0" w:space="0" w:color="auto" w:frame="1"/>
        </w:rPr>
        <w:t>+</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3</w:t>
      </w:r>
      <w:r w:rsidRPr="00983E94">
        <w:rPr>
          <w:rFonts w:ascii="MathJax_Main" w:eastAsia="宋体" w:hAnsi="MathJax_Main" w:cs="Segoe UI"/>
          <w:color w:val="333333"/>
          <w:kern w:val="0"/>
          <w:sz w:val="28"/>
          <w:szCs w:val="28"/>
          <w:bdr w:val="none" w:sz="0" w:space="0" w:color="auto" w:frame="1"/>
        </w:rPr>
        <w:t>I</w:t>
      </w:r>
      <w:r w:rsidRPr="00983E94">
        <w:rPr>
          <w:rFonts w:ascii="MathJax_Main" w:eastAsia="宋体" w:hAnsi="MathJax_Main" w:cs="Segoe UI"/>
          <w:color w:val="333333"/>
          <w:kern w:val="0"/>
          <w:sz w:val="20"/>
          <w:szCs w:val="20"/>
          <w:bdr w:val="none" w:sz="0" w:space="0" w:color="auto" w:frame="1"/>
        </w:rPr>
        <w:t>(&lt;0)</w:t>
      </w:r>
      <w:r w:rsidRPr="00983E94">
        <w:rPr>
          <w:rFonts w:ascii="MathJax_Main" w:eastAsia="宋体" w:hAnsi="MathJax_Main" w:cs="Segoe UI"/>
          <w:color w:val="333333"/>
          <w:kern w:val="0"/>
          <w:sz w:val="28"/>
          <w:szCs w:val="28"/>
          <w:bdr w:val="none" w:sz="0" w:space="0" w:color="auto" w:frame="1"/>
        </w:rPr>
        <w:t>ln(NI)</w:t>
      </w:r>
      <w:r w:rsidRPr="00983E94">
        <w:rPr>
          <w:rFonts w:ascii="MathJax_Main" w:eastAsia="宋体" w:hAnsi="MathJax_Main" w:cs="Segoe UI"/>
          <w:color w:val="333333"/>
          <w:kern w:val="0"/>
          <w:sz w:val="20"/>
          <w:szCs w:val="20"/>
          <w:bdr w:val="none" w:sz="0" w:space="0" w:color="auto" w:frame="1"/>
        </w:rPr>
        <w:t>+</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4</w:t>
      </w:r>
      <w:r w:rsidRPr="00983E94">
        <w:rPr>
          <w:rFonts w:ascii="MathJax_Main" w:eastAsia="宋体" w:hAnsi="MathJax_Main" w:cs="Segoe UI"/>
          <w:color w:val="333333"/>
          <w:kern w:val="0"/>
          <w:sz w:val="28"/>
          <w:szCs w:val="28"/>
          <w:bdr w:val="none" w:sz="0" w:space="0" w:color="auto" w:frame="1"/>
        </w:rPr>
        <w:t>LEV+</w:t>
      </w:r>
      <w:r w:rsidRPr="00983E94">
        <w:rPr>
          <w:rFonts w:ascii="MathJax_Math-italic" w:eastAsia="宋体" w:hAnsi="MathJax_Math-italic" w:cs="Segoe UI"/>
          <w:color w:val="333333"/>
          <w:kern w:val="0"/>
          <w:sz w:val="28"/>
          <w:szCs w:val="28"/>
          <w:bdr w:val="none" w:sz="0" w:space="0" w:color="auto" w:frame="1"/>
        </w:rPr>
        <w:t>ε</w:t>
      </w:r>
    </w:p>
    <w:p w:rsidR="00983E94" w:rsidRPr="00983E94" w:rsidRDefault="00983E94" w:rsidP="00983E94">
      <w:pPr>
        <w:widowControl/>
        <w:shd w:val="clear" w:color="auto" w:fill="CCE8CF"/>
        <w:wordWrap w:val="0"/>
        <w:jc w:val="center"/>
        <w:rPr>
          <w:rFonts w:ascii="宋体" w:eastAsia="宋体" w:hAnsi="宋体" w:cs="宋体"/>
          <w:kern w:val="0"/>
          <w:sz w:val="24"/>
          <w:szCs w:val="24"/>
        </w:rPr>
      </w:pPr>
      <w:r w:rsidRPr="00983E94">
        <w:rPr>
          <w:rFonts w:ascii="MathJax_Math-italic" w:eastAsia="宋体" w:hAnsi="MathJax_Math-italic" w:cs="Segoe UI"/>
          <w:color w:val="333333"/>
          <w:kern w:val="0"/>
          <w:sz w:val="28"/>
          <w:szCs w:val="28"/>
          <w:bdr w:val="none" w:sz="0" w:space="0" w:color="auto" w:frame="1"/>
        </w:rPr>
        <w:t>m</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0</w:t>
      </w:r>
      <w:r w:rsidRPr="00983E94">
        <w:rPr>
          <w:rFonts w:ascii="MathJax_Main" w:eastAsia="宋体" w:hAnsi="MathJax_Main" w:cs="Segoe UI"/>
          <w:color w:val="333333"/>
          <w:kern w:val="0"/>
          <w:sz w:val="28"/>
          <w:szCs w:val="28"/>
          <w:bdr w:val="none" w:sz="0" w:space="0" w:color="auto" w:frame="1"/>
        </w:rPr>
        <w:t>IND+</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1</w:t>
      </w:r>
      <w:r w:rsidRPr="00983E94">
        <w:rPr>
          <w:rFonts w:ascii="MathJax_Math-italic" w:eastAsia="宋体" w:hAnsi="MathJax_Math-italic" w:cs="Segoe UI"/>
          <w:color w:val="333333"/>
          <w:kern w:val="0"/>
          <w:sz w:val="28"/>
          <w:szCs w:val="28"/>
          <w:bdr w:val="none" w:sz="0" w:space="0" w:color="auto" w:frame="1"/>
        </w:rPr>
        <w:t>b</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2</w:t>
      </w:r>
      <w:r w:rsidRPr="00983E94">
        <w:rPr>
          <w:rFonts w:ascii="MathJax_Main" w:eastAsia="宋体" w:hAnsi="MathJax_Main" w:cs="Segoe UI"/>
          <w:color w:val="333333"/>
          <w:kern w:val="0"/>
          <w:sz w:val="28"/>
          <w:szCs w:val="28"/>
          <w:bdr w:val="none" w:sz="0" w:space="0" w:color="auto" w:frame="1"/>
        </w:rPr>
        <w:t>ln(NI)</w:t>
      </w:r>
      <w:r w:rsidRPr="00983E94">
        <w:rPr>
          <w:rFonts w:ascii="MathJax_Main" w:eastAsia="宋体" w:hAnsi="MathJax_Main" w:cs="Segoe UI"/>
          <w:color w:val="333333"/>
          <w:kern w:val="0"/>
          <w:sz w:val="20"/>
          <w:szCs w:val="20"/>
          <w:bdr w:val="none" w:sz="0" w:space="0" w:color="auto" w:frame="1"/>
        </w:rPr>
        <w:t>+</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3</w:t>
      </w:r>
      <w:r w:rsidRPr="00983E94">
        <w:rPr>
          <w:rFonts w:ascii="MathJax_Main" w:eastAsia="宋体" w:hAnsi="MathJax_Main" w:cs="Segoe UI"/>
          <w:color w:val="333333"/>
          <w:kern w:val="0"/>
          <w:sz w:val="28"/>
          <w:szCs w:val="28"/>
          <w:bdr w:val="none" w:sz="0" w:space="0" w:color="auto" w:frame="1"/>
        </w:rPr>
        <w:t>I</w:t>
      </w:r>
      <w:r w:rsidRPr="00983E94">
        <w:rPr>
          <w:rFonts w:ascii="MathJax_Main" w:eastAsia="宋体" w:hAnsi="MathJax_Main" w:cs="Segoe UI"/>
          <w:color w:val="333333"/>
          <w:kern w:val="0"/>
          <w:sz w:val="20"/>
          <w:szCs w:val="20"/>
          <w:bdr w:val="none" w:sz="0" w:space="0" w:color="auto" w:frame="1"/>
        </w:rPr>
        <w:t>(&lt;0)</w:t>
      </w:r>
      <w:r w:rsidRPr="00983E94">
        <w:rPr>
          <w:rFonts w:ascii="MathJax_Main" w:eastAsia="宋体" w:hAnsi="MathJax_Main" w:cs="Segoe UI"/>
          <w:color w:val="333333"/>
          <w:kern w:val="0"/>
          <w:sz w:val="28"/>
          <w:szCs w:val="28"/>
          <w:bdr w:val="none" w:sz="0" w:space="0" w:color="auto" w:frame="1"/>
        </w:rPr>
        <w:t>ln(NI)</w:t>
      </w:r>
      <w:r w:rsidRPr="00983E94">
        <w:rPr>
          <w:rFonts w:ascii="MathJax_Main" w:eastAsia="宋体" w:hAnsi="MathJax_Main" w:cs="Segoe UI"/>
          <w:color w:val="333333"/>
          <w:kern w:val="0"/>
          <w:sz w:val="20"/>
          <w:szCs w:val="20"/>
          <w:bdr w:val="none" w:sz="0" w:space="0" w:color="auto" w:frame="1"/>
        </w:rPr>
        <w:t>+</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4</w:t>
      </w:r>
      <w:r w:rsidRPr="00983E94">
        <w:rPr>
          <w:rFonts w:ascii="MathJax_Main" w:eastAsia="宋体" w:hAnsi="MathJax_Main" w:cs="Segoe UI"/>
          <w:color w:val="333333"/>
          <w:kern w:val="0"/>
          <w:sz w:val="28"/>
          <w:szCs w:val="28"/>
          <w:bdr w:val="none" w:sz="0" w:space="0" w:color="auto" w:frame="1"/>
        </w:rPr>
        <w:t>LEV+</w:t>
      </w:r>
      <w:r w:rsidRPr="00983E94">
        <w:rPr>
          <w:rFonts w:ascii="MathJax_Math-italic" w:eastAsia="宋体" w:hAnsi="MathJax_Math-italic" w:cs="Segoe UI"/>
          <w:color w:val="333333"/>
          <w:kern w:val="0"/>
          <w:sz w:val="28"/>
          <w:szCs w:val="28"/>
          <w:bdr w:val="none" w:sz="0" w:space="0" w:color="auto" w:frame="1"/>
        </w:rPr>
        <w:t>ε</w:t>
      </w:r>
      <w:r w:rsidRPr="00983E94">
        <w:rPr>
          <w:rFonts w:ascii="Segoe UI" w:eastAsia="宋体" w:hAnsi="Segoe UI" w:cs="Segoe UI"/>
          <w:color w:val="333333"/>
          <w:kern w:val="0"/>
          <w:sz w:val="24"/>
          <w:szCs w:val="24"/>
          <w:bdr w:val="none" w:sz="0" w:space="0" w:color="auto" w:frame="1"/>
        </w:rPr>
        <w:t>m=α0IND+α1b+α2ln</w:t>
      </w:r>
      <w:r w:rsidRPr="00983E94">
        <w:rPr>
          <w:rFonts w:ascii="Cambria Math" w:eastAsia="宋体" w:hAnsi="Cambria Math" w:cs="Cambria Math"/>
          <w:color w:val="333333"/>
          <w:kern w:val="0"/>
          <w:sz w:val="24"/>
          <w:szCs w:val="24"/>
          <w:bdr w:val="none" w:sz="0" w:space="0" w:color="auto" w:frame="1"/>
        </w:rPr>
        <w:t>⁡</w:t>
      </w:r>
      <w:r w:rsidRPr="00983E94">
        <w:rPr>
          <w:rFonts w:ascii="Segoe UI" w:eastAsia="宋体" w:hAnsi="Segoe UI" w:cs="Segoe UI"/>
          <w:color w:val="333333"/>
          <w:kern w:val="0"/>
          <w:sz w:val="24"/>
          <w:szCs w:val="24"/>
          <w:bdr w:val="none" w:sz="0" w:space="0" w:color="auto" w:frame="1"/>
        </w:rPr>
        <w:t>(NI)++α3I(&lt;0)ln</w:t>
      </w:r>
      <w:r w:rsidRPr="00983E94">
        <w:rPr>
          <w:rFonts w:ascii="Cambria Math" w:eastAsia="宋体" w:hAnsi="Cambria Math" w:cs="Cambria Math"/>
          <w:color w:val="333333"/>
          <w:kern w:val="0"/>
          <w:sz w:val="24"/>
          <w:szCs w:val="24"/>
          <w:bdr w:val="none" w:sz="0" w:space="0" w:color="auto" w:frame="1"/>
        </w:rPr>
        <w:t>⁡</w:t>
      </w:r>
      <w:r w:rsidRPr="00983E94">
        <w:rPr>
          <w:rFonts w:ascii="Segoe UI" w:eastAsia="宋体" w:hAnsi="Segoe UI" w:cs="Segoe UI"/>
          <w:color w:val="333333"/>
          <w:kern w:val="0"/>
          <w:sz w:val="24"/>
          <w:szCs w:val="24"/>
          <w:bdr w:val="none" w:sz="0" w:space="0" w:color="auto" w:frame="1"/>
        </w:rPr>
        <w:t>(NI)++α4LEV+ε</w:t>
      </w:r>
    </w:p>
    <w:p w:rsidR="00983E94" w:rsidRPr="00983E94" w:rsidRDefault="00983E94" w:rsidP="00983E94">
      <w:pPr>
        <w:widowControl/>
        <w:shd w:val="clear" w:color="auto" w:fill="CCE8CF"/>
        <w:wordWrap w:val="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其中，</w:t>
      </w:r>
      <w:r w:rsidRPr="00983E94">
        <w:rPr>
          <w:rFonts w:ascii="MathJax_Main" w:eastAsia="宋体" w:hAnsi="MathJax_Main" w:cs="Segoe UI"/>
          <w:color w:val="333333"/>
          <w:kern w:val="0"/>
          <w:sz w:val="28"/>
          <w:szCs w:val="28"/>
          <w:bdr w:val="none" w:sz="0" w:space="0" w:color="auto" w:frame="1"/>
        </w:rPr>
        <w:t>INDIND</w:t>
      </w:r>
      <w:r w:rsidRPr="00983E94">
        <w:rPr>
          <w:rFonts w:ascii="Segoe UI" w:eastAsia="宋体" w:hAnsi="Segoe UI" w:cs="Segoe UI"/>
          <w:color w:val="333333"/>
          <w:kern w:val="0"/>
          <w:sz w:val="24"/>
          <w:szCs w:val="24"/>
          <w:bdr w:val="none" w:sz="0" w:space="0" w:color="auto" w:frame="1"/>
        </w:rPr>
        <w:t>IND</w:t>
      </w:r>
      <w:r w:rsidRPr="00983E94">
        <w:rPr>
          <w:rFonts w:ascii="Segoe UI" w:eastAsia="宋体" w:hAnsi="Segoe UI" w:cs="Segoe UI"/>
          <w:color w:val="333333"/>
          <w:kern w:val="0"/>
          <w:sz w:val="24"/>
          <w:szCs w:val="24"/>
        </w:rPr>
        <w:t>为行业虚拟变量矩阵（若该股属于某行业，则将这一行业虚拟变量的值设为</w:t>
      </w:r>
      <w:r w:rsidRPr="00983E94">
        <w:rPr>
          <w:rFonts w:ascii="Segoe UI" w:eastAsia="宋体" w:hAnsi="Segoe UI" w:cs="Segoe UI"/>
          <w:color w:val="333333"/>
          <w:kern w:val="0"/>
          <w:sz w:val="24"/>
          <w:szCs w:val="24"/>
        </w:rPr>
        <w:t>1</w:t>
      </w:r>
      <w:r w:rsidRPr="00983E94">
        <w:rPr>
          <w:rFonts w:ascii="Segoe UI" w:eastAsia="宋体" w:hAnsi="Segoe UI" w:cs="Segoe UI"/>
          <w:color w:val="333333"/>
          <w:kern w:val="0"/>
          <w:sz w:val="24"/>
          <w:szCs w:val="24"/>
        </w:rPr>
        <w:t>，其他行业虚拟变量的值设为</w:t>
      </w:r>
      <w:r w:rsidRPr="00983E94">
        <w:rPr>
          <w:rFonts w:ascii="Segoe UI" w:eastAsia="宋体" w:hAnsi="Segoe UI" w:cs="Segoe UI"/>
          <w:color w:val="333333"/>
          <w:kern w:val="0"/>
          <w:sz w:val="24"/>
          <w:szCs w:val="24"/>
        </w:rPr>
        <w:t>0</w:t>
      </w:r>
      <w:r w:rsidRPr="00983E94">
        <w:rPr>
          <w:rFonts w:ascii="Segoe UI" w:eastAsia="宋体" w:hAnsi="Segoe UI" w:cs="Segoe UI"/>
          <w:color w:val="333333"/>
          <w:kern w:val="0"/>
          <w:sz w:val="24"/>
          <w:szCs w:val="24"/>
        </w:rPr>
        <w:t>），</w:t>
      </w:r>
      <w:r w:rsidRPr="00983E94">
        <w:rPr>
          <w:rFonts w:ascii="MathJax_Math-italic" w:eastAsia="宋体" w:hAnsi="MathJax_Math-italic" w:cs="Segoe UI"/>
          <w:color w:val="333333"/>
          <w:kern w:val="0"/>
          <w:sz w:val="28"/>
          <w:szCs w:val="28"/>
          <w:bdr w:val="none" w:sz="0" w:space="0" w:color="auto" w:frame="1"/>
        </w:rPr>
        <w:t>mm</w:t>
      </w:r>
      <w:r w:rsidRPr="00983E94">
        <w:rPr>
          <w:rFonts w:ascii="Segoe UI" w:eastAsia="宋体" w:hAnsi="Segoe UI" w:cs="Segoe UI"/>
          <w:color w:val="333333"/>
          <w:kern w:val="0"/>
          <w:sz w:val="24"/>
          <w:szCs w:val="24"/>
          <w:bdr w:val="none" w:sz="0" w:space="0" w:color="auto" w:frame="1"/>
        </w:rPr>
        <w:t>m</w:t>
      </w:r>
      <w:r w:rsidRPr="00983E94">
        <w:rPr>
          <w:rFonts w:ascii="Segoe UI" w:eastAsia="宋体" w:hAnsi="Segoe UI" w:cs="Segoe UI"/>
          <w:color w:val="333333"/>
          <w:kern w:val="0"/>
          <w:sz w:val="24"/>
          <w:szCs w:val="24"/>
        </w:rPr>
        <w:t>为个股的对数市值，</w:t>
      </w:r>
      <w:r w:rsidRPr="00983E94">
        <w:rPr>
          <w:rFonts w:ascii="MathJax_Math-italic" w:eastAsia="宋体" w:hAnsi="MathJax_Math-italic" w:cs="Segoe UI"/>
          <w:color w:val="333333"/>
          <w:kern w:val="0"/>
          <w:sz w:val="28"/>
          <w:szCs w:val="28"/>
          <w:bdr w:val="none" w:sz="0" w:space="0" w:color="auto" w:frame="1"/>
        </w:rPr>
        <w:t>bb</w:t>
      </w:r>
      <w:r w:rsidRPr="00983E94">
        <w:rPr>
          <w:rFonts w:ascii="Segoe UI" w:eastAsia="宋体" w:hAnsi="Segoe UI" w:cs="Segoe UI"/>
          <w:color w:val="333333"/>
          <w:kern w:val="0"/>
          <w:sz w:val="24"/>
          <w:szCs w:val="24"/>
          <w:bdr w:val="none" w:sz="0" w:space="0" w:color="auto" w:frame="1"/>
        </w:rPr>
        <w:t>b</w:t>
      </w:r>
      <w:r w:rsidRPr="00983E94">
        <w:rPr>
          <w:rFonts w:ascii="Segoe UI" w:eastAsia="宋体" w:hAnsi="Segoe UI" w:cs="Segoe UI"/>
          <w:color w:val="333333"/>
          <w:kern w:val="0"/>
          <w:sz w:val="24"/>
          <w:szCs w:val="24"/>
        </w:rPr>
        <w:t>为个股的对数净资产，</w:t>
      </w:r>
      <w:r w:rsidRPr="00983E94">
        <w:rPr>
          <w:rFonts w:ascii="MathJax_Main" w:eastAsia="宋体" w:hAnsi="MathJax_Main" w:cs="Segoe UI"/>
          <w:color w:val="333333"/>
          <w:kern w:val="0"/>
          <w:sz w:val="28"/>
          <w:szCs w:val="28"/>
          <w:bdr w:val="none" w:sz="0" w:space="0" w:color="auto" w:frame="1"/>
        </w:rPr>
        <w:t>NINI</w:t>
      </w:r>
      <w:r w:rsidRPr="00983E94">
        <w:rPr>
          <w:rFonts w:ascii="Segoe UI" w:eastAsia="宋体" w:hAnsi="Segoe UI" w:cs="Segoe UI"/>
          <w:color w:val="333333"/>
          <w:kern w:val="0"/>
          <w:sz w:val="24"/>
          <w:szCs w:val="24"/>
          <w:bdr w:val="none" w:sz="0" w:space="0" w:color="auto" w:frame="1"/>
        </w:rPr>
        <w:t>NI</w:t>
      </w:r>
      <w:r w:rsidRPr="00983E94">
        <w:rPr>
          <w:rFonts w:ascii="Segoe UI" w:eastAsia="宋体" w:hAnsi="Segoe UI" w:cs="Segoe UI"/>
          <w:color w:val="333333"/>
          <w:kern w:val="0"/>
          <w:sz w:val="24"/>
          <w:szCs w:val="24"/>
        </w:rPr>
        <w:t>为公司净利润，这里注意，为了区分净利润的正负，我们增加了一个代表正负的虚拟变量，当且仅当净利润为负时，这个虚拟变量的值为</w:t>
      </w:r>
      <w:r w:rsidRPr="00983E94">
        <w:rPr>
          <w:rFonts w:ascii="Segoe UI" w:eastAsia="宋体" w:hAnsi="Segoe UI" w:cs="Segoe UI"/>
          <w:color w:val="333333"/>
          <w:kern w:val="0"/>
          <w:sz w:val="24"/>
          <w:szCs w:val="24"/>
        </w:rPr>
        <w:t>1</w:t>
      </w:r>
      <w:r w:rsidRPr="00983E94">
        <w:rPr>
          <w:rFonts w:ascii="Segoe UI" w:eastAsia="宋体" w:hAnsi="Segoe UI" w:cs="Segoe UI"/>
          <w:color w:val="333333"/>
          <w:kern w:val="0"/>
          <w:sz w:val="24"/>
          <w:szCs w:val="24"/>
        </w:rPr>
        <w:t>，并且我们取净利润绝对值的对数作为自变量。</w:t>
      </w:r>
      <w:r w:rsidRPr="00983E94">
        <w:rPr>
          <w:rFonts w:ascii="MathJax_Main" w:eastAsia="宋体" w:hAnsi="MathJax_Main" w:cs="Segoe UI"/>
          <w:color w:val="333333"/>
          <w:kern w:val="0"/>
          <w:sz w:val="28"/>
          <w:szCs w:val="28"/>
          <w:bdr w:val="none" w:sz="0" w:space="0" w:color="auto" w:frame="1"/>
        </w:rPr>
        <w:t>LEVLEV</w:t>
      </w:r>
      <w:r w:rsidRPr="00983E94">
        <w:rPr>
          <w:rFonts w:ascii="Segoe UI" w:eastAsia="宋体" w:hAnsi="Segoe UI" w:cs="Segoe UI"/>
          <w:color w:val="333333"/>
          <w:kern w:val="0"/>
          <w:sz w:val="24"/>
          <w:szCs w:val="24"/>
          <w:bdr w:val="none" w:sz="0" w:space="0" w:color="auto" w:frame="1"/>
        </w:rPr>
        <w:t>LEV</w:t>
      </w:r>
      <w:r w:rsidRPr="00983E94">
        <w:rPr>
          <w:rFonts w:ascii="Segoe UI" w:eastAsia="宋体" w:hAnsi="Segoe UI" w:cs="Segoe UI"/>
          <w:color w:val="333333"/>
          <w:kern w:val="0"/>
          <w:sz w:val="24"/>
          <w:szCs w:val="24"/>
        </w:rPr>
        <w:t>为公司的财务杠杆（负债除以资产）。作者用这个模型对特定美股进行拟合，平均拟合优度超过</w:t>
      </w:r>
      <w:r w:rsidRPr="00983E94">
        <w:rPr>
          <w:rFonts w:ascii="Segoe UI" w:eastAsia="宋体" w:hAnsi="Segoe UI" w:cs="Segoe UI"/>
          <w:color w:val="333333"/>
          <w:kern w:val="0"/>
          <w:sz w:val="24"/>
          <w:szCs w:val="24"/>
        </w:rPr>
        <w:t>80%</w:t>
      </w:r>
      <w:r w:rsidRPr="00983E94">
        <w:rPr>
          <w:rFonts w:ascii="Segoe UI" w:eastAsia="宋体" w:hAnsi="Segoe UI" w:cs="Segoe UI"/>
          <w:color w:val="333333"/>
          <w:kern w:val="0"/>
          <w:sz w:val="24"/>
          <w:szCs w:val="24"/>
        </w:rPr>
        <w:t>，也就是说，这个三因子模型可以被认为是有效的。</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2012</w:t>
      </w:r>
      <w:r w:rsidRPr="00983E94">
        <w:rPr>
          <w:rFonts w:ascii="Segoe UI" w:eastAsia="宋体" w:hAnsi="Segoe UI" w:cs="Segoe UI"/>
          <w:color w:val="333333"/>
          <w:kern w:val="0"/>
          <w:sz w:val="24"/>
          <w:szCs w:val="24"/>
        </w:rPr>
        <w:t>年，马里兰大学的</w:t>
      </w:r>
      <w:r w:rsidRPr="00983E94">
        <w:rPr>
          <w:rFonts w:ascii="Segoe UI" w:eastAsia="宋体" w:hAnsi="Segoe UI" w:cs="Segoe UI"/>
          <w:color w:val="333333"/>
          <w:kern w:val="0"/>
          <w:sz w:val="24"/>
          <w:szCs w:val="24"/>
        </w:rPr>
        <w:t>Charles R. Hulten</w:t>
      </w:r>
      <w:r w:rsidRPr="00983E94">
        <w:rPr>
          <w:rFonts w:ascii="Segoe UI" w:eastAsia="宋体" w:hAnsi="Segoe UI" w:cs="Segoe UI"/>
          <w:color w:val="333333"/>
          <w:kern w:val="0"/>
          <w:sz w:val="24"/>
          <w:szCs w:val="24"/>
        </w:rPr>
        <w:t>教授及其博士生</w:t>
      </w:r>
      <w:r w:rsidRPr="00983E94">
        <w:rPr>
          <w:rFonts w:ascii="Segoe UI" w:eastAsia="宋体" w:hAnsi="Segoe UI" w:cs="Segoe UI"/>
          <w:color w:val="333333"/>
          <w:kern w:val="0"/>
          <w:sz w:val="24"/>
          <w:szCs w:val="24"/>
        </w:rPr>
        <w:t>Janet X. Hao</w:t>
      </w:r>
      <w:r w:rsidRPr="00983E94">
        <w:rPr>
          <w:rFonts w:ascii="Segoe UI" w:eastAsia="宋体" w:hAnsi="Segoe UI" w:cs="Segoe UI"/>
          <w:color w:val="333333"/>
          <w:kern w:val="0"/>
          <w:sz w:val="24"/>
          <w:szCs w:val="24"/>
        </w:rPr>
        <w:t>发表的论文《</w:t>
      </w:r>
      <w:r w:rsidRPr="00983E94">
        <w:rPr>
          <w:rFonts w:ascii="Segoe UI" w:eastAsia="宋体" w:hAnsi="Segoe UI" w:cs="Segoe UI"/>
          <w:color w:val="333333"/>
          <w:kern w:val="0"/>
          <w:sz w:val="24"/>
          <w:szCs w:val="24"/>
        </w:rPr>
        <w:t>The Role Of Intangible Capital in the Transformation and Growth</w:t>
      </w:r>
      <w:r w:rsidRPr="00983E94">
        <w:rPr>
          <w:rFonts w:ascii="Segoe UI" w:eastAsia="宋体" w:hAnsi="Segoe UI" w:cs="Segoe UI"/>
          <w:color w:val="333333"/>
          <w:kern w:val="0"/>
          <w:sz w:val="24"/>
          <w:szCs w:val="24"/>
        </w:rPr>
        <w:lastRenderedPageBreak/>
        <w:t xml:space="preserve"> of the Chinese Economy</w:t>
      </w:r>
      <w:r w:rsidRPr="00983E94">
        <w:rPr>
          <w:rFonts w:ascii="Segoe UI" w:eastAsia="宋体" w:hAnsi="Segoe UI" w:cs="Segoe UI"/>
          <w:color w:val="333333"/>
          <w:kern w:val="0"/>
          <w:sz w:val="24"/>
          <w:szCs w:val="24"/>
        </w:rPr>
        <w:t>》中，发现上市公司的市值与其净资产、开发支出、组织资本以及市盈率密不可分，选取开发支出力度大的公司进行下述回归，拟合优度可以达到</w:t>
      </w:r>
      <w:r w:rsidRPr="00983E94">
        <w:rPr>
          <w:rFonts w:ascii="Segoe UI" w:eastAsia="宋体" w:hAnsi="Segoe UI" w:cs="Segoe UI"/>
          <w:color w:val="333333"/>
          <w:kern w:val="0"/>
          <w:sz w:val="24"/>
          <w:szCs w:val="24"/>
        </w:rPr>
        <w:t>94%</w:t>
      </w:r>
      <w:r w:rsidRPr="00983E94">
        <w:rPr>
          <w:rFonts w:ascii="Segoe UI" w:eastAsia="宋体" w:hAnsi="Segoe UI" w:cs="Segoe UI"/>
          <w:color w:val="333333"/>
          <w:kern w:val="0"/>
          <w:sz w:val="24"/>
          <w:szCs w:val="24"/>
        </w:rPr>
        <w:t>。</w:t>
      </w:r>
    </w:p>
    <w:p w:rsidR="00983E94" w:rsidRPr="00983E94" w:rsidRDefault="00983E94" w:rsidP="00983E94">
      <w:pPr>
        <w:widowControl/>
        <w:shd w:val="clear" w:color="auto" w:fill="CCE8CF"/>
        <w:wordWrap w:val="0"/>
        <w:jc w:val="center"/>
        <w:rPr>
          <w:rFonts w:ascii="宋体" w:eastAsia="宋体" w:hAnsi="宋体" w:cs="宋体"/>
          <w:kern w:val="0"/>
          <w:sz w:val="24"/>
          <w:szCs w:val="24"/>
          <w:bdr w:val="none" w:sz="0" w:space="0" w:color="auto" w:frame="1"/>
        </w:rPr>
      </w:pPr>
      <w:r w:rsidRPr="00983E94">
        <w:rPr>
          <w:rFonts w:ascii="MathJax_Math-italic" w:eastAsia="宋体" w:hAnsi="MathJax_Math-italic" w:cs="Segoe UI"/>
          <w:color w:val="333333"/>
          <w:kern w:val="0"/>
          <w:sz w:val="28"/>
          <w:szCs w:val="28"/>
          <w:bdr w:val="none" w:sz="0" w:space="0" w:color="auto" w:frame="1"/>
        </w:rPr>
        <w:t>m</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0</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1</w:t>
      </w:r>
      <w:r w:rsidRPr="00983E94">
        <w:rPr>
          <w:rFonts w:ascii="MathJax_Math-italic" w:eastAsia="宋体" w:hAnsi="MathJax_Math-italic" w:cs="Segoe UI"/>
          <w:color w:val="333333"/>
          <w:kern w:val="0"/>
          <w:sz w:val="28"/>
          <w:szCs w:val="28"/>
          <w:bdr w:val="none" w:sz="0" w:space="0" w:color="auto" w:frame="1"/>
        </w:rPr>
        <w:t>b</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2</w:t>
      </w:r>
      <w:r w:rsidRPr="00983E94">
        <w:rPr>
          <w:rFonts w:ascii="MathJax_Main" w:eastAsia="宋体" w:hAnsi="MathJax_Main" w:cs="Segoe UI"/>
          <w:color w:val="333333"/>
          <w:kern w:val="0"/>
          <w:sz w:val="28"/>
          <w:szCs w:val="28"/>
          <w:bdr w:val="none" w:sz="0" w:space="0" w:color="auto" w:frame="1"/>
        </w:rPr>
        <w:t>RD+</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3</w:t>
      </w:r>
      <w:r w:rsidRPr="00983E94">
        <w:rPr>
          <w:rFonts w:ascii="MathJax_Main" w:eastAsia="宋体" w:hAnsi="MathJax_Main" w:cs="Segoe UI"/>
          <w:color w:val="333333"/>
          <w:kern w:val="0"/>
          <w:sz w:val="28"/>
          <w:szCs w:val="28"/>
          <w:bdr w:val="none" w:sz="0" w:space="0" w:color="auto" w:frame="1"/>
        </w:rPr>
        <w:t>O+</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4</w:t>
      </w:r>
      <w:r w:rsidRPr="00983E94">
        <w:rPr>
          <w:rFonts w:ascii="MathJax_Main" w:eastAsia="宋体" w:hAnsi="MathJax_Main" w:cs="Segoe UI"/>
          <w:color w:val="333333"/>
          <w:kern w:val="0"/>
          <w:sz w:val="28"/>
          <w:szCs w:val="28"/>
          <w:bdr w:val="none" w:sz="0" w:space="0" w:color="auto" w:frame="1"/>
        </w:rPr>
        <w:t>PE+</w:t>
      </w:r>
      <w:r w:rsidRPr="00983E94">
        <w:rPr>
          <w:rFonts w:ascii="MathJax_Math-italic" w:eastAsia="宋体" w:hAnsi="MathJax_Math-italic" w:cs="Segoe UI"/>
          <w:color w:val="333333"/>
          <w:kern w:val="0"/>
          <w:sz w:val="28"/>
          <w:szCs w:val="28"/>
          <w:bdr w:val="none" w:sz="0" w:space="0" w:color="auto" w:frame="1"/>
        </w:rPr>
        <w:t>ε</w:t>
      </w:r>
    </w:p>
    <w:p w:rsidR="00983E94" w:rsidRPr="00983E94" w:rsidRDefault="00983E94" w:rsidP="00983E94">
      <w:pPr>
        <w:widowControl/>
        <w:shd w:val="clear" w:color="auto" w:fill="CCE8CF"/>
        <w:wordWrap w:val="0"/>
        <w:jc w:val="center"/>
        <w:rPr>
          <w:rFonts w:ascii="宋体" w:eastAsia="宋体" w:hAnsi="宋体" w:cs="宋体"/>
          <w:kern w:val="0"/>
          <w:sz w:val="24"/>
          <w:szCs w:val="24"/>
        </w:rPr>
      </w:pPr>
      <w:r w:rsidRPr="00983E94">
        <w:rPr>
          <w:rFonts w:ascii="MathJax_Math-italic" w:eastAsia="宋体" w:hAnsi="MathJax_Math-italic" w:cs="Segoe UI"/>
          <w:color w:val="333333"/>
          <w:kern w:val="0"/>
          <w:sz w:val="28"/>
          <w:szCs w:val="28"/>
          <w:bdr w:val="none" w:sz="0" w:space="0" w:color="auto" w:frame="1"/>
        </w:rPr>
        <w:t>m</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0</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1</w:t>
      </w:r>
      <w:r w:rsidRPr="00983E94">
        <w:rPr>
          <w:rFonts w:ascii="MathJax_Math-italic" w:eastAsia="宋体" w:hAnsi="MathJax_Math-italic" w:cs="Segoe UI"/>
          <w:color w:val="333333"/>
          <w:kern w:val="0"/>
          <w:sz w:val="28"/>
          <w:szCs w:val="28"/>
          <w:bdr w:val="none" w:sz="0" w:space="0" w:color="auto" w:frame="1"/>
        </w:rPr>
        <w:t>b</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2</w:t>
      </w:r>
      <w:r w:rsidRPr="00983E94">
        <w:rPr>
          <w:rFonts w:ascii="MathJax_Main" w:eastAsia="宋体" w:hAnsi="MathJax_Main" w:cs="Segoe UI"/>
          <w:color w:val="333333"/>
          <w:kern w:val="0"/>
          <w:sz w:val="28"/>
          <w:szCs w:val="28"/>
          <w:bdr w:val="none" w:sz="0" w:space="0" w:color="auto" w:frame="1"/>
        </w:rPr>
        <w:t>RD+</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3</w:t>
      </w:r>
      <w:r w:rsidRPr="00983E94">
        <w:rPr>
          <w:rFonts w:ascii="MathJax_Main" w:eastAsia="宋体" w:hAnsi="MathJax_Main" w:cs="Segoe UI"/>
          <w:color w:val="333333"/>
          <w:kern w:val="0"/>
          <w:sz w:val="28"/>
          <w:szCs w:val="28"/>
          <w:bdr w:val="none" w:sz="0" w:space="0" w:color="auto" w:frame="1"/>
        </w:rPr>
        <w:t>O+</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4</w:t>
      </w:r>
      <w:r w:rsidRPr="00983E94">
        <w:rPr>
          <w:rFonts w:ascii="MathJax_Main" w:eastAsia="宋体" w:hAnsi="MathJax_Main" w:cs="Segoe UI"/>
          <w:color w:val="333333"/>
          <w:kern w:val="0"/>
          <w:sz w:val="28"/>
          <w:szCs w:val="28"/>
          <w:bdr w:val="none" w:sz="0" w:space="0" w:color="auto" w:frame="1"/>
        </w:rPr>
        <w:t>PE+</w:t>
      </w:r>
      <w:r w:rsidRPr="00983E94">
        <w:rPr>
          <w:rFonts w:ascii="MathJax_Math-italic" w:eastAsia="宋体" w:hAnsi="MathJax_Math-italic" w:cs="Segoe UI"/>
          <w:color w:val="333333"/>
          <w:kern w:val="0"/>
          <w:sz w:val="28"/>
          <w:szCs w:val="28"/>
          <w:bdr w:val="none" w:sz="0" w:space="0" w:color="auto" w:frame="1"/>
        </w:rPr>
        <w:t>ε</w:t>
      </w:r>
      <w:r w:rsidRPr="00983E94">
        <w:rPr>
          <w:rFonts w:ascii="Segoe UI" w:eastAsia="宋体" w:hAnsi="Segoe UI" w:cs="Segoe UI"/>
          <w:color w:val="333333"/>
          <w:kern w:val="0"/>
          <w:sz w:val="24"/>
          <w:szCs w:val="24"/>
          <w:bdr w:val="none" w:sz="0" w:space="0" w:color="auto" w:frame="1"/>
        </w:rPr>
        <w:t>m=α0+α1b+α2RD+α3O+α4PE+ε</w:t>
      </w:r>
    </w:p>
    <w:p w:rsidR="00983E94" w:rsidRPr="00983E94" w:rsidRDefault="00983E94" w:rsidP="00983E94">
      <w:pPr>
        <w:widowControl/>
        <w:shd w:val="clear" w:color="auto" w:fill="CCE8CF"/>
        <w:wordWrap w:val="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其中，</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0</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0</w:t>
      </w:r>
      <w:r w:rsidRPr="00983E94">
        <w:rPr>
          <w:rFonts w:ascii="Segoe UI" w:eastAsia="宋体" w:hAnsi="Segoe UI" w:cs="Segoe UI"/>
          <w:color w:val="333333"/>
          <w:kern w:val="0"/>
          <w:sz w:val="24"/>
          <w:szCs w:val="24"/>
          <w:bdr w:val="none" w:sz="0" w:space="0" w:color="auto" w:frame="1"/>
        </w:rPr>
        <w:t>α0</w:t>
      </w:r>
      <w:r w:rsidRPr="00983E94">
        <w:rPr>
          <w:rFonts w:ascii="Segoe UI" w:eastAsia="宋体" w:hAnsi="Segoe UI" w:cs="Segoe UI"/>
          <w:color w:val="333333"/>
          <w:kern w:val="0"/>
          <w:sz w:val="24"/>
          <w:szCs w:val="24"/>
        </w:rPr>
        <w:t>为年度虚拟变量矩阵，</w:t>
      </w:r>
      <w:r w:rsidRPr="00983E94">
        <w:rPr>
          <w:rFonts w:ascii="MathJax_Math-italic" w:eastAsia="宋体" w:hAnsi="MathJax_Math-italic" w:cs="Segoe UI"/>
          <w:color w:val="333333"/>
          <w:kern w:val="0"/>
          <w:sz w:val="28"/>
          <w:szCs w:val="28"/>
          <w:bdr w:val="none" w:sz="0" w:space="0" w:color="auto" w:frame="1"/>
        </w:rPr>
        <w:t>mm</w:t>
      </w:r>
      <w:r w:rsidRPr="00983E94">
        <w:rPr>
          <w:rFonts w:ascii="Segoe UI" w:eastAsia="宋体" w:hAnsi="Segoe UI" w:cs="Segoe UI"/>
          <w:color w:val="333333"/>
          <w:kern w:val="0"/>
          <w:sz w:val="24"/>
          <w:szCs w:val="24"/>
          <w:bdr w:val="none" w:sz="0" w:space="0" w:color="auto" w:frame="1"/>
        </w:rPr>
        <w:t>m</w:t>
      </w:r>
      <w:r w:rsidRPr="00983E94">
        <w:rPr>
          <w:rFonts w:ascii="Segoe UI" w:eastAsia="宋体" w:hAnsi="Segoe UI" w:cs="Segoe UI"/>
          <w:color w:val="333333"/>
          <w:kern w:val="0"/>
          <w:sz w:val="24"/>
          <w:szCs w:val="24"/>
        </w:rPr>
        <w:t>和</w:t>
      </w:r>
      <w:r w:rsidRPr="00983E94">
        <w:rPr>
          <w:rFonts w:ascii="MathJax_Math-italic" w:eastAsia="宋体" w:hAnsi="MathJax_Math-italic" w:cs="Segoe UI"/>
          <w:color w:val="333333"/>
          <w:kern w:val="0"/>
          <w:sz w:val="28"/>
          <w:szCs w:val="28"/>
          <w:bdr w:val="none" w:sz="0" w:space="0" w:color="auto" w:frame="1"/>
        </w:rPr>
        <w:t>bb</w:t>
      </w:r>
      <w:r w:rsidRPr="00983E94">
        <w:rPr>
          <w:rFonts w:ascii="Segoe UI" w:eastAsia="宋体" w:hAnsi="Segoe UI" w:cs="Segoe UI"/>
          <w:color w:val="333333"/>
          <w:kern w:val="0"/>
          <w:sz w:val="24"/>
          <w:szCs w:val="24"/>
          <w:bdr w:val="none" w:sz="0" w:space="0" w:color="auto" w:frame="1"/>
        </w:rPr>
        <w:t>b</w:t>
      </w:r>
      <w:r w:rsidRPr="00983E94">
        <w:rPr>
          <w:rFonts w:ascii="Segoe UI" w:eastAsia="宋体" w:hAnsi="Segoe UI" w:cs="Segoe UI"/>
          <w:color w:val="333333"/>
          <w:kern w:val="0"/>
          <w:sz w:val="24"/>
          <w:szCs w:val="24"/>
        </w:rPr>
        <w:t>的含义与上文相同，</w:t>
      </w:r>
      <w:r w:rsidRPr="00983E94">
        <w:rPr>
          <w:rFonts w:ascii="MathJax_Main" w:eastAsia="宋体" w:hAnsi="MathJax_Main" w:cs="Segoe UI"/>
          <w:color w:val="333333"/>
          <w:kern w:val="0"/>
          <w:sz w:val="28"/>
          <w:szCs w:val="28"/>
          <w:bdr w:val="none" w:sz="0" w:space="0" w:color="auto" w:frame="1"/>
        </w:rPr>
        <w:t>RDRD</w:t>
      </w:r>
      <w:r w:rsidRPr="00983E94">
        <w:rPr>
          <w:rFonts w:ascii="Segoe UI" w:eastAsia="宋体" w:hAnsi="Segoe UI" w:cs="Segoe UI"/>
          <w:color w:val="333333"/>
          <w:kern w:val="0"/>
          <w:sz w:val="24"/>
          <w:szCs w:val="24"/>
          <w:bdr w:val="none" w:sz="0" w:space="0" w:color="auto" w:frame="1"/>
        </w:rPr>
        <w:t>RD</w:t>
      </w:r>
      <w:r w:rsidRPr="00983E94">
        <w:rPr>
          <w:rFonts w:ascii="Segoe UI" w:eastAsia="宋体" w:hAnsi="Segoe UI" w:cs="Segoe UI"/>
          <w:color w:val="333333"/>
          <w:kern w:val="0"/>
          <w:sz w:val="24"/>
          <w:szCs w:val="24"/>
        </w:rPr>
        <w:t>为对数开发支出，</w:t>
      </w:r>
      <w:r w:rsidRPr="00983E94">
        <w:rPr>
          <w:rFonts w:ascii="MathJax_Main" w:eastAsia="宋体" w:hAnsi="MathJax_Main" w:cs="Segoe UI"/>
          <w:color w:val="333333"/>
          <w:kern w:val="0"/>
          <w:sz w:val="28"/>
          <w:szCs w:val="28"/>
          <w:bdr w:val="none" w:sz="0" w:space="0" w:color="auto" w:frame="1"/>
        </w:rPr>
        <w:t>OO</w:t>
      </w:r>
      <w:r w:rsidRPr="00983E94">
        <w:rPr>
          <w:rFonts w:ascii="Segoe UI" w:eastAsia="宋体" w:hAnsi="Segoe UI" w:cs="Segoe UI"/>
          <w:color w:val="333333"/>
          <w:kern w:val="0"/>
          <w:sz w:val="24"/>
          <w:szCs w:val="24"/>
          <w:bdr w:val="none" w:sz="0" w:space="0" w:color="auto" w:frame="1"/>
        </w:rPr>
        <w:t>O</w:t>
      </w:r>
      <w:r w:rsidRPr="00983E94">
        <w:rPr>
          <w:rFonts w:ascii="Segoe UI" w:eastAsia="宋体" w:hAnsi="Segoe UI" w:cs="Segoe UI"/>
          <w:color w:val="333333"/>
          <w:kern w:val="0"/>
          <w:sz w:val="24"/>
          <w:szCs w:val="24"/>
        </w:rPr>
        <w:t>为对数组织资本，</w:t>
      </w:r>
      <w:r w:rsidRPr="00983E94">
        <w:rPr>
          <w:rFonts w:ascii="MathJax_Main" w:eastAsia="宋体" w:hAnsi="MathJax_Main" w:cs="Segoe UI"/>
          <w:color w:val="333333"/>
          <w:kern w:val="0"/>
          <w:sz w:val="28"/>
          <w:szCs w:val="28"/>
          <w:bdr w:val="none" w:sz="0" w:space="0" w:color="auto" w:frame="1"/>
        </w:rPr>
        <w:t>PEPE</w:t>
      </w:r>
      <w:r w:rsidRPr="00983E94">
        <w:rPr>
          <w:rFonts w:ascii="Segoe UI" w:eastAsia="宋体" w:hAnsi="Segoe UI" w:cs="Segoe UI"/>
          <w:color w:val="333333"/>
          <w:kern w:val="0"/>
          <w:sz w:val="24"/>
          <w:szCs w:val="24"/>
          <w:bdr w:val="none" w:sz="0" w:space="0" w:color="auto" w:frame="1"/>
        </w:rPr>
        <w:t>PE</w:t>
      </w:r>
      <w:r w:rsidRPr="00983E94">
        <w:rPr>
          <w:rFonts w:ascii="Segoe UI" w:eastAsia="宋体" w:hAnsi="Segoe UI" w:cs="Segoe UI"/>
          <w:color w:val="333333"/>
          <w:kern w:val="0"/>
          <w:sz w:val="24"/>
          <w:szCs w:val="24"/>
        </w:rPr>
        <w:t>为市盈率。</w:t>
      </w:r>
      <w:r w:rsidRPr="00983E94">
        <w:rPr>
          <w:rFonts w:ascii="Segoe UI" w:eastAsia="宋体" w:hAnsi="Segoe UI" w:cs="Segoe UI"/>
          <w:color w:val="333333"/>
          <w:kern w:val="0"/>
          <w:sz w:val="24"/>
          <w:szCs w:val="24"/>
        </w:rPr>
        <w:br/>
      </w:r>
      <w:r w:rsidRPr="00983E94">
        <w:rPr>
          <w:rFonts w:ascii="Segoe UI" w:eastAsia="宋体" w:hAnsi="Segoe UI" w:cs="Segoe UI"/>
          <w:color w:val="333333"/>
          <w:kern w:val="0"/>
          <w:sz w:val="24"/>
          <w:szCs w:val="24"/>
        </w:rPr>
        <w:t>综上所述，我们可以认为，股票在某一时间点的市值可以被多个因子解释，我们把这些因子统称为市值解释因子，由于股票价格等于股票总市值除以股票数量，因此在股票数量不变的情况下，我们可以用市值解释因子对股票价格进行预测。</w:t>
      </w:r>
    </w:p>
    <w:p w:rsidR="00983E94" w:rsidRPr="00983E94" w:rsidRDefault="00983E94" w:rsidP="00983E94">
      <w:pPr>
        <w:widowControl/>
        <w:shd w:val="clear" w:color="auto" w:fill="CCE8CF"/>
        <w:wordWrap w:val="0"/>
        <w:spacing w:before="150" w:after="75"/>
        <w:jc w:val="left"/>
        <w:outlineLvl w:val="2"/>
        <w:rPr>
          <w:rFonts w:ascii="Segoe UI" w:eastAsia="宋体" w:hAnsi="Segoe UI" w:cs="Segoe UI"/>
          <w:b/>
          <w:bCs/>
          <w:color w:val="333333"/>
          <w:kern w:val="0"/>
          <w:sz w:val="29"/>
          <w:szCs w:val="29"/>
        </w:rPr>
      </w:pPr>
      <w:r w:rsidRPr="00983E94">
        <w:rPr>
          <w:rFonts w:ascii="Segoe UI" w:eastAsia="宋体" w:hAnsi="Segoe UI" w:cs="Segoe UI"/>
          <w:b/>
          <w:bCs/>
          <w:color w:val="333333"/>
          <w:kern w:val="0"/>
          <w:sz w:val="29"/>
          <w:szCs w:val="29"/>
        </w:rPr>
        <w:t>模型搭建与因子选择</w:t>
      </w:r>
    </w:p>
    <w:p w:rsidR="00983E94" w:rsidRPr="00983E94" w:rsidRDefault="00983E94" w:rsidP="00983E94">
      <w:pPr>
        <w:widowControl/>
        <w:shd w:val="clear" w:color="auto" w:fill="CCE8CF"/>
        <w:wordWrap w:val="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从上文我们能够看出，某个时间点上，股票的市值可以被多个因素解释。根据多因子策略的基本思路，我们在截面上将市值对多个因子进行回归，得到的残差值越小，说明股票市值向下偏离其理论值越严重，也就意味着该股票未来上涨的可能性越大。</w:t>
      </w:r>
      <w:r w:rsidRPr="00983E94">
        <w:rPr>
          <w:rFonts w:ascii="Segoe UI" w:eastAsia="宋体" w:hAnsi="Segoe UI" w:cs="Segoe UI"/>
          <w:color w:val="333333"/>
          <w:kern w:val="0"/>
          <w:sz w:val="24"/>
          <w:szCs w:val="24"/>
        </w:rPr>
        <w:br/>
      </w:r>
      <w:r w:rsidRPr="00983E94">
        <w:rPr>
          <w:rFonts w:ascii="Segoe UI" w:eastAsia="宋体" w:hAnsi="Segoe UI" w:cs="Segoe UI"/>
          <w:color w:val="333333"/>
          <w:kern w:val="0"/>
          <w:sz w:val="24"/>
          <w:szCs w:val="24"/>
        </w:rPr>
        <w:t>而在选择因子方面，我们结合两篇文献，选择了以下财务指标作为解释因子的自变量：对数净资产，对数净利润，公司财务杠杆，营业收入增长率，对数开发支出，以及行业虚拟变量。</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在回归方法上，我们首先采用了最传统的多元线性回归：</w:t>
      </w:r>
    </w:p>
    <w:p w:rsidR="00983E94" w:rsidRPr="00983E94" w:rsidRDefault="00983E94" w:rsidP="00983E94">
      <w:pPr>
        <w:widowControl/>
        <w:shd w:val="clear" w:color="auto" w:fill="CCE8CF"/>
        <w:wordWrap w:val="0"/>
        <w:jc w:val="center"/>
        <w:rPr>
          <w:rFonts w:ascii="宋体" w:eastAsia="宋体" w:hAnsi="宋体" w:cs="宋体"/>
          <w:kern w:val="0"/>
          <w:sz w:val="24"/>
          <w:szCs w:val="24"/>
          <w:bdr w:val="none" w:sz="0" w:space="0" w:color="auto" w:frame="1"/>
        </w:rPr>
      </w:pPr>
      <w:r w:rsidRPr="00983E94">
        <w:rPr>
          <w:rFonts w:ascii="MathJax_Math-italic" w:eastAsia="宋体" w:hAnsi="MathJax_Math-italic" w:cs="Segoe UI"/>
          <w:color w:val="333333"/>
          <w:kern w:val="0"/>
          <w:sz w:val="28"/>
          <w:szCs w:val="28"/>
          <w:bdr w:val="none" w:sz="0" w:space="0" w:color="auto" w:frame="1"/>
        </w:rPr>
        <w:t>m</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0</w:t>
      </w:r>
      <w:r w:rsidRPr="00983E94">
        <w:rPr>
          <w:rFonts w:ascii="MathJax_Main" w:eastAsia="宋体" w:hAnsi="MathJax_Main" w:cs="Segoe UI"/>
          <w:color w:val="333333"/>
          <w:kern w:val="0"/>
          <w:sz w:val="28"/>
          <w:szCs w:val="28"/>
          <w:bdr w:val="none" w:sz="0" w:space="0" w:color="auto" w:frame="1"/>
        </w:rPr>
        <w:t>IND+</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1</w:t>
      </w:r>
      <w:r w:rsidRPr="00983E94">
        <w:rPr>
          <w:rFonts w:ascii="MathJax_Math-italic" w:eastAsia="宋体" w:hAnsi="MathJax_Math-italic" w:cs="Segoe UI"/>
          <w:color w:val="333333"/>
          <w:kern w:val="0"/>
          <w:sz w:val="28"/>
          <w:szCs w:val="28"/>
          <w:bdr w:val="none" w:sz="0" w:space="0" w:color="auto" w:frame="1"/>
        </w:rPr>
        <w:t>b</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2</w:t>
      </w:r>
      <w:r w:rsidRPr="00983E94">
        <w:rPr>
          <w:rFonts w:ascii="MathJax_Main" w:eastAsia="宋体" w:hAnsi="MathJax_Main" w:cs="Segoe UI"/>
          <w:color w:val="333333"/>
          <w:kern w:val="0"/>
          <w:sz w:val="28"/>
          <w:szCs w:val="28"/>
          <w:bdr w:val="none" w:sz="0" w:space="0" w:color="auto" w:frame="1"/>
        </w:rPr>
        <w:t>ln(NI)</w:t>
      </w:r>
      <w:r w:rsidRPr="00983E94">
        <w:rPr>
          <w:rFonts w:ascii="MathJax_Main" w:eastAsia="宋体" w:hAnsi="MathJax_Main" w:cs="Segoe UI"/>
          <w:color w:val="333333"/>
          <w:kern w:val="0"/>
          <w:sz w:val="20"/>
          <w:szCs w:val="20"/>
          <w:bdr w:val="none" w:sz="0" w:space="0" w:color="auto" w:frame="1"/>
        </w:rPr>
        <w:t>+</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3</w:t>
      </w:r>
      <w:r w:rsidRPr="00983E94">
        <w:rPr>
          <w:rFonts w:ascii="MathJax_Main" w:eastAsia="宋体" w:hAnsi="MathJax_Main" w:cs="Segoe UI"/>
          <w:color w:val="333333"/>
          <w:kern w:val="0"/>
          <w:sz w:val="28"/>
          <w:szCs w:val="28"/>
          <w:bdr w:val="none" w:sz="0" w:space="0" w:color="auto" w:frame="1"/>
        </w:rPr>
        <w:t>I</w:t>
      </w:r>
      <w:r w:rsidRPr="00983E94">
        <w:rPr>
          <w:rFonts w:ascii="MathJax_Main" w:eastAsia="宋体" w:hAnsi="MathJax_Main" w:cs="Segoe UI"/>
          <w:color w:val="333333"/>
          <w:kern w:val="0"/>
          <w:sz w:val="20"/>
          <w:szCs w:val="20"/>
          <w:bdr w:val="none" w:sz="0" w:space="0" w:color="auto" w:frame="1"/>
        </w:rPr>
        <w:t>(&lt;0)</w:t>
      </w:r>
      <w:r w:rsidRPr="00983E94">
        <w:rPr>
          <w:rFonts w:ascii="MathJax_Main" w:eastAsia="宋体" w:hAnsi="MathJax_Main" w:cs="Segoe UI"/>
          <w:color w:val="333333"/>
          <w:kern w:val="0"/>
          <w:sz w:val="28"/>
          <w:szCs w:val="28"/>
          <w:bdr w:val="none" w:sz="0" w:space="0" w:color="auto" w:frame="1"/>
        </w:rPr>
        <w:t>ln(NI)</w:t>
      </w:r>
      <w:r w:rsidRPr="00983E94">
        <w:rPr>
          <w:rFonts w:ascii="MathJax_Main" w:eastAsia="宋体" w:hAnsi="MathJax_Main" w:cs="Segoe UI"/>
          <w:color w:val="333333"/>
          <w:kern w:val="0"/>
          <w:sz w:val="20"/>
          <w:szCs w:val="20"/>
          <w:bdr w:val="none" w:sz="0" w:space="0" w:color="auto" w:frame="1"/>
        </w:rPr>
        <w:t>+</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4</w:t>
      </w:r>
      <w:r w:rsidRPr="00983E94">
        <w:rPr>
          <w:rFonts w:ascii="MathJax_Main" w:eastAsia="宋体" w:hAnsi="MathJax_Main" w:cs="Segoe UI"/>
          <w:color w:val="333333"/>
          <w:kern w:val="0"/>
          <w:sz w:val="28"/>
          <w:szCs w:val="28"/>
          <w:bdr w:val="none" w:sz="0" w:space="0" w:color="auto" w:frame="1"/>
        </w:rPr>
        <w:t>LEV+</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5</w:t>
      </w:r>
      <w:r w:rsidRPr="00983E94">
        <w:rPr>
          <w:rFonts w:ascii="MathJax_Math-italic" w:eastAsia="宋体" w:hAnsi="MathJax_Math-italic" w:cs="Segoe UI"/>
          <w:color w:val="333333"/>
          <w:kern w:val="0"/>
          <w:sz w:val="28"/>
          <w:szCs w:val="28"/>
          <w:bdr w:val="none" w:sz="0" w:space="0" w:color="auto" w:frame="1"/>
        </w:rPr>
        <w:t>g</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6</w:t>
      </w:r>
      <w:r w:rsidRPr="00983E94">
        <w:rPr>
          <w:rFonts w:ascii="MathJax_Main" w:eastAsia="宋体" w:hAnsi="MathJax_Main" w:cs="Segoe UI"/>
          <w:color w:val="333333"/>
          <w:kern w:val="0"/>
          <w:sz w:val="28"/>
          <w:szCs w:val="28"/>
          <w:bdr w:val="none" w:sz="0" w:space="0" w:color="auto" w:frame="1"/>
        </w:rPr>
        <w:t>RD+</w:t>
      </w:r>
      <w:r w:rsidRPr="00983E94">
        <w:rPr>
          <w:rFonts w:ascii="MathJax_Math-italic" w:eastAsia="宋体" w:hAnsi="MathJax_Math-italic" w:cs="Segoe UI"/>
          <w:color w:val="333333"/>
          <w:kern w:val="0"/>
          <w:sz w:val="28"/>
          <w:szCs w:val="28"/>
          <w:bdr w:val="none" w:sz="0" w:space="0" w:color="auto" w:frame="1"/>
        </w:rPr>
        <w:t>ε</w:t>
      </w:r>
    </w:p>
    <w:p w:rsidR="00983E94" w:rsidRPr="00983E94" w:rsidRDefault="00983E94" w:rsidP="00983E94">
      <w:pPr>
        <w:widowControl/>
        <w:shd w:val="clear" w:color="auto" w:fill="CCE8CF"/>
        <w:wordWrap w:val="0"/>
        <w:jc w:val="center"/>
        <w:rPr>
          <w:rFonts w:ascii="宋体" w:eastAsia="宋体" w:hAnsi="宋体" w:cs="宋体"/>
          <w:kern w:val="0"/>
          <w:sz w:val="24"/>
          <w:szCs w:val="24"/>
        </w:rPr>
      </w:pPr>
      <w:r w:rsidRPr="00983E94">
        <w:rPr>
          <w:rFonts w:ascii="MathJax_Math-italic" w:eastAsia="宋体" w:hAnsi="MathJax_Math-italic" w:cs="Segoe UI"/>
          <w:color w:val="333333"/>
          <w:kern w:val="0"/>
          <w:sz w:val="28"/>
          <w:szCs w:val="28"/>
          <w:bdr w:val="none" w:sz="0" w:space="0" w:color="auto" w:frame="1"/>
        </w:rPr>
        <w:t>m</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0</w:t>
      </w:r>
      <w:r w:rsidRPr="00983E94">
        <w:rPr>
          <w:rFonts w:ascii="MathJax_Main" w:eastAsia="宋体" w:hAnsi="MathJax_Main" w:cs="Segoe UI"/>
          <w:color w:val="333333"/>
          <w:kern w:val="0"/>
          <w:sz w:val="28"/>
          <w:szCs w:val="28"/>
          <w:bdr w:val="none" w:sz="0" w:space="0" w:color="auto" w:frame="1"/>
        </w:rPr>
        <w:t>IND+</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1</w:t>
      </w:r>
      <w:r w:rsidRPr="00983E94">
        <w:rPr>
          <w:rFonts w:ascii="MathJax_Math-italic" w:eastAsia="宋体" w:hAnsi="MathJax_Math-italic" w:cs="Segoe UI"/>
          <w:color w:val="333333"/>
          <w:kern w:val="0"/>
          <w:sz w:val="28"/>
          <w:szCs w:val="28"/>
          <w:bdr w:val="none" w:sz="0" w:space="0" w:color="auto" w:frame="1"/>
        </w:rPr>
        <w:t>b</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2</w:t>
      </w:r>
      <w:r w:rsidRPr="00983E94">
        <w:rPr>
          <w:rFonts w:ascii="MathJax_Main" w:eastAsia="宋体" w:hAnsi="MathJax_Main" w:cs="Segoe UI"/>
          <w:color w:val="333333"/>
          <w:kern w:val="0"/>
          <w:sz w:val="28"/>
          <w:szCs w:val="28"/>
          <w:bdr w:val="none" w:sz="0" w:space="0" w:color="auto" w:frame="1"/>
        </w:rPr>
        <w:t>ln(NI)</w:t>
      </w:r>
      <w:r w:rsidRPr="00983E94">
        <w:rPr>
          <w:rFonts w:ascii="MathJax_Main" w:eastAsia="宋体" w:hAnsi="MathJax_Main" w:cs="Segoe UI"/>
          <w:color w:val="333333"/>
          <w:kern w:val="0"/>
          <w:sz w:val="20"/>
          <w:szCs w:val="20"/>
          <w:bdr w:val="none" w:sz="0" w:space="0" w:color="auto" w:frame="1"/>
        </w:rPr>
        <w:t>+</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3</w:t>
      </w:r>
      <w:r w:rsidRPr="00983E94">
        <w:rPr>
          <w:rFonts w:ascii="MathJax_Main" w:eastAsia="宋体" w:hAnsi="MathJax_Main" w:cs="Segoe UI"/>
          <w:color w:val="333333"/>
          <w:kern w:val="0"/>
          <w:sz w:val="28"/>
          <w:szCs w:val="28"/>
          <w:bdr w:val="none" w:sz="0" w:space="0" w:color="auto" w:frame="1"/>
        </w:rPr>
        <w:t>I</w:t>
      </w:r>
      <w:r w:rsidRPr="00983E94">
        <w:rPr>
          <w:rFonts w:ascii="MathJax_Main" w:eastAsia="宋体" w:hAnsi="MathJax_Main" w:cs="Segoe UI"/>
          <w:color w:val="333333"/>
          <w:kern w:val="0"/>
          <w:sz w:val="20"/>
          <w:szCs w:val="20"/>
          <w:bdr w:val="none" w:sz="0" w:space="0" w:color="auto" w:frame="1"/>
        </w:rPr>
        <w:t>(&lt;0)</w:t>
      </w:r>
      <w:r w:rsidRPr="00983E94">
        <w:rPr>
          <w:rFonts w:ascii="MathJax_Main" w:eastAsia="宋体" w:hAnsi="MathJax_Main" w:cs="Segoe UI"/>
          <w:color w:val="333333"/>
          <w:kern w:val="0"/>
          <w:sz w:val="28"/>
          <w:szCs w:val="28"/>
          <w:bdr w:val="none" w:sz="0" w:space="0" w:color="auto" w:frame="1"/>
        </w:rPr>
        <w:t>ln(NI)</w:t>
      </w:r>
      <w:r w:rsidRPr="00983E94">
        <w:rPr>
          <w:rFonts w:ascii="MathJax_Main" w:eastAsia="宋体" w:hAnsi="MathJax_Main" w:cs="Segoe UI"/>
          <w:color w:val="333333"/>
          <w:kern w:val="0"/>
          <w:sz w:val="20"/>
          <w:szCs w:val="20"/>
          <w:bdr w:val="none" w:sz="0" w:space="0" w:color="auto" w:frame="1"/>
        </w:rPr>
        <w:t>+</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4</w:t>
      </w:r>
      <w:r w:rsidRPr="00983E94">
        <w:rPr>
          <w:rFonts w:ascii="MathJax_Main" w:eastAsia="宋体" w:hAnsi="MathJax_Main" w:cs="Segoe UI"/>
          <w:color w:val="333333"/>
          <w:kern w:val="0"/>
          <w:sz w:val="28"/>
          <w:szCs w:val="28"/>
          <w:bdr w:val="none" w:sz="0" w:space="0" w:color="auto" w:frame="1"/>
        </w:rPr>
        <w:t>LEV+</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5</w:t>
      </w:r>
      <w:r w:rsidRPr="00983E94">
        <w:rPr>
          <w:rFonts w:ascii="MathJax_Math-italic" w:eastAsia="宋体" w:hAnsi="MathJax_Math-italic" w:cs="Segoe UI"/>
          <w:color w:val="333333"/>
          <w:kern w:val="0"/>
          <w:sz w:val="28"/>
          <w:szCs w:val="28"/>
          <w:bdr w:val="none" w:sz="0" w:space="0" w:color="auto" w:frame="1"/>
        </w:rPr>
        <w:t>g</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6</w:t>
      </w:r>
      <w:r w:rsidRPr="00983E94">
        <w:rPr>
          <w:rFonts w:ascii="MathJax_Main" w:eastAsia="宋体" w:hAnsi="MathJax_Main" w:cs="Segoe UI"/>
          <w:color w:val="333333"/>
          <w:kern w:val="0"/>
          <w:sz w:val="28"/>
          <w:szCs w:val="28"/>
          <w:bdr w:val="none" w:sz="0" w:space="0" w:color="auto" w:frame="1"/>
        </w:rPr>
        <w:t>RD+</w:t>
      </w:r>
      <w:r w:rsidRPr="00983E94">
        <w:rPr>
          <w:rFonts w:ascii="MathJax_Math-italic" w:eastAsia="宋体" w:hAnsi="MathJax_Math-italic" w:cs="Segoe UI"/>
          <w:color w:val="333333"/>
          <w:kern w:val="0"/>
          <w:sz w:val="28"/>
          <w:szCs w:val="28"/>
          <w:bdr w:val="none" w:sz="0" w:space="0" w:color="auto" w:frame="1"/>
        </w:rPr>
        <w:t>ε</w:t>
      </w:r>
      <w:r w:rsidRPr="00983E94">
        <w:rPr>
          <w:rFonts w:ascii="Segoe UI" w:eastAsia="宋体" w:hAnsi="Segoe UI" w:cs="Segoe UI"/>
          <w:color w:val="333333"/>
          <w:kern w:val="0"/>
          <w:sz w:val="24"/>
          <w:szCs w:val="24"/>
          <w:bdr w:val="none" w:sz="0" w:space="0" w:color="auto" w:frame="1"/>
        </w:rPr>
        <w:t>m=α0IND+α1b+α2ln</w:t>
      </w:r>
      <w:r w:rsidRPr="00983E94">
        <w:rPr>
          <w:rFonts w:ascii="Cambria Math" w:eastAsia="宋体" w:hAnsi="Cambria Math" w:cs="Cambria Math"/>
          <w:color w:val="333333"/>
          <w:kern w:val="0"/>
          <w:sz w:val="24"/>
          <w:szCs w:val="24"/>
          <w:bdr w:val="none" w:sz="0" w:space="0" w:color="auto" w:frame="1"/>
        </w:rPr>
        <w:t>⁡</w:t>
      </w:r>
      <w:r w:rsidRPr="00983E94">
        <w:rPr>
          <w:rFonts w:ascii="Segoe UI" w:eastAsia="宋体" w:hAnsi="Segoe UI" w:cs="Segoe UI"/>
          <w:color w:val="333333"/>
          <w:kern w:val="0"/>
          <w:sz w:val="24"/>
          <w:szCs w:val="24"/>
          <w:bdr w:val="none" w:sz="0" w:space="0" w:color="auto" w:frame="1"/>
        </w:rPr>
        <w:t>(NI)++α3I(&lt;0)ln</w:t>
      </w:r>
      <w:r w:rsidRPr="00983E94">
        <w:rPr>
          <w:rFonts w:ascii="Cambria Math" w:eastAsia="宋体" w:hAnsi="Cambria Math" w:cs="Cambria Math"/>
          <w:color w:val="333333"/>
          <w:kern w:val="0"/>
          <w:sz w:val="24"/>
          <w:szCs w:val="24"/>
          <w:bdr w:val="none" w:sz="0" w:space="0" w:color="auto" w:frame="1"/>
        </w:rPr>
        <w:t>⁡</w:t>
      </w:r>
      <w:r w:rsidRPr="00983E94">
        <w:rPr>
          <w:rFonts w:ascii="Segoe UI" w:eastAsia="宋体" w:hAnsi="Segoe UI" w:cs="Segoe UI"/>
          <w:color w:val="333333"/>
          <w:kern w:val="0"/>
          <w:sz w:val="24"/>
          <w:szCs w:val="24"/>
          <w:bdr w:val="none" w:sz="0" w:space="0" w:color="auto" w:frame="1"/>
        </w:rPr>
        <w:t>(NI)++α4LEV+α5g+α6RD+ε</w:t>
      </w:r>
    </w:p>
    <w:p w:rsidR="00983E94" w:rsidRPr="00983E94" w:rsidRDefault="00983E94" w:rsidP="00983E94">
      <w:pPr>
        <w:widowControl/>
        <w:shd w:val="clear" w:color="auto" w:fill="CCE8CF"/>
        <w:wordWrap w:val="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其中</w:t>
      </w:r>
      <w:r w:rsidRPr="00983E94">
        <w:rPr>
          <w:rFonts w:ascii="MathJax_Math-italic" w:eastAsia="宋体" w:hAnsi="MathJax_Math-italic" w:cs="Segoe UI"/>
          <w:color w:val="333333"/>
          <w:kern w:val="0"/>
          <w:sz w:val="28"/>
          <w:szCs w:val="28"/>
          <w:bdr w:val="none" w:sz="0" w:space="0" w:color="auto" w:frame="1"/>
        </w:rPr>
        <w:t>mm</w:t>
      </w:r>
      <w:r w:rsidRPr="00983E94">
        <w:rPr>
          <w:rFonts w:ascii="Segoe UI" w:eastAsia="宋体" w:hAnsi="Segoe UI" w:cs="Segoe UI"/>
          <w:color w:val="333333"/>
          <w:kern w:val="0"/>
          <w:sz w:val="24"/>
          <w:szCs w:val="24"/>
          <w:bdr w:val="none" w:sz="0" w:space="0" w:color="auto" w:frame="1"/>
        </w:rPr>
        <w:t>m</w:t>
      </w:r>
      <w:r w:rsidRPr="00983E94">
        <w:rPr>
          <w:rFonts w:ascii="Segoe UI" w:eastAsia="宋体" w:hAnsi="Segoe UI" w:cs="Segoe UI"/>
          <w:color w:val="333333"/>
          <w:kern w:val="0"/>
          <w:sz w:val="24"/>
          <w:szCs w:val="24"/>
        </w:rPr>
        <w:t>为个股的对数市值，</w:t>
      </w:r>
      <w:r w:rsidRPr="00983E94">
        <w:rPr>
          <w:rFonts w:ascii="MathJax_Main" w:eastAsia="宋体" w:hAnsi="MathJax_Main" w:cs="Segoe UI"/>
          <w:color w:val="333333"/>
          <w:kern w:val="0"/>
          <w:sz w:val="28"/>
          <w:szCs w:val="28"/>
          <w:bdr w:val="none" w:sz="0" w:space="0" w:color="auto" w:frame="1"/>
        </w:rPr>
        <w:t>INDIND</w:t>
      </w:r>
      <w:r w:rsidRPr="00983E94">
        <w:rPr>
          <w:rFonts w:ascii="Segoe UI" w:eastAsia="宋体" w:hAnsi="Segoe UI" w:cs="Segoe UI"/>
          <w:color w:val="333333"/>
          <w:kern w:val="0"/>
          <w:sz w:val="24"/>
          <w:szCs w:val="24"/>
          <w:bdr w:val="none" w:sz="0" w:space="0" w:color="auto" w:frame="1"/>
        </w:rPr>
        <w:t>IND</w:t>
      </w:r>
      <w:r w:rsidRPr="00983E94">
        <w:rPr>
          <w:rFonts w:ascii="Segoe UI" w:eastAsia="宋体" w:hAnsi="Segoe UI" w:cs="Segoe UI"/>
          <w:color w:val="333333"/>
          <w:kern w:val="0"/>
          <w:sz w:val="24"/>
          <w:szCs w:val="24"/>
        </w:rPr>
        <w:t>为行业虚拟变量矩阵（若该股属于某行业，则将这一行业虚拟变量的值设为</w:t>
      </w:r>
      <w:r w:rsidRPr="00983E94">
        <w:rPr>
          <w:rFonts w:ascii="Segoe UI" w:eastAsia="宋体" w:hAnsi="Segoe UI" w:cs="Segoe UI"/>
          <w:color w:val="333333"/>
          <w:kern w:val="0"/>
          <w:sz w:val="24"/>
          <w:szCs w:val="24"/>
        </w:rPr>
        <w:t>1</w:t>
      </w:r>
      <w:r w:rsidRPr="00983E94">
        <w:rPr>
          <w:rFonts w:ascii="Segoe UI" w:eastAsia="宋体" w:hAnsi="Segoe UI" w:cs="Segoe UI"/>
          <w:color w:val="333333"/>
          <w:kern w:val="0"/>
          <w:sz w:val="24"/>
          <w:szCs w:val="24"/>
        </w:rPr>
        <w:t>，其他行业虚拟变量的值设为</w:t>
      </w:r>
      <w:r w:rsidRPr="00983E94">
        <w:rPr>
          <w:rFonts w:ascii="Segoe UI" w:eastAsia="宋体" w:hAnsi="Segoe UI" w:cs="Segoe UI"/>
          <w:color w:val="333333"/>
          <w:kern w:val="0"/>
          <w:sz w:val="24"/>
          <w:szCs w:val="24"/>
        </w:rPr>
        <w:t>0</w:t>
      </w:r>
      <w:r w:rsidRPr="00983E94">
        <w:rPr>
          <w:rFonts w:ascii="Segoe UI" w:eastAsia="宋体" w:hAnsi="Segoe UI" w:cs="Segoe UI"/>
          <w:color w:val="333333"/>
          <w:kern w:val="0"/>
          <w:sz w:val="24"/>
          <w:szCs w:val="24"/>
        </w:rPr>
        <w:t>），</w:t>
      </w:r>
      <w:r w:rsidRPr="00983E94">
        <w:rPr>
          <w:rFonts w:ascii="MathJax_Math-italic" w:eastAsia="宋体" w:hAnsi="MathJax_Math-italic" w:cs="Segoe UI"/>
          <w:color w:val="333333"/>
          <w:kern w:val="0"/>
          <w:sz w:val="28"/>
          <w:szCs w:val="28"/>
          <w:bdr w:val="none" w:sz="0" w:space="0" w:color="auto" w:frame="1"/>
        </w:rPr>
        <w:t>bb</w:t>
      </w:r>
      <w:r w:rsidRPr="00983E94">
        <w:rPr>
          <w:rFonts w:ascii="Segoe UI" w:eastAsia="宋体" w:hAnsi="Segoe UI" w:cs="Segoe UI"/>
          <w:color w:val="333333"/>
          <w:kern w:val="0"/>
          <w:sz w:val="24"/>
          <w:szCs w:val="24"/>
          <w:bdr w:val="none" w:sz="0" w:space="0" w:color="auto" w:frame="1"/>
        </w:rPr>
        <w:t>b</w:t>
      </w:r>
      <w:r w:rsidRPr="00983E94">
        <w:rPr>
          <w:rFonts w:ascii="Segoe UI" w:eastAsia="宋体" w:hAnsi="Segoe UI" w:cs="Segoe UI"/>
          <w:color w:val="333333"/>
          <w:kern w:val="0"/>
          <w:sz w:val="24"/>
          <w:szCs w:val="24"/>
        </w:rPr>
        <w:t>为个股的对数净资产，</w:t>
      </w:r>
      <w:r w:rsidRPr="00983E94">
        <w:rPr>
          <w:rFonts w:ascii="MathJax_Main" w:eastAsia="宋体" w:hAnsi="MathJax_Main" w:cs="Segoe UI"/>
          <w:color w:val="333333"/>
          <w:kern w:val="0"/>
          <w:sz w:val="28"/>
          <w:szCs w:val="28"/>
          <w:bdr w:val="none" w:sz="0" w:space="0" w:color="auto" w:frame="1"/>
        </w:rPr>
        <w:t>NINI</w:t>
      </w:r>
      <w:r w:rsidRPr="00983E94">
        <w:rPr>
          <w:rFonts w:ascii="Segoe UI" w:eastAsia="宋体" w:hAnsi="Segoe UI" w:cs="Segoe UI"/>
          <w:color w:val="333333"/>
          <w:kern w:val="0"/>
          <w:sz w:val="24"/>
          <w:szCs w:val="24"/>
          <w:bdr w:val="none" w:sz="0" w:space="0" w:color="auto" w:frame="1"/>
        </w:rPr>
        <w:t>NI</w:t>
      </w:r>
      <w:r w:rsidRPr="00983E94">
        <w:rPr>
          <w:rFonts w:ascii="Segoe UI" w:eastAsia="宋体" w:hAnsi="Segoe UI" w:cs="Segoe UI"/>
          <w:color w:val="333333"/>
          <w:kern w:val="0"/>
          <w:sz w:val="24"/>
          <w:szCs w:val="24"/>
        </w:rPr>
        <w:t>为公司净利润，这里注意，为了区分净利润的正负，我们增加了一个代表正负的虚拟变量，当且仅当净利润为负时，这个虚拟变量的值为</w:t>
      </w:r>
      <w:r w:rsidRPr="00983E94">
        <w:rPr>
          <w:rFonts w:ascii="Segoe UI" w:eastAsia="宋体" w:hAnsi="Segoe UI" w:cs="Segoe UI"/>
          <w:color w:val="333333"/>
          <w:kern w:val="0"/>
          <w:sz w:val="24"/>
          <w:szCs w:val="24"/>
        </w:rPr>
        <w:t>1</w:t>
      </w:r>
      <w:r w:rsidRPr="00983E94">
        <w:rPr>
          <w:rFonts w:ascii="Segoe UI" w:eastAsia="宋体" w:hAnsi="Segoe UI" w:cs="Segoe UI"/>
          <w:color w:val="333333"/>
          <w:kern w:val="0"/>
          <w:sz w:val="24"/>
          <w:szCs w:val="24"/>
        </w:rPr>
        <w:t>，并且我们取净利润绝对值的对数作为自变量。</w:t>
      </w:r>
      <w:r w:rsidRPr="00983E94">
        <w:rPr>
          <w:rFonts w:ascii="MathJax_Main" w:eastAsia="宋体" w:hAnsi="MathJax_Main" w:cs="Segoe UI"/>
          <w:color w:val="333333"/>
          <w:kern w:val="0"/>
          <w:sz w:val="28"/>
          <w:szCs w:val="28"/>
          <w:bdr w:val="none" w:sz="0" w:space="0" w:color="auto" w:frame="1"/>
        </w:rPr>
        <w:t>LE</w:t>
      </w:r>
      <w:r w:rsidRPr="00983E94">
        <w:rPr>
          <w:rFonts w:ascii="MathJax_Main" w:eastAsia="宋体" w:hAnsi="MathJax_Main" w:cs="Segoe UI"/>
          <w:color w:val="333333"/>
          <w:kern w:val="0"/>
          <w:sz w:val="28"/>
          <w:szCs w:val="28"/>
          <w:bdr w:val="none" w:sz="0" w:space="0" w:color="auto" w:frame="1"/>
        </w:rPr>
        <w:lastRenderedPageBreak/>
        <w:t>VLEV</w:t>
      </w:r>
      <w:r w:rsidRPr="00983E94">
        <w:rPr>
          <w:rFonts w:ascii="Segoe UI" w:eastAsia="宋体" w:hAnsi="Segoe UI" w:cs="Segoe UI"/>
          <w:color w:val="333333"/>
          <w:kern w:val="0"/>
          <w:sz w:val="24"/>
          <w:szCs w:val="24"/>
          <w:bdr w:val="none" w:sz="0" w:space="0" w:color="auto" w:frame="1"/>
        </w:rPr>
        <w:t>LEV</w:t>
      </w:r>
      <w:r w:rsidRPr="00983E94">
        <w:rPr>
          <w:rFonts w:ascii="Segoe UI" w:eastAsia="宋体" w:hAnsi="Segoe UI" w:cs="Segoe UI"/>
          <w:color w:val="333333"/>
          <w:kern w:val="0"/>
          <w:sz w:val="24"/>
          <w:szCs w:val="24"/>
        </w:rPr>
        <w:t>为公司的财务杠杆（负债除以资产），</w:t>
      </w:r>
      <w:r w:rsidRPr="00983E94">
        <w:rPr>
          <w:rFonts w:ascii="MathJax_Math-italic" w:eastAsia="宋体" w:hAnsi="MathJax_Math-italic" w:cs="Segoe UI"/>
          <w:color w:val="333333"/>
          <w:kern w:val="0"/>
          <w:sz w:val="28"/>
          <w:szCs w:val="28"/>
          <w:bdr w:val="none" w:sz="0" w:space="0" w:color="auto" w:frame="1"/>
        </w:rPr>
        <w:t>gg</w:t>
      </w:r>
      <w:r w:rsidRPr="00983E94">
        <w:rPr>
          <w:rFonts w:ascii="Segoe UI" w:eastAsia="宋体" w:hAnsi="Segoe UI" w:cs="Segoe UI"/>
          <w:color w:val="333333"/>
          <w:kern w:val="0"/>
          <w:sz w:val="24"/>
          <w:szCs w:val="24"/>
          <w:bdr w:val="none" w:sz="0" w:space="0" w:color="auto" w:frame="1"/>
        </w:rPr>
        <w:t>g</w:t>
      </w:r>
      <w:r w:rsidRPr="00983E94">
        <w:rPr>
          <w:rFonts w:ascii="Segoe UI" w:eastAsia="宋体" w:hAnsi="Segoe UI" w:cs="Segoe UI"/>
          <w:color w:val="333333"/>
          <w:kern w:val="0"/>
          <w:sz w:val="24"/>
          <w:szCs w:val="24"/>
        </w:rPr>
        <w:t>为营业收入的增长率（年度同比），</w:t>
      </w:r>
      <w:r w:rsidRPr="00983E94">
        <w:rPr>
          <w:rFonts w:ascii="MathJax_Main" w:eastAsia="宋体" w:hAnsi="MathJax_Main" w:cs="Segoe UI"/>
          <w:color w:val="333333"/>
          <w:kern w:val="0"/>
          <w:sz w:val="28"/>
          <w:szCs w:val="28"/>
          <w:bdr w:val="none" w:sz="0" w:space="0" w:color="auto" w:frame="1"/>
        </w:rPr>
        <w:t>RDRD</w:t>
      </w:r>
      <w:r w:rsidRPr="00983E94">
        <w:rPr>
          <w:rFonts w:ascii="Segoe UI" w:eastAsia="宋体" w:hAnsi="Segoe UI" w:cs="Segoe UI"/>
          <w:color w:val="333333"/>
          <w:kern w:val="0"/>
          <w:sz w:val="24"/>
          <w:szCs w:val="24"/>
          <w:bdr w:val="none" w:sz="0" w:space="0" w:color="auto" w:frame="1"/>
        </w:rPr>
        <w:t>RD</w:t>
      </w:r>
      <w:r w:rsidRPr="00983E94">
        <w:rPr>
          <w:rFonts w:ascii="Segoe UI" w:eastAsia="宋体" w:hAnsi="Segoe UI" w:cs="Segoe UI"/>
          <w:color w:val="333333"/>
          <w:kern w:val="0"/>
          <w:sz w:val="24"/>
          <w:szCs w:val="24"/>
        </w:rPr>
        <w:t>为对数开发支出（若没有则为</w:t>
      </w:r>
      <w:r w:rsidRPr="00983E94">
        <w:rPr>
          <w:rFonts w:ascii="Segoe UI" w:eastAsia="宋体" w:hAnsi="Segoe UI" w:cs="Segoe UI"/>
          <w:color w:val="333333"/>
          <w:kern w:val="0"/>
          <w:sz w:val="24"/>
          <w:szCs w:val="24"/>
        </w:rPr>
        <w:t>0</w:t>
      </w:r>
      <w:r w:rsidRPr="00983E94">
        <w:rPr>
          <w:rFonts w:ascii="Segoe UI" w:eastAsia="宋体" w:hAnsi="Segoe UI" w:cs="Segoe UI"/>
          <w:color w:val="333333"/>
          <w:kern w:val="0"/>
          <w:sz w:val="24"/>
          <w:szCs w:val="24"/>
        </w:rPr>
        <w:t>）。</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除了多元线性回归，我们尝试了包含随机网络、</w:t>
      </w:r>
      <w:r w:rsidRPr="00983E94">
        <w:rPr>
          <w:rFonts w:ascii="Segoe UI" w:eastAsia="宋体" w:hAnsi="Segoe UI" w:cs="Segoe UI"/>
          <w:color w:val="333333"/>
          <w:kern w:val="0"/>
          <w:sz w:val="24"/>
          <w:szCs w:val="24"/>
        </w:rPr>
        <w:t>Adaboost</w:t>
      </w:r>
      <w:r w:rsidRPr="00983E94">
        <w:rPr>
          <w:rFonts w:ascii="Segoe UI" w:eastAsia="宋体" w:hAnsi="Segoe UI" w:cs="Segoe UI"/>
          <w:color w:val="333333"/>
          <w:kern w:val="0"/>
          <w:sz w:val="24"/>
          <w:szCs w:val="24"/>
        </w:rPr>
        <w:t>、支持向量机回归的多种机器学习回归算法，发现随机森林回归和支持向量机回归表现较好，接下来我们对这两种机器学习算法进行简要介绍。</w:t>
      </w:r>
    </w:p>
    <w:p w:rsidR="00983E94" w:rsidRPr="00983E94" w:rsidRDefault="00983E94" w:rsidP="00983E94">
      <w:pPr>
        <w:widowControl/>
        <w:shd w:val="clear" w:color="auto" w:fill="CCE8CF"/>
        <w:wordWrap w:val="0"/>
        <w:spacing w:before="150" w:after="75"/>
        <w:jc w:val="left"/>
        <w:outlineLvl w:val="3"/>
        <w:rPr>
          <w:rFonts w:ascii="Segoe UI" w:eastAsia="宋体" w:hAnsi="Segoe UI" w:cs="Segoe UI"/>
          <w:b/>
          <w:bCs/>
          <w:color w:val="333333"/>
          <w:kern w:val="0"/>
          <w:sz w:val="26"/>
          <w:szCs w:val="26"/>
        </w:rPr>
      </w:pPr>
      <w:r w:rsidRPr="00983E94">
        <w:rPr>
          <w:rFonts w:ascii="Segoe UI" w:eastAsia="宋体" w:hAnsi="Segoe UI" w:cs="Segoe UI"/>
          <w:b/>
          <w:bCs/>
          <w:color w:val="333333"/>
          <w:kern w:val="0"/>
          <w:sz w:val="26"/>
          <w:szCs w:val="26"/>
        </w:rPr>
        <w:t>随机森林回归</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随机森林是一种比较新的机器学习模型，它的基本思路是：多次有放回地在样本集中抽取样本，从全体特征中选择部分特征对模型进行训练，每次训练的结果对新实例进行预测时，随机森林需要整合其各个决策树的预测结果。解决回归问题时，每个树得到的预测结果为实数，最终的预测结果为各个树预测结果的平均值。</w:t>
      </w:r>
    </w:p>
    <w:p w:rsidR="00983E94" w:rsidRPr="00983E94" w:rsidRDefault="00983E94" w:rsidP="00983E94">
      <w:pPr>
        <w:widowControl/>
        <w:shd w:val="clear" w:color="auto" w:fill="CCE8CF"/>
        <w:wordWrap w:val="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更详细地关于决策树及随机森林算法的介绍，可以参考聚宽量化课堂关于该算法的专题介绍：</w:t>
      </w:r>
      <w:r w:rsidRPr="00983E94">
        <w:rPr>
          <w:rFonts w:ascii="Segoe UI" w:eastAsia="宋体" w:hAnsi="Segoe UI" w:cs="Segoe UI"/>
          <w:color w:val="333333"/>
          <w:kern w:val="0"/>
          <w:sz w:val="24"/>
          <w:szCs w:val="24"/>
        </w:rPr>
        <w:br/>
      </w:r>
      <w:hyperlink r:id="rId7" w:history="1">
        <w:r w:rsidRPr="00983E94">
          <w:rPr>
            <w:rFonts w:ascii="Segoe UI" w:eastAsia="宋体" w:hAnsi="Segoe UI" w:cs="Segoe UI"/>
            <w:color w:val="256DA8"/>
            <w:kern w:val="0"/>
            <w:sz w:val="24"/>
            <w:szCs w:val="24"/>
          </w:rPr>
          <w:t>《决策树入门及</w:t>
        </w:r>
        <w:r w:rsidRPr="00983E94">
          <w:rPr>
            <w:rFonts w:ascii="Segoe UI" w:eastAsia="宋体" w:hAnsi="Segoe UI" w:cs="Segoe UI"/>
            <w:color w:val="256DA8"/>
            <w:kern w:val="0"/>
            <w:sz w:val="24"/>
            <w:szCs w:val="24"/>
          </w:rPr>
          <w:t>Python</w:t>
        </w:r>
        <w:r w:rsidRPr="00983E94">
          <w:rPr>
            <w:rFonts w:ascii="Segoe UI" w:eastAsia="宋体" w:hAnsi="Segoe UI" w:cs="Segoe UI"/>
            <w:color w:val="256DA8"/>
            <w:kern w:val="0"/>
            <w:sz w:val="24"/>
            <w:szCs w:val="24"/>
          </w:rPr>
          <w:t>应用》</w:t>
        </w:r>
      </w:hyperlink>
      <w:r w:rsidRPr="00983E94">
        <w:rPr>
          <w:rFonts w:ascii="Segoe UI" w:eastAsia="宋体" w:hAnsi="Segoe UI" w:cs="Segoe UI"/>
          <w:color w:val="333333"/>
          <w:kern w:val="0"/>
          <w:sz w:val="24"/>
          <w:szCs w:val="24"/>
        </w:rPr>
        <w:br/>
      </w:r>
      <w:hyperlink r:id="rId8" w:history="1">
        <w:r w:rsidRPr="00983E94">
          <w:rPr>
            <w:rFonts w:ascii="Segoe UI" w:eastAsia="宋体" w:hAnsi="Segoe UI" w:cs="Segoe UI"/>
            <w:color w:val="256DA8"/>
            <w:kern w:val="0"/>
            <w:sz w:val="24"/>
            <w:szCs w:val="24"/>
          </w:rPr>
          <w:t>《随机森林入门》</w:t>
        </w:r>
      </w:hyperlink>
    </w:p>
    <w:p w:rsidR="00983E94" w:rsidRPr="00983E94" w:rsidRDefault="00983E94" w:rsidP="00983E94">
      <w:pPr>
        <w:widowControl/>
        <w:shd w:val="clear" w:color="auto" w:fill="CCE8CF"/>
        <w:wordWrap w:val="0"/>
        <w:spacing w:before="150" w:after="75"/>
        <w:jc w:val="left"/>
        <w:outlineLvl w:val="3"/>
        <w:rPr>
          <w:rFonts w:ascii="Segoe UI" w:eastAsia="宋体" w:hAnsi="Segoe UI" w:cs="Segoe UI"/>
          <w:b/>
          <w:bCs/>
          <w:color w:val="333333"/>
          <w:kern w:val="0"/>
          <w:sz w:val="26"/>
          <w:szCs w:val="26"/>
        </w:rPr>
      </w:pPr>
      <w:r w:rsidRPr="00983E94">
        <w:rPr>
          <w:rFonts w:ascii="Segoe UI" w:eastAsia="宋体" w:hAnsi="Segoe UI" w:cs="Segoe UI"/>
          <w:b/>
          <w:bCs/>
          <w:color w:val="333333"/>
          <w:kern w:val="0"/>
          <w:sz w:val="26"/>
          <w:szCs w:val="26"/>
        </w:rPr>
        <w:t>支持向量回归</w:t>
      </w:r>
    </w:p>
    <w:p w:rsidR="00983E94" w:rsidRPr="00983E94" w:rsidRDefault="00983E94" w:rsidP="00983E94">
      <w:pPr>
        <w:widowControl/>
        <w:shd w:val="clear" w:color="auto" w:fill="CCE8CF"/>
        <w:wordWrap w:val="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支持向量回归（</w:t>
      </w:r>
      <w:r w:rsidRPr="00983E94">
        <w:rPr>
          <w:rFonts w:ascii="Segoe UI" w:eastAsia="宋体" w:hAnsi="Segoe UI" w:cs="Segoe UI"/>
          <w:color w:val="333333"/>
          <w:kern w:val="0"/>
          <w:sz w:val="24"/>
          <w:szCs w:val="24"/>
        </w:rPr>
        <w:t>SVR</w:t>
      </w:r>
      <w:r w:rsidRPr="00983E94">
        <w:rPr>
          <w:rFonts w:ascii="Segoe UI" w:eastAsia="宋体" w:hAnsi="Segoe UI" w:cs="Segoe UI"/>
          <w:color w:val="333333"/>
          <w:kern w:val="0"/>
          <w:sz w:val="24"/>
          <w:szCs w:val="24"/>
        </w:rPr>
        <w:t>）是支持向量机在回归方面的应用，基本思路大致相同，关于</w:t>
      </w:r>
      <w:r w:rsidRPr="00983E94">
        <w:rPr>
          <w:rFonts w:ascii="Segoe UI" w:eastAsia="宋体" w:hAnsi="Segoe UI" w:cs="Segoe UI"/>
          <w:color w:val="333333"/>
          <w:kern w:val="0"/>
          <w:sz w:val="24"/>
          <w:szCs w:val="24"/>
        </w:rPr>
        <w:t>SVM</w:t>
      </w:r>
      <w:r w:rsidRPr="00983E94">
        <w:rPr>
          <w:rFonts w:ascii="Segoe UI" w:eastAsia="宋体" w:hAnsi="Segoe UI" w:cs="Segoe UI"/>
          <w:color w:val="333333"/>
          <w:kern w:val="0"/>
          <w:sz w:val="24"/>
          <w:szCs w:val="24"/>
        </w:rPr>
        <w:t>算法详细解释可以关注聚宽量化课堂的文章：</w:t>
      </w:r>
      <w:r w:rsidRPr="00983E94">
        <w:rPr>
          <w:rFonts w:ascii="Segoe UI" w:eastAsia="宋体" w:hAnsi="Segoe UI" w:cs="Segoe UI"/>
          <w:color w:val="333333"/>
          <w:kern w:val="0"/>
          <w:sz w:val="24"/>
          <w:szCs w:val="24"/>
        </w:rPr>
        <w:br/>
      </w:r>
      <w:hyperlink r:id="rId9" w:history="1">
        <w:r w:rsidRPr="00983E94">
          <w:rPr>
            <w:rFonts w:ascii="Segoe UI" w:eastAsia="宋体" w:hAnsi="Segoe UI" w:cs="Segoe UI"/>
            <w:color w:val="256DA8"/>
            <w:kern w:val="0"/>
            <w:sz w:val="24"/>
            <w:szCs w:val="24"/>
          </w:rPr>
          <w:t>《</w:t>
        </w:r>
        <w:r w:rsidRPr="00983E94">
          <w:rPr>
            <w:rFonts w:ascii="Segoe UI" w:eastAsia="宋体" w:hAnsi="Segoe UI" w:cs="Segoe UI"/>
            <w:color w:val="256DA8"/>
            <w:kern w:val="0"/>
            <w:sz w:val="24"/>
            <w:szCs w:val="24"/>
          </w:rPr>
          <w:t>SVM</w:t>
        </w:r>
        <w:r w:rsidRPr="00983E94">
          <w:rPr>
            <w:rFonts w:ascii="Segoe UI" w:eastAsia="宋体" w:hAnsi="Segoe UI" w:cs="Segoe UI"/>
            <w:color w:val="256DA8"/>
            <w:kern w:val="0"/>
            <w:sz w:val="24"/>
            <w:szCs w:val="24"/>
          </w:rPr>
          <w:t>原理入门》</w:t>
        </w:r>
      </w:hyperlink>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两个模型的数学原理都有一定难度，所幸</w:t>
      </w:r>
      <w:r w:rsidRPr="00983E94">
        <w:rPr>
          <w:rFonts w:ascii="Segoe UI" w:eastAsia="宋体" w:hAnsi="Segoe UI" w:cs="Segoe UI"/>
          <w:color w:val="333333"/>
          <w:kern w:val="0"/>
          <w:sz w:val="24"/>
          <w:szCs w:val="24"/>
        </w:rPr>
        <w:t>python</w:t>
      </w:r>
      <w:r w:rsidRPr="00983E94">
        <w:rPr>
          <w:rFonts w:ascii="Segoe UI" w:eastAsia="宋体" w:hAnsi="Segoe UI" w:cs="Segoe UI"/>
          <w:color w:val="333333"/>
          <w:kern w:val="0"/>
          <w:sz w:val="24"/>
          <w:szCs w:val="24"/>
        </w:rPr>
        <w:t>的</w:t>
      </w:r>
      <w:r w:rsidRPr="00983E94">
        <w:rPr>
          <w:rFonts w:ascii="Segoe UI" w:eastAsia="宋体" w:hAnsi="Segoe UI" w:cs="Segoe UI"/>
          <w:color w:val="333333"/>
          <w:kern w:val="0"/>
          <w:sz w:val="24"/>
          <w:szCs w:val="24"/>
        </w:rPr>
        <w:t>sklearn</w:t>
      </w:r>
      <w:r w:rsidRPr="00983E94">
        <w:rPr>
          <w:rFonts w:ascii="Segoe UI" w:eastAsia="宋体" w:hAnsi="Segoe UI" w:cs="Segoe UI"/>
          <w:color w:val="333333"/>
          <w:kern w:val="0"/>
          <w:sz w:val="24"/>
          <w:szCs w:val="24"/>
        </w:rPr>
        <w:t>库提供了两种算法的程序包，对算法本身没有兴趣进行深究的读者，可以直接应用</w:t>
      </w:r>
      <w:r w:rsidRPr="00983E94">
        <w:rPr>
          <w:rFonts w:ascii="Segoe UI" w:eastAsia="宋体" w:hAnsi="Segoe UI" w:cs="Segoe UI"/>
          <w:color w:val="333333"/>
          <w:kern w:val="0"/>
          <w:sz w:val="24"/>
          <w:szCs w:val="24"/>
        </w:rPr>
        <w:t>sklearn</w:t>
      </w:r>
      <w:r w:rsidRPr="00983E94">
        <w:rPr>
          <w:rFonts w:ascii="Segoe UI" w:eastAsia="宋体" w:hAnsi="Segoe UI" w:cs="Segoe UI"/>
          <w:color w:val="333333"/>
          <w:kern w:val="0"/>
          <w:sz w:val="24"/>
          <w:szCs w:val="24"/>
        </w:rPr>
        <w:t>中的函数。我们将上述用来线性回归的自变量作为特征输入模型进行回归，并对回归结果进行分析。</w:t>
      </w:r>
    </w:p>
    <w:p w:rsidR="00983E94" w:rsidRPr="00983E94" w:rsidRDefault="00983E94" w:rsidP="00983E94">
      <w:pPr>
        <w:widowControl/>
        <w:shd w:val="clear" w:color="auto" w:fill="CCE8CF"/>
        <w:wordWrap w:val="0"/>
        <w:spacing w:before="150" w:after="75"/>
        <w:jc w:val="left"/>
        <w:outlineLvl w:val="2"/>
        <w:rPr>
          <w:rFonts w:ascii="Segoe UI" w:eastAsia="宋体" w:hAnsi="Segoe UI" w:cs="Segoe UI"/>
          <w:b/>
          <w:bCs/>
          <w:color w:val="333333"/>
          <w:kern w:val="0"/>
          <w:sz w:val="29"/>
          <w:szCs w:val="29"/>
        </w:rPr>
      </w:pPr>
      <w:r w:rsidRPr="00983E94">
        <w:rPr>
          <w:rFonts w:ascii="Segoe UI" w:eastAsia="宋体" w:hAnsi="Segoe UI" w:cs="Segoe UI"/>
          <w:b/>
          <w:bCs/>
          <w:color w:val="333333"/>
          <w:kern w:val="0"/>
          <w:sz w:val="29"/>
          <w:szCs w:val="29"/>
        </w:rPr>
        <w:t>因子有效性验证及策略设计</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我们采用上述三种方法，从聚宽数据库中调取相应数据进行回归，其中行业虚拟变量矩阵采用申万一级行业划分，股票池选择中证全指中的所有股票，回测时间为</w:t>
      </w:r>
      <w:r w:rsidRPr="00983E94">
        <w:rPr>
          <w:rFonts w:ascii="Segoe UI" w:eastAsia="宋体" w:hAnsi="Segoe UI" w:cs="Segoe UI"/>
          <w:color w:val="333333"/>
          <w:kern w:val="0"/>
          <w:sz w:val="24"/>
          <w:szCs w:val="24"/>
        </w:rPr>
        <w:t>2012</w:t>
      </w:r>
      <w:r w:rsidRPr="00983E94">
        <w:rPr>
          <w:rFonts w:ascii="Segoe UI" w:eastAsia="宋体" w:hAnsi="Segoe UI" w:cs="Segoe UI"/>
          <w:color w:val="333333"/>
          <w:kern w:val="0"/>
          <w:sz w:val="24"/>
          <w:szCs w:val="24"/>
        </w:rPr>
        <w:t>年</w:t>
      </w:r>
      <w:r w:rsidRPr="00983E94">
        <w:rPr>
          <w:rFonts w:ascii="Segoe UI" w:eastAsia="宋体" w:hAnsi="Segoe UI" w:cs="Segoe UI"/>
          <w:color w:val="333333"/>
          <w:kern w:val="0"/>
          <w:sz w:val="24"/>
          <w:szCs w:val="24"/>
        </w:rPr>
        <w:t>1</w:t>
      </w:r>
      <w:r w:rsidRPr="00983E94">
        <w:rPr>
          <w:rFonts w:ascii="Segoe UI" w:eastAsia="宋体" w:hAnsi="Segoe UI" w:cs="Segoe UI"/>
          <w:color w:val="333333"/>
          <w:kern w:val="0"/>
          <w:sz w:val="24"/>
          <w:szCs w:val="24"/>
        </w:rPr>
        <w:t>月</w:t>
      </w:r>
      <w:r w:rsidRPr="00983E94">
        <w:rPr>
          <w:rFonts w:ascii="Segoe UI" w:eastAsia="宋体" w:hAnsi="Segoe UI" w:cs="Segoe UI"/>
          <w:color w:val="333333"/>
          <w:kern w:val="0"/>
          <w:sz w:val="24"/>
          <w:szCs w:val="24"/>
        </w:rPr>
        <w:t>1</w:t>
      </w:r>
      <w:r w:rsidRPr="00983E94">
        <w:rPr>
          <w:rFonts w:ascii="Segoe UI" w:eastAsia="宋体" w:hAnsi="Segoe UI" w:cs="Segoe UI"/>
          <w:color w:val="333333"/>
          <w:kern w:val="0"/>
          <w:sz w:val="24"/>
          <w:szCs w:val="24"/>
        </w:rPr>
        <w:t>日至</w:t>
      </w:r>
      <w:r w:rsidRPr="00983E94">
        <w:rPr>
          <w:rFonts w:ascii="Segoe UI" w:eastAsia="宋体" w:hAnsi="Segoe UI" w:cs="Segoe UI"/>
          <w:color w:val="333333"/>
          <w:kern w:val="0"/>
          <w:sz w:val="24"/>
          <w:szCs w:val="24"/>
        </w:rPr>
        <w:t>2017</w:t>
      </w:r>
      <w:r w:rsidRPr="00983E94">
        <w:rPr>
          <w:rFonts w:ascii="Segoe UI" w:eastAsia="宋体" w:hAnsi="Segoe UI" w:cs="Segoe UI"/>
          <w:color w:val="333333"/>
          <w:kern w:val="0"/>
          <w:sz w:val="24"/>
          <w:szCs w:val="24"/>
        </w:rPr>
        <w:t>年</w:t>
      </w:r>
      <w:r w:rsidRPr="00983E94">
        <w:rPr>
          <w:rFonts w:ascii="Segoe UI" w:eastAsia="宋体" w:hAnsi="Segoe UI" w:cs="Segoe UI"/>
          <w:color w:val="333333"/>
          <w:kern w:val="0"/>
          <w:sz w:val="24"/>
          <w:szCs w:val="24"/>
        </w:rPr>
        <w:t>12</w:t>
      </w:r>
      <w:r w:rsidRPr="00983E94">
        <w:rPr>
          <w:rFonts w:ascii="Segoe UI" w:eastAsia="宋体" w:hAnsi="Segoe UI" w:cs="Segoe UI"/>
          <w:color w:val="333333"/>
          <w:kern w:val="0"/>
          <w:sz w:val="24"/>
          <w:szCs w:val="24"/>
        </w:rPr>
        <w:t>月</w:t>
      </w:r>
      <w:r w:rsidRPr="00983E94">
        <w:rPr>
          <w:rFonts w:ascii="Segoe UI" w:eastAsia="宋体" w:hAnsi="Segoe UI" w:cs="Segoe UI"/>
          <w:color w:val="333333"/>
          <w:kern w:val="0"/>
          <w:sz w:val="24"/>
          <w:szCs w:val="24"/>
        </w:rPr>
        <w:t>31</w:t>
      </w:r>
      <w:r w:rsidRPr="00983E94">
        <w:rPr>
          <w:rFonts w:ascii="Segoe UI" w:eastAsia="宋体" w:hAnsi="Segoe UI" w:cs="Segoe UI"/>
          <w:color w:val="333333"/>
          <w:kern w:val="0"/>
          <w:sz w:val="24"/>
          <w:szCs w:val="24"/>
        </w:rPr>
        <w:t>日。我们每十个交易日进行一次回</w:t>
      </w:r>
      <w:r w:rsidRPr="00983E94">
        <w:rPr>
          <w:rFonts w:ascii="Segoe UI" w:eastAsia="宋体" w:hAnsi="Segoe UI" w:cs="Segoe UI"/>
          <w:color w:val="333333"/>
          <w:kern w:val="0"/>
          <w:sz w:val="24"/>
          <w:szCs w:val="24"/>
        </w:rPr>
        <w:lastRenderedPageBreak/>
        <w:t>归，并将回归得到的结果用到当日的股票上，计算预测值与真实值之间的差距（残差），按照残差从小到大的顺序对股票进行排序，依据不同分位数，分十档买入，每十个交易日进行一次调仓，将不在该档的股票卖出，得到如下分档超额收益率，最大回撤比率以及对数收益曲线。</w:t>
      </w:r>
    </w:p>
    <w:p w:rsidR="00983E94" w:rsidRPr="00983E94" w:rsidRDefault="00983E94" w:rsidP="00983E94">
      <w:pPr>
        <w:widowControl/>
        <w:shd w:val="clear" w:color="auto" w:fill="CCE8CF"/>
        <w:wordWrap w:val="0"/>
        <w:spacing w:before="150" w:after="75"/>
        <w:jc w:val="left"/>
        <w:outlineLvl w:val="3"/>
        <w:rPr>
          <w:rFonts w:ascii="Segoe UI" w:eastAsia="宋体" w:hAnsi="Segoe UI" w:cs="Segoe UI"/>
          <w:b/>
          <w:bCs/>
          <w:color w:val="333333"/>
          <w:kern w:val="0"/>
          <w:sz w:val="26"/>
          <w:szCs w:val="26"/>
        </w:rPr>
      </w:pPr>
      <w:r w:rsidRPr="00983E94">
        <w:rPr>
          <w:rFonts w:ascii="Segoe UI" w:eastAsia="宋体" w:hAnsi="Segoe UI" w:cs="Segoe UI"/>
          <w:b/>
          <w:bCs/>
          <w:color w:val="333333"/>
          <w:kern w:val="0"/>
          <w:sz w:val="26"/>
          <w:szCs w:val="26"/>
        </w:rPr>
        <w:t>线性回归</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noProof/>
          <w:color w:val="333333"/>
          <w:kern w:val="0"/>
          <w:sz w:val="24"/>
          <w:szCs w:val="24"/>
        </w:rPr>
        <w:drawing>
          <wp:inline distT="0" distB="0" distL="0" distR="0">
            <wp:extent cx="11315700" cy="4693920"/>
            <wp:effectExtent l="0" t="0" r="0" b="0"/>
            <wp:docPr id="9" name="图片 9" descr="Linear_excess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_excess_b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15700" cy="4693920"/>
                    </a:xfrm>
                    <a:prstGeom prst="rect">
                      <a:avLst/>
                    </a:prstGeom>
                    <a:noFill/>
                    <a:ln>
                      <a:noFill/>
                    </a:ln>
                  </pic:spPr>
                </pic:pic>
              </a:graphicData>
            </a:graphic>
          </wp:inline>
        </w:drawing>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noProof/>
          <w:color w:val="333333"/>
          <w:kern w:val="0"/>
          <w:sz w:val="24"/>
          <w:szCs w:val="24"/>
        </w:rPr>
        <w:lastRenderedPageBreak/>
        <w:drawing>
          <wp:inline distT="0" distB="0" distL="0" distR="0">
            <wp:extent cx="11681460" cy="4732020"/>
            <wp:effectExtent l="0" t="0" r="0" b="0"/>
            <wp:docPr id="8" name="图片 8" descr="Linear_log_ex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ar_log_exc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1460" cy="4732020"/>
                    </a:xfrm>
                    <a:prstGeom prst="rect">
                      <a:avLst/>
                    </a:prstGeom>
                    <a:noFill/>
                    <a:ln>
                      <a:noFill/>
                    </a:ln>
                  </pic:spPr>
                </pic:pic>
              </a:graphicData>
            </a:graphic>
          </wp:inline>
        </w:drawing>
      </w:r>
    </w:p>
    <w:p w:rsidR="00983E94" w:rsidRPr="00983E94" w:rsidRDefault="00983E94" w:rsidP="00983E94">
      <w:pPr>
        <w:widowControl/>
        <w:shd w:val="clear" w:color="auto" w:fill="CCE8CF"/>
        <w:wordWrap w:val="0"/>
        <w:spacing w:before="150" w:after="75"/>
        <w:jc w:val="left"/>
        <w:outlineLvl w:val="3"/>
        <w:rPr>
          <w:rFonts w:ascii="Segoe UI" w:eastAsia="宋体" w:hAnsi="Segoe UI" w:cs="Segoe UI"/>
          <w:b/>
          <w:bCs/>
          <w:color w:val="333333"/>
          <w:kern w:val="0"/>
          <w:sz w:val="26"/>
          <w:szCs w:val="26"/>
        </w:rPr>
      </w:pPr>
      <w:r w:rsidRPr="00983E94">
        <w:rPr>
          <w:rFonts w:ascii="Segoe UI" w:eastAsia="宋体" w:hAnsi="Segoe UI" w:cs="Segoe UI"/>
          <w:b/>
          <w:bCs/>
          <w:color w:val="333333"/>
          <w:kern w:val="0"/>
          <w:sz w:val="26"/>
          <w:szCs w:val="26"/>
        </w:rPr>
        <w:t>随机森林回归</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noProof/>
          <w:color w:val="333333"/>
          <w:kern w:val="0"/>
          <w:sz w:val="24"/>
          <w:szCs w:val="24"/>
        </w:rPr>
        <w:lastRenderedPageBreak/>
        <w:drawing>
          <wp:inline distT="0" distB="0" distL="0" distR="0">
            <wp:extent cx="11315700" cy="4693920"/>
            <wp:effectExtent l="0" t="0" r="0" b="0"/>
            <wp:docPr id="7" name="图片 7" descr="RF_ex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F_exc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15700" cy="4693920"/>
                    </a:xfrm>
                    <a:prstGeom prst="rect">
                      <a:avLst/>
                    </a:prstGeom>
                    <a:noFill/>
                    <a:ln>
                      <a:noFill/>
                    </a:ln>
                  </pic:spPr>
                </pic:pic>
              </a:graphicData>
            </a:graphic>
          </wp:inline>
        </w:drawing>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noProof/>
          <w:color w:val="333333"/>
          <w:kern w:val="0"/>
          <w:sz w:val="24"/>
          <w:szCs w:val="24"/>
        </w:rPr>
        <w:lastRenderedPageBreak/>
        <w:drawing>
          <wp:inline distT="0" distB="0" distL="0" distR="0">
            <wp:extent cx="11681460" cy="4732020"/>
            <wp:effectExtent l="0" t="0" r="0" b="0"/>
            <wp:docPr id="6" name="图片 6" descr="RF_log_retu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F_log_retur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1460" cy="4732020"/>
                    </a:xfrm>
                    <a:prstGeom prst="rect">
                      <a:avLst/>
                    </a:prstGeom>
                    <a:noFill/>
                    <a:ln>
                      <a:noFill/>
                    </a:ln>
                  </pic:spPr>
                </pic:pic>
              </a:graphicData>
            </a:graphic>
          </wp:inline>
        </w:drawing>
      </w:r>
    </w:p>
    <w:p w:rsidR="00983E94" w:rsidRPr="00983E94" w:rsidRDefault="00983E94" w:rsidP="00983E94">
      <w:pPr>
        <w:widowControl/>
        <w:shd w:val="clear" w:color="auto" w:fill="CCE8CF"/>
        <w:wordWrap w:val="0"/>
        <w:spacing w:before="150" w:after="75"/>
        <w:jc w:val="left"/>
        <w:outlineLvl w:val="3"/>
        <w:rPr>
          <w:rFonts w:ascii="Segoe UI" w:eastAsia="宋体" w:hAnsi="Segoe UI" w:cs="Segoe UI"/>
          <w:b/>
          <w:bCs/>
          <w:color w:val="333333"/>
          <w:kern w:val="0"/>
          <w:sz w:val="26"/>
          <w:szCs w:val="26"/>
        </w:rPr>
      </w:pPr>
      <w:r w:rsidRPr="00983E94">
        <w:rPr>
          <w:rFonts w:ascii="Segoe UI" w:eastAsia="宋体" w:hAnsi="Segoe UI" w:cs="Segoe UI"/>
          <w:b/>
          <w:bCs/>
          <w:color w:val="333333"/>
          <w:kern w:val="0"/>
          <w:sz w:val="26"/>
          <w:szCs w:val="26"/>
        </w:rPr>
        <w:t>支持向量回归</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noProof/>
          <w:color w:val="333333"/>
          <w:kern w:val="0"/>
          <w:sz w:val="24"/>
          <w:szCs w:val="24"/>
        </w:rPr>
        <w:lastRenderedPageBreak/>
        <w:drawing>
          <wp:inline distT="0" distB="0" distL="0" distR="0">
            <wp:extent cx="11315700" cy="4693920"/>
            <wp:effectExtent l="0" t="0" r="0" b="0"/>
            <wp:docPr id="5" name="图片 5" descr="SVR_excess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R_excess_b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15700" cy="4693920"/>
                    </a:xfrm>
                    <a:prstGeom prst="rect">
                      <a:avLst/>
                    </a:prstGeom>
                    <a:noFill/>
                    <a:ln>
                      <a:noFill/>
                    </a:ln>
                  </pic:spPr>
                </pic:pic>
              </a:graphicData>
            </a:graphic>
          </wp:inline>
        </w:drawing>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noProof/>
          <w:color w:val="333333"/>
          <w:kern w:val="0"/>
          <w:sz w:val="24"/>
          <w:szCs w:val="24"/>
        </w:rPr>
        <w:lastRenderedPageBreak/>
        <w:drawing>
          <wp:inline distT="0" distB="0" distL="0" distR="0">
            <wp:extent cx="11681460" cy="4732020"/>
            <wp:effectExtent l="0" t="0" r="0" b="0"/>
            <wp:docPr id="4" name="图片 4" descr="SVR_log_retu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VR_log_retur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81460" cy="4732020"/>
                    </a:xfrm>
                    <a:prstGeom prst="rect">
                      <a:avLst/>
                    </a:prstGeom>
                    <a:noFill/>
                    <a:ln>
                      <a:noFill/>
                    </a:ln>
                  </pic:spPr>
                </pic:pic>
              </a:graphicData>
            </a:graphic>
          </wp:inline>
        </w:drawing>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从图像中我们可以清楚地看到，无论基于哪种回归算法，我们都能得到单调的分档超额收益率，而其对数收益曲线界限也非常明朗，这证明了该因子在该段时间内是显著有效的，这也就意味着如果我们采用纯多头策略，买入残差排名更靠前的少数股票，将会拥有更大的套利空间，本着这样的想法，我们修改策略为，对中证全指股池中的全部股票进行回归，调仓周期为十天，每次调仓时买入（或继续持有）因子排名在前十位的股票，若股票的排名偏离这个区间，则卖出。</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对这一策略，利用三种不同的回归算法进行回测，得到</w:t>
      </w:r>
      <w:r w:rsidRPr="00983E94">
        <w:rPr>
          <w:rFonts w:ascii="Segoe UI" w:eastAsia="宋体" w:hAnsi="Segoe UI" w:cs="Segoe UI"/>
          <w:color w:val="333333"/>
          <w:kern w:val="0"/>
          <w:sz w:val="24"/>
          <w:szCs w:val="24"/>
        </w:rPr>
        <w:t>2012-2017</w:t>
      </w:r>
      <w:r w:rsidRPr="00983E94">
        <w:rPr>
          <w:rFonts w:ascii="Segoe UI" w:eastAsia="宋体" w:hAnsi="Segoe UI" w:cs="Segoe UI"/>
          <w:color w:val="333333"/>
          <w:kern w:val="0"/>
          <w:sz w:val="24"/>
          <w:szCs w:val="24"/>
        </w:rPr>
        <w:t>年的收益状况如下：</w:t>
      </w:r>
    </w:p>
    <w:p w:rsidR="00983E94" w:rsidRPr="00983E94" w:rsidRDefault="00983E94" w:rsidP="00983E94">
      <w:pPr>
        <w:widowControl/>
        <w:shd w:val="clear" w:color="auto" w:fill="CCE8CF"/>
        <w:wordWrap w:val="0"/>
        <w:spacing w:before="150" w:after="75"/>
        <w:jc w:val="left"/>
        <w:outlineLvl w:val="3"/>
        <w:rPr>
          <w:rFonts w:ascii="Segoe UI" w:eastAsia="宋体" w:hAnsi="Segoe UI" w:cs="Segoe UI"/>
          <w:b/>
          <w:bCs/>
          <w:color w:val="333333"/>
          <w:kern w:val="0"/>
          <w:sz w:val="26"/>
          <w:szCs w:val="26"/>
        </w:rPr>
      </w:pPr>
      <w:r w:rsidRPr="00983E94">
        <w:rPr>
          <w:rFonts w:ascii="Segoe UI" w:eastAsia="宋体" w:hAnsi="Segoe UI" w:cs="Segoe UI"/>
          <w:b/>
          <w:bCs/>
          <w:color w:val="333333"/>
          <w:kern w:val="0"/>
          <w:sz w:val="26"/>
          <w:szCs w:val="26"/>
        </w:rPr>
        <w:t>线性回归</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noProof/>
          <w:color w:val="333333"/>
          <w:kern w:val="0"/>
          <w:sz w:val="24"/>
          <w:szCs w:val="24"/>
        </w:rPr>
        <w:lastRenderedPageBreak/>
        <w:drawing>
          <wp:inline distT="0" distB="0" distL="0" distR="0">
            <wp:extent cx="10256520" cy="3528060"/>
            <wp:effectExtent l="0" t="0" r="0" b="0"/>
            <wp:docPr id="3" name="图片 3" descr="Linear收益.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ar收益.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56520" cy="3528060"/>
                    </a:xfrm>
                    <a:prstGeom prst="rect">
                      <a:avLst/>
                    </a:prstGeom>
                    <a:noFill/>
                    <a:ln>
                      <a:noFill/>
                    </a:ln>
                  </pic:spPr>
                </pic:pic>
              </a:graphicData>
            </a:graphic>
          </wp:inline>
        </w:drawing>
      </w:r>
    </w:p>
    <w:p w:rsidR="00983E94" w:rsidRPr="00983E94" w:rsidRDefault="00983E94" w:rsidP="00983E94">
      <w:pPr>
        <w:widowControl/>
        <w:shd w:val="clear" w:color="auto" w:fill="CCE8CF"/>
        <w:wordWrap w:val="0"/>
        <w:spacing w:before="150" w:after="75"/>
        <w:jc w:val="left"/>
        <w:outlineLvl w:val="3"/>
        <w:rPr>
          <w:rFonts w:ascii="Segoe UI" w:eastAsia="宋体" w:hAnsi="Segoe UI" w:cs="Segoe UI"/>
          <w:b/>
          <w:bCs/>
          <w:color w:val="333333"/>
          <w:kern w:val="0"/>
          <w:sz w:val="26"/>
          <w:szCs w:val="26"/>
        </w:rPr>
      </w:pPr>
      <w:r w:rsidRPr="00983E94">
        <w:rPr>
          <w:rFonts w:ascii="Segoe UI" w:eastAsia="宋体" w:hAnsi="Segoe UI" w:cs="Segoe UI"/>
          <w:b/>
          <w:bCs/>
          <w:color w:val="333333"/>
          <w:kern w:val="0"/>
          <w:sz w:val="26"/>
          <w:szCs w:val="26"/>
        </w:rPr>
        <w:t>随机森林回归</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noProof/>
          <w:color w:val="333333"/>
          <w:kern w:val="0"/>
          <w:sz w:val="24"/>
          <w:szCs w:val="24"/>
        </w:rPr>
        <w:drawing>
          <wp:inline distT="0" distB="0" distL="0" distR="0">
            <wp:extent cx="10248900" cy="3497580"/>
            <wp:effectExtent l="0" t="0" r="0" b="7620"/>
            <wp:docPr id="2" name="图片 2" descr="RF收益.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F收益.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48900" cy="3497580"/>
                    </a:xfrm>
                    <a:prstGeom prst="rect">
                      <a:avLst/>
                    </a:prstGeom>
                    <a:noFill/>
                    <a:ln>
                      <a:noFill/>
                    </a:ln>
                  </pic:spPr>
                </pic:pic>
              </a:graphicData>
            </a:graphic>
          </wp:inline>
        </w:drawing>
      </w:r>
    </w:p>
    <w:p w:rsidR="00983E94" w:rsidRPr="00983E94" w:rsidRDefault="00983E94" w:rsidP="00983E94">
      <w:pPr>
        <w:widowControl/>
        <w:shd w:val="clear" w:color="auto" w:fill="CCE8CF"/>
        <w:wordWrap w:val="0"/>
        <w:spacing w:before="150" w:after="75"/>
        <w:jc w:val="left"/>
        <w:outlineLvl w:val="3"/>
        <w:rPr>
          <w:rFonts w:ascii="Segoe UI" w:eastAsia="宋体" w:hAnsi="Segoe UI" w:cs="Segoe UI"/>
          <w:b/>
          <w:bCs/>
          <w:color w:val="333333"/>
          <w:kern w:val="0"/>
          <w:sz w:val="26"/>
          <w:szCs w:val="26"/>
        </w:rPr>
      </w:pPr>
      <w:r w:rsidRPr="00983E94">
        <w:rPr>
          <w:rFonts w:ascii="Segoe UI" w:eastAsia="宋体" w:hAnsi="Segoe UI" w:cs="Segoe UI"/>
          <w:b/>
          <w:bCs/>
          <w:color w:val="333333"/>
          <w:kern w:val="0"/>
          <w:sz w:val="26"/>
          <w:szCs w:val="26"/>
        </w:rPr>
        <w:t>支持向量回归</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noProof/>
          <w:color w:val="333333"/>
          <w:kern w:val="0"/>
          <w:sz w:val="24"/>
          <w:szCs w:val="24"/>
        </w:rPr>
        <w:lastRenderedPageBreak/>
        <w:drawing>
          <wp:inline distT="0" distB="0" distL="0" distR="0">
            <wp:extent cx="10248900" cy="3505200"/>
            <wp:effectExtent l="0" t="0" r="0" b="0"/>
            <wp:docPr id="1" name="图片 1" descr="SVR收益.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R收益.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48900" cy="3505200"/>
                    </a:xfrm>
                    <a:prstGeom prst="rect">
                      <a:avLst/>
                    </a:prstGeom>
                    <a:noFill/>
                    <a:ln>
                      <a:noFill/>
                    </a:ln>
                  </pic:spPr>
                </pic:pic>
              </a:graphicData>
            </a:graphic>
          </wp:inline>
        </w:drawing>
      </w:r>
    </w:p>
    <w:p w:rsidR="00983E94" w:rsidRPr="00983E94" w:rsidRDefault="00983E94" w:rsidP="00983E94">
      <w:pPr>
        <w:widowControl/>
        <w:shd w:val="clear" w:color="auto" w:fill="CCE8CF"/>
        <w:wordWrap w:val="0"/>
        <w:spacing w:before="150" w:after="75"/>
        <w:jc w:val="left"/>
        <w:outlineLvl w:val="2"/>
        <w:rPr>
          <w:rFonts w:ascii="Segoe UI" w:eastAsia="宋体" w:hAnsi="Segoe UI" w:cs="Segoe UI"/>
          <w:b/>
          <w:bCs/>
          <w:color w:val="333333"/>
          <w:kern w:val="0"/>
          <w:sz w:val="29"/>
          <w:szCs w:val="29"/>
        </w:rPr>
      </w:pPr>
      <w:r w:rsidRPr="00983E94">
        <w:rPr>
          <w:rFonts w:ascii="Segoe UI" w:eastAsia="宋体" w:hAnsi="Segoe UI" w:cs="Segoe UI"/>
          <w:b/>
          <w:bCs/>
          <w:color w:val="333333"/>
          <w:kern w:val="0"/>
          <w:sz w:val="29"/>
          <w:szCs w:val="29"/>
        </w:rPr>
        <w:t>总结</w:t>
      </w:r>
    </w:p>
    <w:p w:rsidR="00983E94" w:rsidRPr="00983E94" w:rsidRDefault="00983E94" w:rsidP="00983E94">
      <w:pPr>
        <w:widowControl/>
        <w:shd w:val="clear" w:color="auto" w:fill="CCE8CF"/>
        <w:wordWrap w:val="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从策略的回测结果我们可以清楚地看到，长期来看，市值因子的年化收益率均在</w:t>
      </w:r>
      <w:r w:rsidRPr="00983E94">
        <w:rPr>
          <w:rFonts w:ascii="Segoe UI" w:eastAsia="宋体" w:hAnsi="Segoe UI" w:cs="Segoe UI"/>
          <w:color w:val="333333"/>
          <w:kern w:val="0"/>
          <w:sz w:val="24"/>
          <w:szCs w:val="24"/>
        </w:rPr>
        <w:t>50%</w:t>
      </w:r>
      <w:r w:rsidRPr="00983E94">
        <w:rPr>
          <w:rFonts w:ascii="Segoe UI" w:eastAsia="宋体" w:hAnsi="Segoe UI" w:cs="Segoe UI"/>
          <w:color w:val="333333"/>
          <w:kern w:val="0"/>
          <w:sz w:val="24"/>
          <w:szCs w:val="24"/>
        </w:rPr>
        <w:t>左右，表现良好，其中，以</w:t>
      </w:r>
      <w:r w:rsidRPr="00983E94">
        <w:rPr>
          <w:rFonts w:ascii="Segoe UI" w:eastAsia="宋体" w:hAnsi="Segoe UI" w:cs="Segoe UI"/>
          <w:color w:val="333333"/>
          <w:kern w:val="0"/>
          <w:sz w:val="24"/>
          <w:szCs w:val="24"/>
        </w:rPr>
        <w:t>SVR</w:t>
      </w:r>
      <w:r w:rsidRPr="00983E94">
        <w:rPr>
          <w:rFonts w:ascii="Segoe UI" w:eastAsia="宋体" w:hAnsi="Segoe UI" w:cs="Segoe UI"/>
          <w:color w:val="333333"/>
          <w:kern w:val="0"/>
          <w:sz w:val="24"/>
          <w:szCs w:val="24"/>
        </w:rPr>
        <w:t>算法下表现最为良好。同时，线性回归在</w:t>
      </w:r>
      <w:r w:rsidRPr="00983E94">
        <w:rPr>
          <w:rFonts w:ascii="Segoe UI" w:eastAsia="宋体" w:hAnsi="Segoe UI" w:cs="Segoe UI"/>
          <w:color w:val="333333"/>
          <w:kern w:val="0"/>
          <w:sz w:val="24"/>
          <w:szCs w:val="24"/>
        </w:rPr>
        <w:t>2017</w:t>
      </w:r>
      <w:r w:rsidRPr="00983E94">
        <w:rPr>
          <w:rFonts w:ascii="Segoe UI" w:eastAsia="宋体" w:hAnsi="Segoe UI" w:cs="Segoe UI"/>
          <w:color w:val="333333"/>
          <w:kern w:val="0"/>
          <w:sz w:val="24"/>
          <w:szCs w:val="24"/>
        </w:rPr>
        <w:t>年初遭遇较大回撤，随机森林回归近来表现也略有下滑，这与</w:t>
      </w:r>
      <w:r w:rsidRPr="00983E94">
        <w:rPr>
          <w:rFonts w:ascii="Segoe UI" w:eastAsia="宋体" w:hAnsi="Segoe UI" w:cs="Segoe UI"/>
          <w:color w:val="333333"/>
          <w:kern w:val="0"/>
          <w:sz w:val="24"/>
          <w:szCs w:val="24"/>
        </w:rPr>
        <w:t>2017</w:t>
      </w:r>
      <w:r w:rsidRPr="00983E94">
        <w:rPr>
          <w:rFonts w:ascii="Segoe UI" w:eastAsia="宋体" w:hAnsi="Segoe UI" w:cs="Segoe UI"/>
          <w:color w:val="333333"/>
          <w:kern w:val="0"/>
          <w:sz w:val="24"/>
          <w:szCs w:val="24"/>
        </w:rPr>
        <w:t>年众多因子失效的市场环境也是吻合的。我们在此提供详细的</w:t>
      </w:r>
      <w:r w:rsidRPr="00983E94">
        <w:rPr>
          <w:rFonts w:ascii="Segoe UI" w:eastAsia="宋体" w:hAnsi="Segoe UI" w:cs="Segoe UI"/>
          <w:color w:val="333333"/>
          <w:kern w:val="0"/>
          <w:sz w:val="24"/>
          <w:szCs w:val="24"/>
        </w:rPr>
        <w:t>SVR</w:t>
      </w:r>
      <w:r w:rsidRPr="00983E94">
        <w:rPr>
          <w:rFonts w:ascii="Segoe UI" w:eastAsia="宋体" w:hAnsi="Segoe UI" w:cs="Segoe UI"/>
          <w:color w:val="333333"/>
          <w:kern w:val="0"/>
          <w:sz w:val="24"/>
          <w:szCs w:val="24"/>
        </w:rPr>
        <w:t>策略的回测结果，有兴趣的读者可以深入学习。</w:t>
      </w:r>
    </w:p>
    <w:p w:rsidR="003F0BCE" w:rsidRDefault="003F0BCE">
      <w:bookmarkStart w:id="0" w:name="_GoBack"/>
      <w:bookmarkEnd w:id="0"/>
    </w:p>
    <w:sectPr w:rsidR="003F0B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21C"/>
    <w:rsid w:val="003F0BCE"/>
    <w:rsid w:val="00983E94"/>
    <w:rsid w:val="00DC2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F0131-6F9C-4987-B69B-33F93667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983E9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3E9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83E94"/>
    <w:rPr>
      <w:rFonts w:ascii="宋体" w:eastAsia="宋体" w:hAnsi="宋体" w:cs="宋体"/>
      <w:b/>
      <w:bCs/>
      <w:kern w:val="0"/>
      <w:sz w:val="27"/>
      <w:szCs w:val="27"/>
    </w:rPr>
  </w:style>
  <w:style w:type="character" w:customStyle="1" w:styleId="40">
    <w:name w:val="标题 4 字符"/>
    <w:basedOn w:val="a0"/>
    <w:link w:val="4"/>
    <w:uiPriority w:val="9"/>
    <w:rsid w:val="00983E94"/>
    <w:rPr>
      <w:rFonts w:ascii="宋体" w:eastAsia="宋体" w:hAnsi="宋体" w:cs="宋体"/>
      <w:b/>
      <w:bCs/>
      <w:kern w:val="0"/>
      <w:sz w:val="24"/>
      <w:szCs w:val="24"/>
    </w:rPr>
  </w:style>
  <w:style w:type="paragraph" w:styleId="a3">
    <w:name w:val="Normal (Web)"/>
    <w:basedOn w:val="a"/>
    <w:uiPriority w:val="99"/>
    <w:semiHidden/>
    <w:unhideWhenUsed/>
    <w:rsid w:val="00983E9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983E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83E94"/>
    <w:rPr>
      <w:rFonts w:ascii="宋体" w:eastAsia="宋体" w:hAnsi="宋体" w:cs="宋体"/>
      <w:kern w:val="0"/>
      <w:sz w:val="24"/>
      <w:szCs w:val="24"/>
    </w:rPr>
  </w:style>
  <w:style w:type="character" w:styleId="HTML1">
    <w:name w:val="HTML Code"/>
    <w:basedOn w:val="a0"/>
    <w:uiPriority w:val="99"/>
    <w:semiHidden/>
    <w:unhideWhenUsed/>
    <w:rsid w:val="00983E94"/>
    <w:rPr>
      <w:rFonts w:ascii="宋体" w:eastAsia="宋体" w:hAnsi="宋体" w:cs="宋体"/>
      <w:sz w:val="24"/>
      <w:szCs w:val="24"/>
    </w:rPr>
  </w:style>
  <w:style w:type="character" w:styleId="a4">
    <w:name w:val="Hyperlink"/>
    <w:basedOn w:val="a0"/>
    <w:uiPriority w:val="99"/>
    <w:semiHidden/>
    <w:unhideWhenUsed/>
    <w:rsid w:val="00983E94"/>
    <w:rPr>
      <w:color w:val="0000FF"/>
      <w:u w:val="single"/>
    </w:rPr>
  </w:style>
  <w:style w:type="character" w:customStyle="1" w:styleId="mi">
    <w:name w:val="mi"/>
    <w:basedOn w:val="a0"/>
    <w:rsid w:val="00983E94"/>
  </w:style>
  <w:style w:type="character" w:customStyle="1" w:styleId="mo">
    <w:name w:val="mo"/>
    <w:basedOn w:val="a0"/>
    <w:rsid w:val="00983E94"/>
  </w:style>
  <w:style w:type="character" w:customStyle="1" w:styleId="mn">
    <w:name w:val="mn"/>
    <w:basedOn w:val="a0"/>
    <w:rsid w:val="00983E94"/>
  </w:style>
  <w:style w:type="character" w:customStyle="1" w:styleId="mtext">
    <w:name w:val="mtext"/>
    <w:basedOn w:val="a0"/>
    <w:rsid w:val="00983E94"/>
  </w:style>
  <w:style w:type="character" w:customStyle="1" w:styleId="mjxassistivemathml">
    <w:name w:val="mjx_assistive_mathml"/>
    <w:basedOn w:val="a0"/>
    <w:rsid w:val="00983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332442">
      <w:bodyDiv w:val="1"/>
      <w:marLeft w:val="0"/>
      <w:marRight w:val="0"/>
      <w:marTop w:val="0"/>
      <w:marBottom w:val="0"/>
      <w:divBdr>
        <w:top w:val="none" w:sz="0" w:space="0" w:color="auto"/>
        <w:left w:val="none" w:sz="0" w:space="0" w:color="auto"/>
        <w:bottom w:val="none" w:sz="0" w:space="0" w:color="auto"/>
        <w:right w:val="none" w:sz="0" w:space="0" w:color="auto"/>
      </w:divBdr>
      <w:divsChild>
        <w:div w:id="1736005607">
          <w:marLeft w:val="0"/>
          <w:marRight w:val="0"/>
          <w:marTop w:val="0"/>
          <w:marBottom w:val="300"/>
          <w:divBdr>
            <w:top w:val="none" w:sz="0" w:space="0" w:color="auto"/>
            <w:left w:val="none" w:sz="0" w:space="0" w:color="auto"/>
            <w:bottom w:val="none" w:sz="0" w:space="0" w:color="auto"/>
            <w:right w:val="none" w:sz="0" w:space="0" w:color="auto"/>
          </w:divBdr>
          <w:divsChild>
            <w:div w:id="170728779">
              <w:marLeft w:val="0"/>
              <w:marRight w:val="0"/>
              <w:marTop w:val="0"/>
              <w:marBottom w:val="0"/>
              <w:divBdr>
                <w:top w:val="none" w:sz="0" w:space="0" w:color="auto"/>
                <w:left w:val="none" w:sz="0" w:space="0" w:color="auto"/>
                <w:bottom w:val="none" w:sz="0" w:space="0" w:color="auto"/>
                <w:right w:val="none" w:sz="0" w:space="0" w:color="auto"/>
              </w:divBdr>
              <w:divsChild>
                <w:div w:id="1138839701">
                  <w:marLeft w:val="0"/>
                  <w:marRight w:val="0"/>
                  <w:marTop w:val="0"/>
                  <w:marBottom w:val="0"/>
                  <w:divBdr>
                    <w:top w:val="none" w:sz="0" w:space="0" w:color="auto"/>
                    <w:left w:val="none" w:sz="0" w:space="0" w:color="auto"/>
                    <w:bottom w:val="none" w:sz="0" w:space="0" w:color="auto"/>
                    <w:right w:val="none" w:sz="0" w:space="0" w:color="auto"/>
                  </w:divBdr>
                  <w:divsChild>
                    <w:div w:id="402874050">
                      <w:marLeft w:val="0"/>
                      <w:marRight w:val="0"/>
                      <w:marTop w:val="240"/>
                      <w:marBottom w:val="240"/>
                      <w:divBdr>
                        <w:top w:val="none" w:sz="0" w:space="0" w:color="auto"/>
                        <w:left w:val="none" w:sz="0" w:space="0" w:color="auto"/>
                        <w:bottom w:val="none" w:sz="0" w:space="0" w:color="auto"/>
                        <w:right w:val="none" w:sz="0" w:space="0" w:color="auto"/>
                      </w:divBdr>
                      <w:divsChild>
                        <w:div w:id="1671172471">
                          <w:marLeft w:val="0"/>
                          <w:marRight w:val="0"/>
                          <w:marTop w:val="240"/>
                          <w:marBottom w:val="240"/>
                          <w:divBdr>
                            <w:top w:val="none" w:sz="0" w:space="0" w:color="auto"/>
                            <w:left w:val="none" w:sz="0" w:space="0" w:color="auto"/>
                            <w:bottom w:val="none" w:sz="0" w:space="0" w:color="auto"/>
                            <w:right w:val="none" w:sz="0" w:space="0" w:color="auto"/>
                          </w:divBdr>
                        </w:div>
                      </w:divsChild>
                    </w:div>
                    <w:div w:id="1358769639">
                      <w:marLeft w:val="0"/>
                      <w:marRight w:val="0"/>
                      <w:marTop w:val="240"/>
                      <w:marBottom w:val="240"/>
                      <w:divBdr>
                        <w:top w:val="none" w:sz="0" w:space="0" w:color="auto"/>
                        <w:left w:val="none" w:sz="0" w:space="0" w:color="auto"/>
                        <w:bottom w:val="none" w:sz="0" w:space="0" w:color="auto"/>
                        <w:right w:val="none" w:sz="0" w:space="0" w:color="auto"/>
                      </w:divBdr>
                      <w:divsChild>
                        <w:div w:id="1641374942">
                          <w:marLeft w:val="0"/>
                          <w:marRight w:val="0"/>
                          <w:marTop w:val="240"/>
                          <w:marBottom w:val="240"/>
                          <w:divBdr>
                            <w:top w:val="none" w:sz="0" w:space="0" w:color="auto"/>
                            <w:left w:val="none" w:sz="0" w:space="0" w:color="auto"/>
                            <w:bottom w:val="none" w:sz="0" w:space="0" w:color="auto"/>
                            <w:right w:val="none" w:sz="0" w:space="0" w:color="auto"/>
                          </w:divBdr>
                        </w:div>
                      </w:divsChild>
                    </w:div>
                    <w:div w:id="1793746259">
                      <w:marLeft w:val="0"/>
                      <w:marRight w:val="0"/>
                      <w:marTop w:val="240"/>
                      <w:marBottom w:val="240"/>
                      <w:divBdr>
                        <w:top w:val="none" w:sz="0" w:space="0" w:color="auto"/>
                        <w:left w:val="none" w:sz="0" w:space="0" w:color="auto"/>
                        <w:bottom w:val="none" w:sz="0" w:space="0" w:color="auto"/>
                        <w:right w:val="none" w:sz="0" w:space="0" w:color="auto"/>
                      </w:divBdr>
                      <w:divsChild>
                        <w:div w:id="2872047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inquant.com/post/1571?f=study&amp;m=math"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hyperlink" Target="https://www.joinquant.com/post/10536?f=study&amp;m=math"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joinquant.com/post/1690?f=study&amp;m=algorithm" TargetMode="External"/><Relationship Id="rId11" Type="http://schemas.openxmlformats.org/officeDocument/2006/relationships/image" Target="media/image2.png"/><Relationship Id="rId5" Type="http://schemas.openxmlformats.org/officeDocument/2006/relationships/hyperlink" Target="https://www.joinquant.com/post/1668?f=study&amp;m=algorithm"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hyperlink" Target="https://www.joinquant.com/post/1399?f=study&amp;m=algorithm" TargetMode="External"/><Relationship Id="rId9" Type="http://schemas.openxmlformats.org/officeDocument/2006/relationships/hyperlink" Target="https://www.joinquant.com/post/1510?f=study&amp;m=math"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langbo</dc:creator>
  <cp:keywords/>
  <dc:description/>
  <cp:lastModifiedBy>langbo</cp:lastModifiedBy>
  <cp:revision>2</cp:revision>
  <dcterms:created xsi:type="dcterms:W3CDTF">2020-07-21T08:46:00Z</dcterms:created>
  <dcterms:modified xsi:type="dcterms:W3CDTF">2020-07-21T08:46:00Z</dcterms:modified>
</cp:coreProperties>
</file>