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Phase 2 Imaging-Only Manuscript Tables</w:t>
      </w:r>
    </w:p>
    <w:p>
      <w:pPr>
        <w:jc w:val="center"/>
      </w:pPr>
      <w:r>
        <w:t>Canonical table packet generated from verified Phase 2 manuscript table sources. Values are intended for manuscript drafting and should be cross-checked against the CSV/Markdown source files before final submission.</w:t>
      </w:r>
    </w:p>
    <w:p>
      <w:r>
        <w:br w:type="page"/>
      </w:r>
    </w:p>
    <w:p>
      <w:pPr>
        <w:spacing w:after="80"/>
      </w:pPr>
      <w:r>
        <w:rPr>
          <w:b/>
          <w:sz w:val="24"/>
        </w:rPr>
        <w:t>Table 1. Main Continuous Performance Metrics</w:t>
      </w:r>
    </w:p>
    <w:p>
      <w:pPr>
        <w:spacing w:after="120"/>
      </w:pPr>
      <w:r>
        <w:t>Main imaging-only continuous performance metrics. MAE and RMSE units are cm for LVOT VTI and mm for TAPSE.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2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4"/>
              </w:rPr>
              <w:t>Target</w:t>
            </w:r>
          </w:p>
        </w:tc>
        <w:tc>
          <w:tcPr>
            <w:tcW w:type="dxa" w:w="10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4"/>
              </w:rPr>
              <w:t>Role</w:t>
            </w:r>
          </w:p>
        </w:tc>
        <w:tc>
          <w:tcPr>
            <w:tcW w:type="dxa" w:w="79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4"/>
              </w:rPr>
              <w:t>Test N</w:t>
            </w:r>
          </w:p>
        </w:tc>
        <w:tc>
          <w:tcPr>
            <w:tcW w:type="dxa" w:w="100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4"/>
              </w:rPr>
              <w:t>Null MAE</w:t>
            </w:r>
          </w:p>
        </w:tc>
        <w:tc>
          <w:tcPr>
            <w:tcW w:type="dxa" w:w="10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4"/>
              </w:rPr>
              <w:t>Ridge MAE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4"/>
              </w:rPr>
              <w:t>Ridge MAE 95% CI</w:t>
            </w:r>
          </w:p>
        </w:tc>
        <w:tc>
          <w:tcPr>
            <w:tcW w:type="dxa" w:w="106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4"/>
              </w:rPr>
              <w:t>Ridge RMSE</w:t>
            </w:r>
          </w:p>
        </w:tc>
        <w:tc>
          <w:tcPr>
            <w:tcW w:type="dxa" w:w="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4"/>
              </w:rPr>
              <w:t>Ridge R2</w:t>
            </w:r>
          </w:p>
        </w:tc>
        <w:tc>
          <w:tcPr>
            <w:tcW w:type="dxa" w:w="126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4"/>
              </w:rPr>
              <w:t>Ridge R2 95% CI</w:t>
            </w:r>
          </w:p>
        </w:tc>
        <w:tc>
          <w:tcPr>
            <w:tcW w:type="dxa" w:w="9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4"/>
              </w:rPr>
              <w:t>Selected alpha</w:t>
            </w:r>
          </w:p>
        </w:tc>
        <w:tc>
          <w:tcPr>
            <w:tcW w:type="dxa" w:w="11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4"/>
              </w:rPr>
              <w:t>Bland-Altman bias</w:t>
            </w:r>
          </w:p>
        </w:tc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4"/>
              </w:rPr>
              <w:t>Bland-Altman limits of agreement</w:t>
            </w:r>
          </w:p>
        </w:tc>
        <w:tc>
          <w:tcPr>
            <w:tcW w:type="dxa" w:w="1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4"/>
              </w:rPr>
              <w:t>Figure callout</w:t>
            </w:r>
          </w:p>
        </w:tc>
      </w:tr>
      <w:tr>
        <w:tc>
          <w:tcPr>
            <w:tcW w:type="dxa" w:w="112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4"/>
              </w:rPr>
              <w:t>LVOT VTI</w:t>
            </w:r>
          </w:p>
        </w:tc>
        <w:tc>
          <w:tcPr>
            <w:tcW w:type="dxa" w:w="10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4"/>
              </w:rPr>
              <w:t>Primary</w:t>
            </w:r>
          </w:p>
        </w:tc>
        <w:tc>
          <w:tcPr>
            <w:tcW w:type="dxa" w:w="79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4"/>
              </w:rPr>
              <w:t>555</w:t>
            </w:r>
          </w:p>
        </w:tc>
        <w:tc>
          <w:tcPr>
            <w:tcW w:type="dxa" w:w="100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4"/>
              </w:rPr>
              <w:t>4.54 cm</w:t>
            </w:r>
          </w:p>
        </w:tc>
        <w:tc>
          <w:tcPr>
            <w:tcW w:type="dxa" w:w="10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4"/>
              </w:rPr>
              <w:t>3.64 cm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4"/>
              </w:rPr>
              <w:t>3.41 to 3.88 cm</w:t>
            </w:r>
          </w:p>
        </w:tc>
        <w:tc>
          <w:tcPr>
            <w:tcW w:type="dxa" w:w="106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4"/>
              </w:rPr>
              <w:t>4.66 cm</w:t>
            </w:r>
          </w:p>
        </w:tc>
        <w:tc>
          <w:tcPr>
            <w:tcW w:type="dxa" w:w="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4"/>
              </w:rPr>
              <w:t>0.372</w:t>
            </w:r>
          </w:p>
        </w:tc>
        <w:tc>
          <w:tcPr>
            <w:tcW w:type="dxa" w:w="126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4"/>
              </w:rPr>
              <w:t>0.30 to 0.43</w:t>
            </w:r>
          </w:p>
        </w:tc>
        <w:tc>
          <w:tcPr>
            <w:tcW w:type="dxa" w:w="9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4"/>
              </w:rPr>
              <w:t>0.3</w:t>
            </w:r>
          </w:p>
        </w:tc>
        <w:tc>
          <w:tcPr>
            <w:tcW w:type="dxa" w:w="11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4"/>
              </w:rPr>
              <w:t>+0.28 cm</w:t>
            </w:r>
          </w:p>
        </w:tc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4"/>
              </w:rPr>
              <w:t>-8.85 to +9.41 cm</w:t>
            </w:r>
          </w:p>
        </w:tc>
        <w:tc>
          <w:tcPr>
            <w:tcW w:type="dxa" w:w="1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4"/>
              </w:rPr>
              <w:t>Figure 1</w:t>
            </w:r>
          </w:p>
        </w:tc>
      </w:tr>
      <w:tr>
        <w:tc>
          <w:tcPr>
            <w:tcW w:type="dxa" w:w="112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4"/>
              </w:rPr>
              <w:t>TAPSE</w:t>
            </w:r>
          </w:p>
        </w:tc>
        <w:tc>
          <w:tcPr>
            <w:tcW w:type="dxa" w:w="10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4"/>
              </w:rPr>
              <w:t>Secondary</w:t>
            </w:r>
          </w:p>
        </w:tc>
        <w:tc>
          <w:tcPr>
            <w:tcW w:type="dxa" w:w="79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4"/>
              </w:rPr>
              <w:t>160</w:t>
            </w:r>
          </w:p>
        </w:tc>
        <w:tc>
          <w:tcPr>
            <w:tcW w:type="dxa" w:w="100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4"/>
              </w:rPr>
              <w:t>3.79 mm</w:t>
            </w:r>
          </w:p>
        </w:tc>
        <w:tc>
          <w:tcPr>
            <w:tcW w:type="dxa" w:w="10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4"/>
              </w:rPr>
              <w:t>3.17 mm</w:t>
            </w:r>
          </w:p>
        </w:tc>
        <w:tc>
          <w:tcPr>
            <w:tcW w:type="dxa" w:w="14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4"/>
              </w:rPr>
              <w:t>2.80 to 3.56 mm</w:t>
            </w:r>
          </w:p>
        </w:tc>
        <w:tc>
          <w:tcPr>
            <w:tcW w:type="dxa" w:w="106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4"/>
              </w:rPr>
              <w:t>3.94 mm</w:t>
            </w:r>
          </w:p>
        </w:tc>
        <w:tc>
          <w:tcPr>
            <w:tcW w:type="dxa" w:w="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4"/>
              </w:rPr>
              <w:t>0.284</w:t>
            </w:r>
          </w:p>
        </w:tc>
        <w:tc>
          <w:tcPr>
            <w:tcW w:type="dxa" w:w="126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4"/>
              </w:rPr>
              <w:t>0.13 to 0.40</w:t>
            </w:r>
          </w:p>
        </w:tc>
        <w:tc>
          <w:tcPr>
            <w:tcW w:type="dxa" w:w="97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4"/>
              </w:rPr>
              <w:t>1000</w:t>
            </w:r>
          </w:p>
        </w:tc>
        <w:tc>
          <w:tcPr>
            <w:tcW w:type="dxa" w:w="11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4"/>
              </w:rPr>
              <w:t>+0.22 mm</w:t>
            </w:r>
          </w:p>
        </w:tc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4"/>
              </w:rPr>
              <w:t>-7.52 to +7.96 mm</w:t>
            </w:r>
          </w:p>
        </w:tc>
        <w:tc>
          <w:tcPr>
            <w:tcW w:type="dxa" w:w="1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4"/>
              </w:rPr>
              <w:t>Supplementary Figure S1</w:t>
            </w:r>
          </w:p>
        </w:tc>
      </w:tr>
    </w:tbl>
    <w:p>
      <w:r>
        <w:br w:type="page"/>
      </w:r>
    </w:p>
    <w:p>
      <w:pPr>
        <w:spacing w:after="80"/>
      </w:pPr>
      <w:r>
        <w:rPr>
          <w:b/>
          <w:sz w:val="24"/>
        </w:rPr>
        <w:t>Supplementary Table S1. Hard-Extreme Robustness Analyses</w:t>
      </w:r>
    </w:p>
    <w:p>
      <w:pPr>
        <w:spacing w:after="120"/>
      </w:pPr>
      <w:r>
        <w:t>Hard-extreme target exclusion analyses using the same stable-v2 modeling configuration.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13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Target</w:t>
            </w:r>
          </w:p>
        </w:tc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Sensitivity analysis</w:t>
            </w:r>
          </w:p>
        </w:tc>
        <w:tc>
          <w:tcPr>
            <w:tcW w:type="dxa" w:w="9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Test N</w:t>
            </w:r>
          </w:p>
        </w:tc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Ridge MAE</w:t>
            </w:r>
          </w:p>
        </w:tc>
        <w:tc>
          <w:tcPr>
            <w:tcW w:type="dxa" w:w="8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Ridge R2</w:t>
            </w:r>
          </w:p>
        </w:tc>
        <w:tc>
          <w:tcPr>
            <w:tcW w:type="dxa" w:w="26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Comparison with primary analysis</w:t>
            </w:r>
          </w:p>
        </w:tc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Interpretation note</w:t>
            </w:r>
          </w:p>
        </w:tc>
      </w:tr>
      <w:tr>
        <w:tc>
          <w:tcPr>
            <w:tcW w:type="dxa" w:w="13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LVOT VTI</w:t>
            </w:r>
          </w:p>
        </w:tc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Hard-extreme exclusion</w:t>
            </w:r>
          </w:p>
        </w:tc>
        <w:tc>
          <w:tcPr>
            <w:tcW w:type="dxa" w:w="9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555</w:t>
            </w:r>
          </w:p>
        </w:tc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3.62 cm</w:t>
            </w:r>
          </w:p>
        </w:tc>
        <w:tc>
          <w:tcPr>
            <w:tcW w:type="dxa" w:w="8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0.376</w:t>
            </w:r>
          </w:p>
        </w:tc>
        <w:tc>
          <w:tcPr>
            <w:tcW w:type="dxa" w:w="26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Primary: MAE 3.64 cm; R2 0.372</w:t>
            </w:r>
          </w:p>
        </w:tc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Similar to primary analysis</w:t>
            </w:r>
          </w:p>
        </w:tc>
      </w:tr>
      <w:tr>
        <w:tc>
          <w:tcPr>
            <w:tcW w:type="dxa" w:w="13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TAPSE</w:t>
            </w:r>
          </w:p>
        </w:tc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Hard-extreme exclusion</w:t>
            </w:r>
          </w:p>
        </w:tc>
        <w:tc>
          <w:tcPr>
            <w:tcW w:type="dxa" w:w="9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160</w:t>
            </w:r>
          </w:p>
        </w:tc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3.17 mm</w:t>
            </w:r>
          </w:p>
        </w:tc>
        <w:tc>
          <w:tcPr>
            <w:tcW w:type="dxa" w:w="8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0.284</w:t>
            </w:r>
          </w:p>
        </w:tc>
        <w:tc>
          <w:tcPr>
            <w:tcW w:type="dxa" w:w="26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Primary: MAE 3.17 mm; R2 0.284</w:t>
            </w:r>
          </w:p>
        </w:tc>
        <w:tc>
          <w:tcPr>
            <w:tcW w:type="dxa" w:w="22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No material change</w:t>
            </w:r>
          </w:p>
        </w:tc>
      </w:tr>
    </w:tbl>
    <w:p>
      <w:r>
        <w:br w:type="page"/>
      </w:r>
    </w:p>
    <w:p>
      <w:pPr>
        <w:spacing w:after="80"/>
      </w:pPr>
      <w:r>
        <w:rPr>
          <w:b/>
          <w:sz w:val="24"/>
        </w:rPr>
        <w:t>Supplementary Table S2. LVOT VTI ECHOVIEW View-Filtered Sensitivity Analyses</w:t>
      </w:r>
    </w:p>
    <w:p>
      <w:pPr>
        <w:spacing w:after="120"/>
      </w:pPr>
      <w:r>
        <w:t>Limited subset sensitivity analyses using ECHOVIEW view-filtered embeddings.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800"/>
        <w:gridCol w:w="1800"/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7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View policy</w:t>
            </w:r>
          </w:p>
        </w:tc>
        <w:tc>
          <w:tcPr>
            <w:tcW w:type="dxa" w:w="9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Threshold</w:t>
            </w:r>
          </w:p>
        </w:tc>
        <w:tc>
          <w:tcPr>
            <w:tcW w:type="dxa" w:w="8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Test N</w:t>
            </w:r>
          </w:p>
        </w:tc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Ridge MAE</w:t>
            </w:r>
          </w:p>
        </w:tc>
        <w:tc>
          <w:tcPr>
            <w:tcW w:type="dxa" w:w="8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Ridge R2</w:t>
            </w:r>
          </w:p>
        </w:tc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Bootstrap CI note</w:t>
            </w:r>
          </w:p>
        </w:tc>
        <w:tc>
          <w:tcPr>
            <w:tcW w:type="dxa" w:w="1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Status</w:t>
            </w:r>
          </w:p>
        </w:tc>
        <w:tc>
          <w:tcPr>
            <w:tcW w:type="dxa" w:w="25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Interpretation note</w:t>
            </w:r>
          </w:p>
        </w:tc>
      </w:tr>
      <w:tr>
        <w:tc>
          <w:tcPr>
            <w:tcW w:type="dxa" w:w="17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A5C-or-other</w:t>
            </w:r>
          </w:p>
        </w:tc>
        <w:tc>
          <w:tcPr>
            <w:tcW w:type="dxa" w:w="9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0.70</w:t>
            </w:r>
          </w:p>
        </w:tc>
        <w:tc>
          <w:tcPr>
            <w:tcW w:type="dxa" w:w="8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65</w:t>
            </w:r>
          </w:p>
        </w:tc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4.07 cm</w:t>
            </w:r>
          </w:p>
        </w:tc>
        <w:tc>
          <w:tcPr>
            <w:tcW w:type="dxa" w:w="8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0.151</w:t>
            </w:r>
          </w:p>
        </w:tc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MAE 3.32 to 4.83 cm; R2 -0.06 to 0.32</w:t>
            </w:r>
          </w:p>
        </w:tc>
        <w:tc>
          <w:tcPr>
            <w:tcW w:type="dxa" w:w="1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Completed</w:t>
            </w:r>
          </w:p>
        </w:tc>
        <w:tc>
          <w:tcPr>
            <w:tcW w:type="dxa" w:w="25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Smaller ECHOVIEW subset</w:t>
            </w:r>
          </w:p>
        </w:tc>
      </w:tr>
      <w:tr>
        <w:tc>
          <w:tcPr>
            <w:tcW w:type="dxa" w:w="17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Other-only</w:t>
            </w:r>
          </w:p>
        </w:tc>
        <w:tc>
          <w:tcPr>
            <w:tcW w:type="dxa" w:w="9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0.70</w:t>
            </w:r>
          </w:p>
        </w:tc>
        <w:tc>
          <w:tcPr>
            <w:tcW w:type="dxa" w:w="8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65</w:t>
            </w:r>
          </w:p>
        </w:tc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4.14 cm</w:t>
            </w:r>
          </w:p>
        </w:tc>
        <w:tc>
          <w:tcPr>
            <w:tcW w:type="dxa" w:w="8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0.123</w:t>
            </w:r>
          </w:p>
        </w:tc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MAE 3.36 to 4.93 cm; R2 -0.12 to 0.30</w:t>
            </w:r>
          </w:p>
        </w:tc>
        <w:tc>
          <w:tcPr>
            <w:tcW w:type="dxa" w:w="1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Completed</w:t>
            </w:r>
          </w:p>
        </w:tc>
        <w:tc>
          <w:tcPr>
            <w:tcW w:type="dxa" w:w="25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Smaller ECHOVIEW subset</w:t>
            </w:r>
          </w:p>
        </w:tc>
      </w:tr>
      <w:tr>
        <w:tc>
          <w:tcPr>
            <w:tcW w:type="dxa" w:w="17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A5C-only</w:t>
            </w:r>
          </w:p>
        </w:tc>
        <w:tc>
          <w:tcPr>
            <w:tcW w:type="dxa" w:w="9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0.70</w:t>
            </w:r>
          </w:p>
        </w:tc>
        <w:tc>
          <w:tcPr>
            <w:tcW w:type="dxa" w:w="8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22</w:t>
            </w:r>
          </w:p>
        </w:tc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Not estimated</w:t>
            </w:r>
          </w:p>
        </w:tc>
        <w:tc>
          <w:tcPr>
            <w:tcW w:type="dxa" w:w="8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Not estimated</w:t>
            </w:r>
          </w:p>
        </w:tc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Not available</w:t>
            </w:r>
          </w:p>
        </w:tc>
        <w:tc>
          <w:tcPr>
            <w:tcW w:type="dxa" w:w="1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Skipped/underpowered</w:t>
            </w:r>
          </w:p>
        </w:tc>
        <w:tc>
          <w:tcPr>
            <w:tcW w:type="dxa" w:w="25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Insufficient training data</w:t>
            </w:r>
          </w:p>
        </w:tc>
      </w:tr>
      <w:tr>
        <w:tc>
          <w:tcPr>
            <w:tcW w:type="dxa" w:w="17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A5C-or-other</w:t>
            </w:r>
          </w:p>
        </w:tc>
        <w:tc>
          <w:tcPr>
            <w:tcW w:type="dxa" w:w="9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0.80</w:t>
            </w:r>
          </w:p>
        </w:tc>
        <w:tc>
          <w:tcPr>
            <w:tcW w:type="dxa" w:w="8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65</w:t>
            </w:r>
          </w:p>
        </w:tc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4.10 cm</w:t>
            </w:r>
          </w:p>
        </w:tc>
        <w:tc>
          <w:tcPr>
            <w:tcW w:type="dxa" w:w="8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0.140</w:t>
            </w:r>
          </w:p>
        </w:tc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MAE 3.34 to 4.87 cm; R2 -0.10 to 0.32</w:t>
            </w:r>
          </w:p>
        </w:tc>
        <w:tc>
          <w:tcPr>
            <w:tcW w:type="dxa" w:w="1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Completed</w:t>
            </w:r>
          </w:p>
        </w:tc>
        <w:tc>
          <w:tcPr>
            <w:tcW w:type="dxa" w:w="25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Higher threshold did not improve performance</w:t>
            </w:r>
          </w:p>
        </w:tc>
      </w:tr>
      <w:tr>
        <w:tc>
          <w:tcPr>
            <w:tcW w:type="dxa" w:w="17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A5C-or-other</w:t>
            </w:r>
          </w:p>
        </w:tc>
        <w:tc>
          <w:tcPr>
            <w:tcW w:type="dxa" w:w="9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0.90</w:t>
            </w:r>
          </w:p>
        </w:tc>
        <w:tc>
          <w:tcPr>
            <w:tcW w:type="dxa" w:w="8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65</w:t>
            </w:r>
          </w:p>
        </w:tc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4.14 cm</w:t>
            </w:r>
          </w:p>
        </w:tc>
        <w:tc>
          <w:tcPr>
            <w:tcW w:type="dxa" w:w="8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0.118</w:t>
            </w:r>
          </w:p>
        </w:tc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MAE 3.36 to 5.01 cm; R2 -0.13 to 0.32</w:t>
            </w:r>
          </w:p>
        </w:tc>
        <w:tc>
          <w:tcPr>
            <w:tcW w:type="dxa" w:w="1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Completed</w:t>
            </w:r>
          </w:p>
        </w:tc>
        <w:tc>
          <w:tcPr>
            <w:tcW w:type="dxa" w:w="25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Higher threshold did not improve performance</w:t>
            </w:r>
          </w:p>
        </w:tc>
      </w:tr>
      <w:tr>
        <w:tc>
          <w:tcPr>
            <w:tcW w:type="dxa" w:w="17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A5C-or-other</w:t>
            </w:r>
          </w:p>
        </w:tc>
        <w:tc>
          <w:tcPr>
            <w:tcW w:type="dxa" w:w="9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0.95</w:t>
            </w:r>
          </w:p>
        </w:tc>
        <w:tc>
          <w:tcPr>
            <w:tcW w:type="dxa" w:w="8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65</w:t>
            </w:r>
          </w:p>
        </w:tc>
        <w:tc>
          <w:tcPr>
            <w:tcW w:type="dxa" w:w="10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4.14 cm</w:t>
            </w:r>
          </w:p>
        </w:tc>
        <w:tc>
          <w:tcPr>
            <w:tcW w:type="dxa" w:w="8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0.119</w:t>
            </w:r>
          </w:p>
        </w:tc>
        <w:tc>
          <w:tcPr>
            <w:tcW w:type="dxa" w:w="30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MAE 3.38 to 4.96 cm; R2 -0.12 to 0.31</w:t>
            </w:r>
          </w:p>
        </w:tc>
        <w:tc>
          <w:tcPr>
            <w:tcW w:type="dxa" w:w="15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Completed</w:t>
            </w:r>
          </w:p>
        </w:tc>
        <w:tc>
          <w:tcPr>
            <w:tcW w:type="dxa" w:w="25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Higher threshold did not improve performance</w:t>
            </w:r>
          </w:p>
        </w:tc>
      </w:tr>
    </w:tbl>
    <w:p>
      <w:r>
        <w:br w:type="page"/>
      </w:r>
    </w:p>
    <w:p>
      <w:pPr>
        <w:spacing w:after="80"/>
      </w:pPr>
      <w:r>
        <w:rPr>
          <w:b/>
          <w:sz w:val="24"/>
        </w:rPr>
        <w:t>Supplementary Table S3. Exploratory Binary Low-VTI Summaries</w:t>
      </w:r>
    </w:p>
    <w:p>
      <w:pPr>
        <w:spacing w:after="120"/>
      </w:pPr>
      <w:r>
        <w:t>Thresholded summaries of continuous LVOT VTI predictions; these were not separately trained classifiers.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600"/>
        <w:gridCol w:w="1600"/>
        <w:gridCol w:w="1600"/>
        <w:gridCol w:w="1600"/>
        <w:gridCol w:w="1600"/>
        <w:gridCol w:w="1600"/>
        <w:gridCol w:w="1600"/>
        <w:gridCol w:w="1600"/>
        <w:gridCol w:w="1600"/>
      </w:tblGrid>
      <w:tr>
        <w:tc>
          <w:tcPr>
            <w:tcW w:type="dxa" w:w="21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Threshold</w:t>
            </w:r>
          </w:p>
        </w:tc>
        <w:tc>
          <w:tcPr>
            <w:tcW w:type="dxa" w:w="11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Test prevalence</w:t>
            </w:r>
          </w:p>
        </w:tc>
        <w:tc>
          <w:tcPr>
            <w:tcW w:type="dxa" w:w="8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AUROC</w:t>
            </w:r>
          </w:p>
        </w:tc>
        <w:tc>
          <w:tcPr>
            <w:tcW w:type="dxa" w:w="10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Sensitivity</w:t>
            </w:r>
          </w:p>
        </w:tc>
        <w:tc>
          <w:tcPr>
            <w:tcW w:type="dxa" w:w="10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Specificity</w:t>
            </w:r>
          </w:p>
        </w:tc>
        <w:tc>
          <w:tcPr>
            <w:tcW w:type="dxa" w:w="79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PPV</w:t>
            </w:r>
          </w:p>
        </w:tc>
        <w:tc>
          <w:tcPr>
            <w:tcW w:type="dxa" w:w="79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NPV</w:t>
            </w:r>
          </w:p>
        </w:tc>
        <w:tc>
          <w:tcPr>
            <w:tcW w:type="dxa" w:w="7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F1</w:t>
            </w:r>
          </w:p>
        </w:tc>
        <w:tc>
          <w:tcPr>
            <w:tcW w:type="dxa" w:w="38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E8EEF5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  <w:t>Note</w:t>
            </w:r>
          </w:p>
        </w:tc>
      </w:tr>
      <w:tr>
        <w:tc>
          <w:tcPr>
            <w:tcW w:type="dxa" w:w="21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LVOT VTI &lt;18 cm</w:t>
            </w:r>
          </w:p>
        </w:tc>
        <w:tc>
          <w:tcPr>
            <w:tcW w:type="dxa" w:w="11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0.191</w:t>
            </w:r>
          </w:p>
        </w:tc>
        <w:tc>
          <w:tcPr>
            <w:tcW w:type="dxa" w:w="8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0.846</w:t>
            </w:r>
          </w:p>
        </w:tc>
        <w:tc>
          <w:tcPr>
            <w:tcW w:type="dxa" w:w="10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0.358</w:t>
            </w:r>
          </w:p>
        </w:tc>
        <w:tc>
          <w:tcPr>
            <w:tcW w:type="dxa" w:w="10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0.960</w:t>
            </w:r>
          </w:p>
        </w:tc>
        <w:tc>
          <w:tcPr>
            <w:tcW w:type="dxa" w:w="79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0.679</w:t>
            </w:r>
          </w:p>
        </w:tc>
        <w:tc>
          <w:tcPr>
            <w:tcW w:type="dxa" w:w="79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0.864</w:t>
            </w:r>
          </w:p>
        </w:tc>
        <w:tc>
          <w:tcPr>
            <w:tcW w:type="dxa" w:w="7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0.469</w:t>
            </w:r>
          </w:p>
        </w:tc>
        <w:tc>
          <w:tcPr>
            <w:tcW w:type="dxa" w:w="38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Thresholded summary of continuous LVOT VTI predictions</w:t>
            </w:r>
          </w:p>
        </w:tc>
      </w:tr>
      <w:tr>
        <w:tc>
          <w:tcPr>
            <w:tcW w:type="dxa" w:w="21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LVOT VTI &lt;20 cm</w:t>
            </w:r>
          </w:p>
        </w:tc>
        <w:tc>
          <w:tcPr>
            <w:tcW w:type="dxa" w:w="11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0.332</w:t>
            </w:r>
          </w:p>
        </w:tc>
        <w:tc>
          <w:tcPr>
            <w:tcW w:type="dxa" w:w="8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0.812</w:t>
            </w:r>
          </w:p>
        </w:tc>
        <w:tc>
          <w:tcPr>
            <w:tcW w:type="dxa" w:w="10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0.478</w:t>
            </w:r>
          </w:p>
        </w:tc>
        <w:tc>
          <w:tcPr>
            <w:tcW w:type="dxa" w:w="10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0.911</w:t>
            </w:r>
          </w:p>
        </w:tc>
        <w:tc>
          <w:tcPr>
            <w:tcW w:type="dxa" w:w="79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0.727</w:t>
            </w:r>
          </w:p>
        </w:tc>
        <w:tc>
          <w:tcPr>
            <w:tcW w:type="dxa" w:w="79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0.779</w:t>
            </w:r>
          </w:p>
        </w:tc>
        <w:tc>
          <w:tcPr>
            <w:tcW w:type="dxa" w:w="7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/>
                <w:sz w:val="16"/>
              </w:rPr>
              <w:t>0.577</w:t>
            </w:r>
          </w:p>
        </w:tc>
        <w:tc>
          <w:tcPr>
            <w:tcW w:type="dxa" w:w="38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/>
                <w:sz w:val="16"/>
              </w:rPr>
              <w:t>Thresholded summary of continuous LVOT VTI predictions</w:t>
            </w:r>
          </w:p>
        </w:tc>
      </w:tr>
    </w:tbl>
    <w:p>
      <w:pPr>
        <w:spacing w:before="160"/>
      </w:pPr>
      <w:r>
        <w:rPr>
          <w:sz w:val="16"/>
        </w:rPr>
        <w:t>Abbreviations: AUROC, area under the receiver operating characteristic curve; CI, confidence interval; LVOT VTI, left ventricular outflow tract velocity-time integral; MAE, mean absolute error; NPV, negative predictive value; PPV, positive predictive value; RMSE, root mean squared error; TAPSE, tricuspid annular plane systolic excursion.</w:t>
      </w:r>
    </w:p>
    <w:sectPr w:rsidR="00FC693F" w:rsidRPr="0006063C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