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Manuscript Tables</w:t>
      </w:r>
    </w:p>
    <w:p>
      <w:pPr>
        <w:spacing w:after="200"/>
      </w:pPr>
      <w:r>
        <w:rPr>
          <w:rFonts w:ascii="Calibri" w:hAnsi="Calibri"/>
          <w:color w:val="444444"/>
          <w:sz w:val="18"/>
        </w:rPr>
        <w:t>Canonical table packet regenerated from canonical CSV table sources. Contains aggregate manuscript tables only; no row-level data, identifiers, paths, or restricted manifests.</w:t>
      </w:r>
    </w:p>
    <w:p>
      <w:pPr>
        <w:pStyle w:val="Heading1"/>
      </w:pPr>
      <w:r>
        <w:t>Table 1. Main Continuous Performance Metrics</w:t>
      </w:r>
    </w:p>
    <w:tbl>
      <w:tblGrid>
        <w:gridCol w:w="1196"/>
        <w:gridCol w:w="1104"/>
        <w:gridCol w:w="736"/>
        <w:gridCol w:w="1043"/>
        <w:gridCol w:w="1043"/>
        <w:gridCol w:w="1380"/>
        <w:gridCol w:w="1043"/>
        <w:gridCol w:w="889"/>
        <w:gridCol w:w="1196"/>
        <w:gridCol w:w="920"/>
        <w:gridCol w:w="1150"/>
        <w:gridCol w:w="1610"/>
        <w:gridCol w:w="1227"/>
      </w:tblGrid>
      <w:tblPr>
        <w:tblW w:type="dxa" w:w="1454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</w:tblPr>
      <w:tr>
        <w:trPr>
          <w:tblHeader/>
        </w:trPr>
        <w:tc>
          <w:tcPr>
            <w:tcW w:type="dxa" w:w="119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Target</w:t>
            </w:r>
          </w:p>
        </w:tc>
        <w:tc>
          <w:tcPr>
            <w:tcW w:type="dxa" w:w="1104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Role</w:t>
            </w:r>
          </w:p>
        </w:tc>
        <w:tc>
          <w:tcPr>
            <w:tcW w:type="dxa" w:w="73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Test N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Null MAE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MAE</w:t>
            </w:r>
          </w:p>
        </w:tc>
        <w:tc>
          <w:tcPr>
            <w:tcW w:type="dxa" w:w="1380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MAE 95% CI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RMSE</w:t>
            </w:r>
          </w:p>
        </w:tc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R2</w:t>
            </w:r>
          </w:p>
        </w:tc>
        <w:tc>
          <w:tcPr>
            <w:tcW w:type="dxa" w:w="119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R2 95% CI</w:t>
            </w:r>
          </w:p>
        </w:tc>
        <w:tc>
          <w:tcPr>
            <w:tcW w:type="dxa" w:w="920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Selected alpha</w:t>
            </w:r>
          </w:p>
        </w:tc>
        <w:tc>
          <w:tcPr>
            <w:tcW w:type="dxa" w:w="1150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Bland-Altman bias</w:t>
            </w:r>
          </w:p>
        </w:tc>
        <w:tc>
          <w:tcPr>
            <w:tcW w:type="dxa" w:w="1610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Bland-Altman limits of agreement</w:t>
            </w:r>
          </w:p>
        </w:tc>
        <w:tc>
          <w:tcPr>
            <w:tcW w:type="dxa" w:w="122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Figure callout</w:t>
            </w:r>
          </w:p>
        </w:tc>
      </w:tr>
      <w:tr>
        <w:tc>
          <w:tcPr>
            <w:tcW w:type="dxa" w:w="11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LVOT VTI</w:t>
            </w:r>
          </w:p>
        </w:tc>
        <w:tc>
          <w:tcPr>
            <w:tcW w:type="dxa" w:w="11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Primary</w:t>
            </w:r>
          </w:p>
        </w:tc>
        <w:tc>
          <w:tcPr>
            <w:tcW w:type="dxa" w:w="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555</w:t>
            </w:r>
          </w:p>
        </w:tc>
        <w:tc>
          <w:tcPr>
            <w:tcW w:type="dxa" w:w="1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4.54 cm</w:t>
            </w:r>
          </w:p>
        </w:tc>
        <w:tc>
          <w:tcPr>
            <w:tcW w:type="dxa" w:w="1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3.64 cm</w:t>
            </w:r>
          </w:p>
        </w:tc>
        <w:tc>
          <w:tcPr>
            <w:tcW w:type="dxa" w:w="13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3.41 to 3.88 cm</w:t>
            </w:r>
          </w:p>
        </w:tc>
        <w:tc>
          <w:tcPr>
            <w:tcW w:type="dxa" w:w="1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4.66 cm</w:t>
            </w:r>
          </w:p>
        </w:tc>
        <w:tc>
          <w:tcPr>
            <w:tcW w:type="dxa" w:w="88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0.372</w:t>
            </w:r>
          </w:p>
        </w:tc>
        <w:tc>
          <w:tcPr>
            <w:tcW w:type="dxa" w:w="11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0.30 to 0.43</w:t>
            </w:r>
          </w:p>
        </w:tc>
        <w:tc>
          <w:tcPr>
            <w:tcW w:type="dxa" w:w="9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+0.28 cm</w:t>
            </w:r>
          </w:p>
        </w:tc>
        <w:tc>
          <w:tcPr>
            <w:tcW w:type="dxa" w:w="161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-8.85 to +9.41 cm</w:t>
            </w:r>
          </w:p>
        </w:tc>
        <w:tc>
          <w:tcPr>
            <w:tcW w:type="dxa" w:w="12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Figure 1</w:t>
            </w:r>
          </w:p>
        </w:tc>
      </w:tr>
      <w:tr>
        <w:tc>
          <w:tcPr>
            <w:tcW w:type="dxa" w:w="11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TAPSE</w:t>
            </w:r>
          </w:p>
        </w:tc>
        <w:tc>
          <w:tcPr>
            <w:tcW w:type="dxa" w:w="11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Secondary</w:t>
            </w:r>
          </w:p>
        </w:tc>
        <w:tc>
          <w:tcPr>
            <w:tcW w:type="dxa" w:w="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160</w:t>
            </w:r>
          </w:p>
        </w:tc>
        <w:tc>
          <w:tcPr>
            <w:tcW w:type="dxa" w:w="1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3.79 mm</w:t>
            </w:r>
          </w:p>
        </w:tc>
        <w:tc>
          <w:tcPr>
            <w:tcW w:type="dxa" w:w="1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3.17 mm</w:t>
            </w:r>
          </w:p>
        </w:tc>
        <w:tc>
          <w:tcPr>
            <w:tcW w:type="dxa" w:w="13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2.80 to 3.56 mm</w:t>
            </w:r>
          </w:p>
        </w:tc>
        <w:tc>
          <w:tcPr>
            <w:tcW w:type="dxa" w:w="104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3.94 mm</w:t>
            </w:r>
          </w:p>
        </w:tc>
        <w:tc>
          <w:tcPr>
            <w:tcW w:type="dxa" w:w="88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0.284</w:t>
            </w:r>
          </w:p>
        </w:tc>
        <w:tc>
          <w:tcPr>
            <w:tcW w:type="dxa" w:w="11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0.13 to 0.40</w:t>
            </w:r>
          </w:p>
        </w:tc>
        <w:tc>
          <w:tcPr>
            <w:tcW w:type="dxa" w:w="9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1000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+0.22 mm</w:t>
            </w:r>
          </w:p>
        </w:tc>
        <w:tc>
          <w:tcPr>
            <w:tcW w:type="dxa" w:w="161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-7.52 to +7.96 mm</w:t>
            </w:r>
          </w:p>
        </w:tc>
        <w:tc>
          <w:tcPr>
            <w:tcW w:type="dxa" w:w="12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Supplementary Figure S1</w:t>
            </w:r>
          </w:p>
        </w:tc>
      </w:tr>
    </w:tbl>
    <w:p>
      <w:pPr>
        <w:spacing w:before="60" w:after="160" w:line="252" w:lineRule="auto"/>
      </w:pPr>
      <w:r>
        <w:rPr>
          <w:rFonts w:ascii="Calibri" w:hAnsi="Calibri"/>
          <w:b/>
          <w:color w:val="444444"/>
          <w:sz w:val="16"/>
        </w:rPr>
        <w:t xml:space="preserve">Footnote: </w:t>
      </w:r>
      <w:r>
        <w:rPr>
          <w:rFonts w:ascii="Calibri" w:hAnsi="Calibri"/>
          <w:color w:val="444444"/>
          <w:sz w:val="16"/>
        </w:rPr>
        <w:t>Main imaging-only baseline performance using frozen EchoPrime study embeddings and deterministic subject-level train/validation/test splits. MAE and RMSE units are cm for LVOT VTI and mm for TAPSE. CI = confidence interval; LVOT VTI = left ventricular outflow tract velocity-time integral; MAE = mean absolute error; RMSE = root mean squared error; TAPSE = tricuspid annular plane systolic excursion.</w:t>
      </w:r>
    </w:p>
    <w:p>
      <w:r>
        <w:br w:type="page"/>
      </w:r>
    </w:p>
    <w:p>
      <w:pPr>
        <w:pStyle w:val="Heading1"/>
      </w:pPr>
      <w:r>
        <w:t>Supplementary Table S1. Hard-Extreme Robustness</w:t>
      </w:r>
    </w:p>
    <w:tbl>
      <w:tblGrid>
        <w:gridCol w:w="1726"/>
        <w:gridCol w:w="2206"/>
        <w:gridCol w:w="1151"/>
        <w:gridCol w:w="1496"/>
        <w:gridCol w:w="1247"/>
        <w:gridCol w:w="3453"/>
        <w:gridCol w:w="3261"/>
      </w:tblGrid>
      <w:tblPr>
        <w:tblW w:type="dxa" w:w="1454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</w:tblPr>
      <w:tr>
        <w:trPr>
          <w:tblHeader/>
        </w:trPr>
        <w:tc>
          <w:tcPr>
            <w:tcW w:type="dxa" w:w="172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Target</w:t>
            </w:r>
          </w:p>
        </w:tc>
        <w:tc>
          <w:tcPr>
            <w:tcW w:type="dxa" w:w="220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Sensitivity analysis</w:t>
            </w: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Test N</w:t>
            </w:r>
          </w:p>
        </w:tc>
        <w:tc>
          <w:tcPr>
            <w:tcW w:type="dxa" w:w="149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MAE</w:t>
            </w:r>
          </w:p>
        </w:tc>
        <w:tc>
          <w:tcPr>
            <w:tcW w:type="dxa" w:w="124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R2</w:t>
            </w:r>
          </w:p>
        </w:tc>
        <w:tc>
          <w:tcPr>
            <w:tcW w:type="dxa" w:w="3453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Comparison with primary analysis</w:t>
            </w:r>
          </w:p>
        </w:tc>
        <w:tc>
          <w:tcPr>
            <w:tcW w:type="dxa" w:w="3261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Interpretation note</w:t>
            </w:r>
          </w:p>
        </w:tc>
      </w:tr>
      <w:tr>
        <w:tc>
          <w:tcPr>
            <w:tcW w:type="dxa" w:w="172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LVOT VTI</w:t>
            </w:r>
          </w:p>
        </w:tc>
        <w:tc>
          <w:tcPr>
            <w:tcW w:type="dxa" w:w="220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Hard-extreme exclusion</w:t>
            </w:r>
          </w:p>
        </w:tc>
        <w:tc>
          <w:tcPr>
            <w:tcW w:type="dxa" w:w="11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555</w:t>
            </w:r>
          </w:p>
        </w:tc>
        <w:tc>
          <w:tcPr>
            <w:tcW w:type="dxa" w:w="14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3.62 cm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0.376</w:t>
            </w:r>
          </w:p>
        </w:tc>
        <w:tc>
          <w:tcPr>
            <w:tcW w:type="dxa" w:w="34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Primary: MAE 3.64 cm; R2 0.372</w:t>
            </w:r>
          </w:p>
        </w:tc>
        <w:tc>
          <w:tcPr>
            <w:tcW w:type="dxa" w:w="32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Similar to primary analysis</w:t>
            </w:r>
          </w:p>
        </w:tc>
      </w:tr>
      <w:tr>
        <w:tc>
          <w:tcPr>
            <w:tcW w:type="dxa" w:w="172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TAPSE</w:t>
            </w:r>
          </w:p>
        </w:tc>
        <w:tc>
          <w:tcPr>
            <w:tcW w:type="dxa" w:w="220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Hard-extreme exclusion</w:t>
            </w:r>
          </w:p>
        </w:tc>
        <w:tc>
          <w:tcPr>
            <w:tcW w:type="dxa" w:w="11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160</w:t>
            </w:r>
          </w:p>
        </w:tc>
        <w:tc>
          <w:tcPr>
            <w:tcW w:type="dxa" w:w="14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3.17 mm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0.284</w:t>
            </w:r>
          </w:p>
        </w:tc>
        <w:tc>
          <w:tcPr>
            <w:tcW w:type="dxa" w:w="345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Primary: MAE 3.17 mm; R2 0.284</w:t>
            </w:r>
          </w:p>
        </w:tc>
        <w:tc>
          <w:tcPr>
            <w:tcW w:type="dxa" w:w="32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No material change</w:t>
            </w:r>
          </w:p>
        </w:tc>
      </w:tr>
    </w:tbl>
    <w:p>
      <w:pPr>
        <w:spacing w:before="60" w:after="160" w:line="252" w:lineRule="auto"/>
      </w:pPr>
      <w:r>
        <w:rPr>
          <w:rFonts w:ascii="Calibri" w:hAnsi="Calibri"/>
          <w:b/>
          <w:color w:val="444444"/>
          <w:sz w:val="16"/>
        </w:rPr>
        <w:t xml:space="preserve">Footnote: </w:t>
      </w:r>
      <w:r>
        <w:rPr>
          <w:rFonts w:ascii="Calibri" w:hAnsi="Calibri"/>
          <w:color w:val="444444"/>
          <w:sz w:val="16"/>
        </w:rPr>
        <w:t>Hard-extreme exclusion was a robustness check and was not treated as a co-primary analysis.</w:t>
      </w:r>
    </w:p>
    <w:p>
      <w:r>
        <w:br w:type="page"/>
      </w:r>
    </w:p>
    <w:p>
      <w:pPr>
        <w:pStyle w:val="Heading1"/>
      </w:pPr>
      <w:r>
        <w:t>Supplementary Table S2. ECHOVIEW View-Filtered Sensitivity Analyses</w:t>
      </w:r>
    </w:p>
    <w:tbl>
      <w:tblGrid>
        <w:gridCol w:w="1962"/>
        <w:gridCol w:w="1084"/>
        <w:gridCol w:w="1028"/>
        <w:gridCol w:w="1308"/>
        <w:gridCol w:w="1028"/>
        <w:gridCol w:w="3458"/>
        <w:gridCol w:w="1775"/>
        <w:gridCol w:w="2897"/>
      </w:tblGrid>
      <w:tblPr>
        <w:tblW w:type="dxa" w:w="1454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</w:tblPr>
      <w:tr>
        <w:trPr>
          <w:tblHeader/>
        </w:trPr>
        <w:tc>
          <w:tcPr>
            <w:tcW w:type="dxa" w:w="1962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View policy</w:t>
            </w:r>
          </w:p>
        </w:tc>
        <w:tc>
          <w:tcPr>
            <w:tcW w:type="dxa" w:w="1084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Threshold</w:t>
            </w:r>
          </w:p>
        </w:tc>
        <w:tc>
          <w:tcPr>
            <w:tcW w:type="dxa" w:w="1028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Test N</w:t>
            </w:r>
          </w:p>
        </w:tc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MAE</w:t>
            </w:r>
          </w:p>
        </w:tc>
        <w:tc>
          <w:tcPr>
            <w:tcW w:type="dxa" w:w="1028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Ridge R2</w:t>
            </w:r>
          </w:p>
        </w:tc>
        <w:tc>
          <w:tcPr>
            <w:tcW w:type="dxa" w:w="3458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Bootstrap CI note</w:t>
            </w:r>
          </w:p>
        </w:tc>
        <w:tc>
          <w:tcPr>
            <w:tcW w:type="dxa" w:w="1775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Status</w:t>
            </w:r>
          </w:p>
        </w:tc>
        <w:tc>
          <w:tcPr>
            <w:tcW w:type="dxa" w:w="289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Interpretation note</w:t>
            </w:r>
          </w:p>
        </w:tc>
      </w:tr>
      <w:tr>
        <w:tc>
          <w:tcPr>
            <w:tcW w:type="dxa" w:w="19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A5C-or-other</w:t>
            </w:r>
          </w:p>
        </w:tc>
        <w:tc>
          <w:tcPr>
            <w:tcW w:type="dxa" w:w="10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0.70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65</w:t>
            </w:r>
          </w:p>
        </w:tc>
        <w:tc>
          <w:tcPr>
            <w:tcW w:type="dxa" w:w="13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4.07 cm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0.151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MAE 3.32 to 4.83 cm; R2 -0.06 to 0.32</w:t>
            </w:r>
          </w:p>
        </w:tc>
        <w:tc>
          <w:tcPr>
            <w:tcW w:type="dxa" w:w="17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Completed</w:t>
            </w:r>
          </w:p>
        </w:tc>
        <w:tc>
          <w:tcPr>
            <w:tcW w:type="dxa" w:w="289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Smaller ECHOVIEW subset</w:t>
            </w:r>
          </w:p>
        </w:tc>
      </w:tr>
      <w:tr>
        <w:tc>
          <w:tcPr>
            <w:tcW w:type="dxa" w:w="19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Other-only</w:t>
            </w:r>
          </w:p>
        </w:tc>
        <w:tc>
          <w:tcPr>
            <w:tcW w:type="dxa" w:w="10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0.70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65</w:t>
            </w:r>
          </w:p>
        </w:tc>
        <w:tc>
          <w:tcPr>
            <w:tcW w:type="dxa" w:w="13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4.14 cm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0.123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MAE 3.36 to 4.93 cm; R2 -0.12 to 0.30</w:t>
            </w:r>
          </w:p>
        </w:tc>
        <w:tc>
          <w:tcPr>
            <w:tcW w:type="dxa" w:w="17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Completed</w:t>
            </w:r>
          </w:p>
        </w:tc>
        <w:tc>
          <w:tcPr>
            <w:tcW w:type="dxa" w:w="289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Smaller ECHOVIEW subset</w:t>
            </w:r>
          </w:p>
        </w:tc>
      </w:tr>
      <w:tr>
        <w:tc>
          <w:tcPr>
            <w:tcW w:type="dxa" w:w="19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A5C-only</w:t>
            </w:r>
          </w:p>
        </w:tc>
        <w:tc>
          <w:tcPr>
            <w:tcW w:type="dxa" w:w="10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0.70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22</w:t>
            </w:r>
          </w:p>
        </w:tc>
        <w:tc>
          <w:tcPr>
            <w:tcW w:type="dxa" w:w="13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Not estimated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Not estimated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Not available</w:t>
            </w:r>
          </w:p>
        </w:tc>
        <w:tc>
          <w:tcPr>
            <w:tcW w:type="dxa" w:w="17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Skipped/underpowered</w:t>
            </w:r>
          </w:p>
        </w:tc>
        <w:tc>
          <w:tcPr>
            <w:tcW w:type="dxa" w:w="289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Insufficient training data</w:t>
            </w:r>
          </w:p>
        </w:tc>
      </w:tr>
      <w:tr>
        <w:tc>
          <w:tcPr>
            <w:tcW w:type="dxa" w:w="19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A5C-or-other</w:t>
            </w:r>
          </w:p>
        </w:tc>
        <w:tc>
          <w:tcPr>
            <w:tcW w:type="dxa" w:w="10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0.80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65</w:t>
            </w:r>
          </w:p>
        </w:tc>
        <w:tc>
          <w:tcPr>
            <w:tcW w:type="dxa" w:w="13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4.10 cm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0.140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MAE 3.34 to 4.87 cm; R2 -0.10 to 0.32</w:t>
            </w:r>
          </w:p>
        </w:tc>
        <w:tc>
          <w:tcPr>
            <w:tcW w:type="dxa" w:w="17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Completed</w:t>
            </w:r>
          </w:p>
        </w:tc>
        <w:tc>
          <w:tcPr>
            <w:tcW w:type="dxa" w:w="289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Higher threshold did not improve performance</w:t>
            </w:r>
          </w:p>
        </w:tc>
      </w:tr>
      <w:tr>
        <w:tc>
          <w:tcPr>
            <w:tcW w:type="dxa" w:w="19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A5C-or-other</w:t>
            </w:r>
          </w:p>
        </w:tc>
        <w:tc>
          <w:tcPr>
            <w:tcW w:type="dxa" w:w="10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0.90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65</w:t>
            </w:r>
          </w:p>
        </w:tc>
        <w:tc>
          <w:tcPr>
            <w:tcW w:type="dxa" w:w="13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4.14 cm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0.118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MAE 3.36 to 5.01 cm; R2 -0.13 to 0.32</w:t>
            </w:r>
          </w:p>
        </w:tc>
        <w:tc>
          <w:tcPr>
            <w:tcW w:type="dxa" w:w="17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Completed</w:t>
            </w:r>
          </w:p>
        </w:tc>
        <w:tc>
          <w:tcPr>
            <w:tcW w:type="dxa" w:w="289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Higher threshold did not improve performance</w:t>
            </w:r>
          </w:p>
        </w:tc>
      </w:tr>
      <w:tr>
        <w:tc>
          <w:tcPr>
            <w:tcW w:type="dxa" w:w="19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A5C-or-other</w:t>
            </w:r>
          </w:p>
        </w:tc>
        <w:tc>
          <w:tcPr>
            <w:tcW w:type="dxa" w:w="10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0.95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65</w:t>
            </w:r>
          </w:p>
        </w:tc>
        <w:tc>
          <w:tcPr>
            <w:tcW w:type="dxa" w:w="13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4.14 cm</w:t>
            </w:r>
          </w:p>
        </w:tc>
        <w:tc>
          <w:tcPr>
            <w:tcW w:type="dxa" w:w="10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0.119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MAE 3.38 to 4.96 cm; R2 -0.12 to 0.31</w:t>
            </w:r>
          </w:p>
        </w:tc>
        <w:tc>
          <w:tcPr>
            <w:tcW w:type="dxa" w:w="17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Completed</w:t>
            </w:r>
          </w:p>
        </w:tc>
        <w:tc>
          <w:tcPr>
            <w:tcW w:type="dxa" w:w="289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Higher threshold did not improve performance</w:t>
            </w:r>
          </w:p>
        </w:tc>
      </w:tr>
    </w:tbl>
    <w:p>
      <w:pPr>
        <w:spacing w:before="60" w:after="160" w:line="252" w:lineRule="auto"/>
      </w:pPr>
      <w:r>
        <w:rPr>
          <w:rFonts w:ascii="Calibri" w:hAnsi="Calibri"/>
          <w:b/>
          <w:color w:val="444444"/>
          <w:sz w:val="16"/>
        </w:rPr>
        <w:t xml:space="preserve">Footnote: </w:t>
      </w:r>
      <w:r>
        <w:rPr>
          <w:rFonts w:ascii="Calibri" w:hAnsi="Calibri"/>
          <w:color w:val="444444"/>
          <w:sz w:val="16"/>
        </w:rPr>
        <w:t>LVOT VTI sensitivity analyses using ECHOVIEW view-filtered embeddings. These analyses are limited subset analyses and were not used as the primary modeling denominator. A5C-only at threshold 0.70 was skipped because of insufficient training data and should not be interpreted as a negative result.</w:t>
      </w:r>
    </w:p>
    <w:p>
      <w:r>
        <w:br w:type="page"/>
      </w:r>
    </w:p>
    <w:p>
      <w:pPr>
        <w:pStyle w:val="Heading1"/>
      </w:pPr>
      <w:r>
        <w:t>Supplementary Table S3. Exploratory Binary Threshold Summaries Derived From Continuous Predictions</w:t>
      </w:r>
    </w:p>
    <w:tbl>
      <w:tblGrid>
        <w:gridCol w:w="1290"/>
        <w:gridCol w:w="1025"/>
        <w:gridCol w:w="827"/>
        <w:gridCol w:w="959"/>
        <w:gridCol w:w="1025"/>
        <w:gridCol w:w="910"/>
        <w:gridCol w:w="1191"/>
        <w:gridCol w:w="1092"/>
        <w:gridCol w:w="1092"/>
        <w:gridCol w:w="827"/>
        <w:gridCol w:w="827"/>
        <w:gridCol w:w="744"/>
        <w:gridCol w:w="2730"/>
      </w:tblGrid>
      <w:tblPr>
        <w:tblW w:type="dxa" w:w="1454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</w:tblPr>
      <w:tr>
        <w:trPr>
          <w:tblHeader/>
        </w:trPr>
        <w:tc>
          <w:tcPr>
            <w:tcW w:type="dxa" w:w="1290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Target</w:t>
            </w:r>
          </w:p>
        </w:tc>
        <w:tc>
          <w:tcPr>
            <w:tcW w:type="dxa" w:w="1025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Threshold</w:t>
            </w:r>
          </w:p>
        </w:tc>
        <w:tc>
          <w:tcPr>
            <w:tcW w:type="dxa" w:w="82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Test N</w:t>
            </w:r>
          </w:p>
        </w:tc>
        <w:tc>
          <w:tcPr>
            <w:tcW w:type="dxa" w:w="959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Positives</w:t>
            </w:r>
          </w:p>
        </w:tc>
        <w:tc>
          <w:tcPr>
            <w:tcW w:type="dxa" w:w="1025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Prevalence</w:t>
            </w:r>
          </w:p>
        </w:tc>
        <w:tc>
          <w:tcPr>
            <w:tcW w:type="dxa" w:w="910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AUROC</w:t>
            </w:r>
          </w:p>
        </w:tc>
        <w:tc>
          <w:tcPr>
            <w:tcW w:type="dxa" w:w="1191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Average precision</w:t>
            </w:r>
          </w:p>
        </w:tc>
        <w:tc>
          <w:tcPr>
            <w:tcW w:type="dxa" w:w="1092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Sensitivity</w:t>
            </w:r>
          </w:p>
        </w:tc>
        <w:tc>
          <w:tcPr>
            <w:tcW w:type="dxa" w:w="1092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Specificity</w:t>
            </w:r>
          </w:p>
        </w:tc>
        <w:tc>
          <w:tcPr>
            <w:tcW w:type="dxa" w:w="82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PPV</w:t>
            </w:r>
          </w:p>
        </w:tc>
        <w:tc>
          <w:tcPr>
            <w:tcW w:type="dxa" w:w="82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NPV</w:t>
            </w:r>
          </w:p>
        </w:tc>
        <w:tc>
          <w:tcPr>
            <w:tcW w:type="dxa" w:w="744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F1</w:t>
            </w:r>
          </w:p>
        </w:tc>
        <w:tc>
          <w:tcPr>
            <w:tcW w:type="dxa" w:w="2730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Note</w:t>
            </w:r>
          </w:p>
        </w:tc>
      </w:tr>
      <w:tr>
        <w:tc>
          <w:tcPr>
            <w:tcW w:type="dxa" w:w="12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LVOT VTI</w:t>
            </w:r>
          </w:p>
        </w:tc>
        <w:tc>
          <w:tcPr>
            <w:tcW w:type="dxa" w:w="10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&lt;18 cm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555</w:t>
            </w:r>
          </w:p>
        </w:tc>
        <w:tc>
          <w:tcPr>
            <w:tcW w:type="dxa" w:w="9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106</w:t>
            </w:r>
          </w:p>
        </w:tc>
        <w:tc>
          <w:tcPr>
            <w:tcW w:type="dxa" w:w="10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0.191</w:t>
            </w:r>
          </w:p>
        </w:tc>
        <w:tc>
          <w:tcPr>
            <w:tcW w:type="dxa" w:w="91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0.846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0.569</w:t>
            </w:r>
          </w:p>
        </w:tc>
        <w:tc>
          <w:tcPr>
            <w:tcW w:type="dxa" w:w="10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0.358</w:t>
            </w:r>
          </w:p>
        </w:tc>
        <w:tc>
          <w:tcPr>
            <w:tcW w:type="dxa" w:w="10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0.960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0.679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0.864</w:t>
            </w:r>
          </w:p>
        </w:tc>
        <w:tc>
          <w:tcPr>
            <w:tcW w:type="dxa" w:w="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0.469</w:t>
            </w:r>
          </w:p>
        </w:tc>
        <w:tc>
          <w:tcPr>
            <w:tcW w:type="dxa" w:w="27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Exploratory thresholded summary of continuous LVOT VTI predictions</w:t>
            </w:r>
          </w:p>
        </w:tc>
      </w:tr>
      <w:tr>
        <w:tc>
          <w:tcPr>
            <w:tcW w:type="dxa" w:w="12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LVOT VTI</w:t>
            </w:r>
          </w:p>
        </w:tc>
        <w:tc>
          <w:tcPr>
            <w:tcW w:type="dxa" w:w="10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&lt;20 cm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555</w:t>
            </w:r>
          </w:p>
        </w:tc>
        <w:tc>
          <w:tcPr>
            <w:tcW w:type="dxa" w:w="9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184</w:t>
            </w:r>
          </w:p>
        </w:tc>
        <w:tc>
          <w:tcPr>
            <w:tcW w:type="dxa" w:w="10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0.332</w:t>
            </w:r>
          </w:p>
        </w:tc>
        <w:tc>
          <w:tcPr>
            <w:tcW w:type="dxa" w:w="91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0.812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0.669</w:t>
            </w:r>
          </w:p>
        </w:tc>
        <w:tc>
          <w:tcPr>
            <w:tcW w:type="dxa" w:w="10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0.478</w:t>
            </w:r>
          </w:p>
        </w:tc>
        <w:tc>
          <w:tcPr>
            <w:tcW w:type="dxa" w:w="10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0.911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0.727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0.779</w:t>
            </w:r>
          </w:p>
        </w:tc>
        <w:tc>
          <w:tcPr>
            <w:tcW w:type="dxa" w:w="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0.577</w:t>
            </w:r>
          </w:p>
        </w:tc>
        <w:tc>
          <w:tcPr>
            <w:tcW w:type="dxa" w:w="27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Exploratory thresholded summary of continuous LVOT VTI predictions</w:t>
            </w:r>
          </w:p>
        </w:tc>
      </w:tr>
      <w:tr>
        <w:tc>
          <w:tcPr>
            <w:tcW w:type="dxa" w:w="129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TAPSE</w:t>
            </w:r>
          </w:p>
        </w:tc>
        <w:tc>
          <w:tcPr>
            <w:tcW w:type="dxa" w:w="10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&lt;17 mm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160</w:t>
            </w:r>
          </w:p>
        </w:tc>
        <w:tc>
          <w:tcPr>
            <w:tcW w:type="dxa" w:w="9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36</w:t>
            </w:r>
          </w:p>
        </w:tc>
        <w:tc>
          <w:tcPr>
            <w:tcW w:type="dxa" w:w="10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0.225</w:t>
            </w:r>
          </w:p>
        </w:tc>
        <w:tc>
          <w:tcPr>
            <w:tcW w:type="dxa" w:w="91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0.789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0.638</w:t>
            </w:r>
          </w:p>
        </w:tc>
        <w:tc>
          <w:tcPr>
            <w:tcW w:type="dxa" w:w="10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0.472</w:t>
            </w:r>
          </w:p>
        </w:tc>
        <w:tc>
          <w:tcPr>
            <w:tcW w:type="dxa" w:w="10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0.944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0.708</w:t>
            </w:r>
          </w:p>
        </w:tc>
        <w:tc>
          <w:tcPr>
            <w:tcW w:type="dxa" w:w="82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0.860</w:t>
            </w:r>
          </w:p>
        </w:tc>
        <w:tc>
          <w:tcPr>
            <w:tcW w:type="dxa" w:w="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0.567</w:t>
            </w:r>
          </w:p>
        </w:tc>
        <w:tc>
          <w:tcPr>
            <w:tcW w:type="dxa" w:w="27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Exploratory thresholded summary of continuous TAPSE predictions</w:t>
            </w:r>
          </w:p>
        </w:tc>
      </w:tr>
    </w:tbl>
    <w:p>
      <w:pPr>
        <w:spacing w:before="60" w:after="160" w:line="252" w:lineRule="auto"/>
      </w:pPr>
      <w:r>
        <w:rPr>
          <w:rFonts w:ascii="Calibri" w:hAnsi="Calibri"/>
          <w:b/>
          <w:color w:val="444444"/>
          <w:sz w:val="16"/>
        </w:rPr>
        <w:t xml:space="preserve">Footnote: </w:t>
      </w:r>
      <w:r>
        <w:rPr>
          <w:rFonts w:ascii="Calibri" w:hAnsi="Calibri"/>
          <w:color w:val="444444"/>
          <w:sz w:val="16"/>
        </w:rPr>
        <w:t>AUROC = area under the receiver operating characteristic curve; NPV = negative predictive value; PPV = positive predictive value. Thresholded summaries were derived from the continuous regression models and were not separately trained classifiers.</w:t>
      </w:r>
    </w:p>
    <w:p>
      <w:r>
        <w:br w:type="page"/>
      </w:r>
    </w:p>
    <w:p>
      <w:pPr>
        <w:pStyle w:val="Heading1"/>
      </w:pPr>
      <w:r>
        <w:t>Supplementary Table S4. Leakage-Safe Non-Image Baselines</w:t>
      </w:r>
    </w:p>
    <w:tbl>
      <w:tblGrid>
        <w:gridCol w:w="1056"/>
        <w:gridCol w:w="1659"/>
        <w:gridCol w:w="678"/>
        <w:gridCol w:w="1735"/>
        <w:gridCol w:w="829"/>
        <w:gridCol w:w="935"/>
        <w:gridCol w:w="1237"/>
        <w:gridCol w:w="829"/>
        <w:gridCol w:w="1206"/>
        <w:gridCol w:w="980"/>
        <w:gridCol w:w="829"/>
        <w:gridCol w:w="829"/>
        <w:gridCol w:w="1735"/>
      </w:tblGrid>
      <w:tblPr>
        <w:tblW w:type="dxa" w:w="1454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</w:tblPr>
      <w:tr>
        <w:trPr>
          <w:tblHeader/>
        </w:trPr>
        <w:tc>
          <w:tcPr>
            <w:tcW w:type="dxa" w:w="105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Target</w:t>
            </w:r>
          </w:p>
        </w:tc>
        <w:tc>
          <w:tcPr>
            <w:tcW w:type="dxa" w:w="1659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Baseline</w:t>
            </w:r>
          </w:p>
        </w:tc>
        <w:tc>
          <w:tcPr>
            <w:tcW w:type="dxa" w:w="678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Test N</w:t>
            </w:r>
          </w:p>
        </w:tc>
        <w:tc>
          <w:tcPr>
            <w:tcW w:type="dxa" w:w="1735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Predictors</w:t>
            </w:r>
          </w:p>
        </w:tc>
        <w:tc>
          <w:tcPr>
            <w:tcW w:type="dxa" w:w="829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Null MAE</w:t>
            </w: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Baseline MAE</w:t>
            </w:r>
          </w:p>
        </w:tc>
        <w:tc>
          <w:tcPr>
            <w:tcW w:type="dxa" w:w="123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Baseline MAE 95% CI</w:t>
            </w:r>
          </w:p>
        </w:tc>
        <w:tc>
          <w:tcPr>
            <w:tcW w:type="dxa" w:w="829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Baseline R2</w:t>
            </w:r>
          </w:p>
        </w:tc>
        <w:tc>
          <w:tcPr>
            <w:tcW w:type="dxa" w:w="1206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Baseline R2 95% CI</w:t>
            </w:r>
          </w:p>
        </w:tc>
        <w:tc>
          <w:tcPr>
            <w:tcW w:type="dxa" w:w="980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Imaging Ridge MAE</w:t>
            </w:r>
          </w:p>
        </w:tc>
        <w:tc>
          <w:tcPr>
            <w:tcW w:type="dxa" w:w="829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Imaging Ridge R2</w:t>
            </w:r>
          </w:p>
        </w:tc>
        <w:tc>
          <w:tcPr>
            <w:tcW w:type="dxa" w:w="829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Selected alpha</w:t>
            </w:r>
          </w:p>
        </w:tc>
        <w:tc>
          <w:tcPr>
            <w:tcW w:type="dxa" w:w="1735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11111"/>
                <w:sz w:val="13"/>
              </w:rPr>
              <w:t>Note</w:t>
            </w:r>
          </w:p>
        </w:tc>
      </w:tr>
      <w:tr>
        <w:tc>
          <w:tcPr>
            <w:tcW w:type="dxa" w:w="1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LVOT VTI</w:t>
            </w:r>
          </w:p>
        </w:tc>
        <w:tc>
          <w:tcPr>
            <w:tcW w:type="dxa" w:w="16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Demographics-only Ridge</w:t>
            </w:r>
          </w:p>
        </w:tc>
        <w:tc>
          <w:tcPr>
            <w:tcW w:type="dxa" w:w="6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555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age_at_echo_approx; sex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4.54 cm</w:t>
            </w:r>
          </w:p>
        </w:tc>
        <w:tc>
          <w:tcPr>
            <w:tcW w:type="dxa" w:w="9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4.47 cm</w:t>
            </w:r>
          </w:p>
        </w:tc>
        <w:tc>
          <w:tcPr>
            <w:tcW w:type="dxa" w:w="12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4.16 to 4.76 cm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0.043</w:t>
            </w:r>
          </w:p>
        </w:tc>
        <w:tc>
          <w:tcPr>
            <w:tcW w:type="dxa" w:w="120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0.023 to 0.058</w:t>
            </w:r>
          </w:p>
        </w:tc>
        <w:tc>
          <w:tcPr>
            <w:tcW w:type="dxa" w:w="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3.64 cm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0.372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0.01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Modest improvement over null; below imaging-only Ridge.</w:t>
            </w:r>
          </w:p>
        </w:tc>
      </w:tr>
      <w:tr>
        <w:tc>
          <w:tcPr>
            <w:tcW w:type="dxa" w:w="1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LVOT VTI</w:t>
            </w:r>
          </w:p>
        </w:tc>
        <w:tc>
          <w:tcPr>
            <w:tcW w:type="dxa" w:w="16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Study/acquisition metadata Ridge</w:t>
            </w:r>
          </w:p>
        </w:tc>
        <w:tc>
          <w:tcPr>
            <w:tcW w:type="dxa" w:w="6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555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n_clips; n_dicoms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4.54 cm</w:t>
            </w:r>
          </w:p>
        </w:tc>
        <w:tc>
          <w:tcPr>
            <w:tcW w:type="dxa" w:w="9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4.58 cm</w:t>
            </w:r>
          </w:p>
        </w:tc>
        <w:tc>
          <w:tcPr>
            <w:tcW w:type="dxa" w:w="12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4.28 to 4.89 cm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0.008</w:t>
            </w:r>
          </w:p>
        </w:tc>
        <w:tc>
          <w:tcPr>
            <w:tcW w:type="dxa" w:w="120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-0.012 to 0.025</w:t>
            </w:r>
          </w:p>
        </w:tc>
        <w:tc>
          <w:tcPr>
            <w:tcW w:type="dxa" w:w="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3.64 cm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0.372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0.01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Metadata-only baseline performed near null.</w:t>
            </w:r>
          </w:p>
        </w:tc>
      </w:tr>
      <w:tr>
        <w:tc>
          <w:tcPr>
            <w:tcW w:type="dxa" w:w="1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LVOT VTI</w:t>
            </w:r>
          </w:p>
        </w:tc>
        <w:tc>
          <w:tcPr>
            <w:tcW w:type="dxa" w:w="16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Demographics + study/acquisition metadata Ridge</w:t>
            </w:r>
          </w:p>
        </w:tc>
        <w:tc>
          <w:tcPr>
            <w:tcW w:type="dxa" w:w="6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555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age_at_echo_approx; sex; n_clips; n_dicoms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4.54 cm</w:t>
            </w:r>
          </w:p>
        </w:tc>
        <w:tc>
          <w:tcPr>
            <w:tcW w:type="dxa" w:w="9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4.48 cm</w:t>
            </w:r>
          </w:p>
        </w:tc>
        <w:tc>
          <w:tcPr>
            <w:tcW w:type="dxa" w:w="12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4.19 to 4.80 cm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0.048</w:t>
            </w:r>
          </w:p>
        </w:tc>
        <w:tc>
          <w:tcPr>
            <w:tcW w:type="dxa" w:w="120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0.021 to 0.070</w:t>
            </w:r>
          </w:p>
        </w:tc>
        <w:tc>
          <w:tcPr>
            <w:tcW w:type="dxa" w:w="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3.64 cm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0.372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0.01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Similar to demographics-only; below imaging-only Ridge.</w:t>
            </w:r>
          </w:p>
        </w:tc>
      </w:tr>
      <w:tr>
        <w:tc>
          <w:tcPr>
            <w:tcW w:type="dxa" w:w="1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TAPSE</w:t>
            </w:r>
          </w:p>
        </w:tc>
        <w:tc>
          <w:tcPr>
            <w:tcW w:type="dxa" w:w="16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Demographics-only Ridge</w:t>
            </w:r>
          </w:p>
        </w:tc>
        <w:tc>
          <w:tcPr>
            <w:tcW w:type="dxa" w:w="6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160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age_at_echo_approx; sex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3.79 mm</w:t>
            </w:r>
          </w:p>
        </w:tc>
        <w:tc>
          <w:tcPr>
            <w:tcW w:type="dxa" w:w="9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3.80 mm</w:t>
            </w:r>
          </w:p>
        </w:tc>
        <w:tc>
          <w:tcPr>
            <w:tcW w:type="dxa" w:w="12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3.36 to 4.24 mm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-0.024</w:t>
            </w:r>
          </w:p>
        </w:tc>
        <w:tc>
          <w:tcPr>
            <w:tcW w:type="dxa" w:w="120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-0.095 to 0.020</w:t>
            </w:r>
          </w:p>
        </w:tc>
        <w:tc>
          <w:tcPr>
            <w:tcW w:type="dxa" w:w="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3.17 mm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0.284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0.01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Performed near null; below imaging-only Ridge.</w:t>
            </w:r>
          </w:p>
        </w:tc>
      </w:tr>
      <w:tr>
        <w:tc>
          <w:tcPr>
            <w:tcW w:type="dxa" w:w="1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TAPSE</w:t>
            </w:r>
          </w:p>
        </w:tc>
        <w:tc>
          <w:tcPr>
            <w:tcW w:type="dxa" w:w="16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Study/acquisition metadata Ridge</w:t>
            </w:r>
          </w:p>
        </w:tc>
        <w:tc>
          <w:tcPr>
            <w:tcW w:type="dxa" w:w="6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160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n_clips; n_dicoms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3.79 mm</w:t>
            </w:r>
          </w:p>
        </w:tc>
        <w:tc>
          <w:tcPr>
            <w:tcW w:type="dxa" w:w="9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3.77 mm</w:t>
            </w:r>
          </w:p>
        </w:tc>
        <w:tc>
          <w:tcPr>
            <w:tcW w:type="dxa" w:w="12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3.35 to 4.19 mm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0.0004</w:t>
            </w:r>
          </w:p>
        </w:tc>
        <w:tc>
          <w:tcPr>
            <w:tcW w:type="dxa" w:w="120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-0.046 to 0.012</w:t>
            </w:r>
          </w:p>
        </w:tc>
        <w:tc>
          <w:tcPr>
            <w:tcW w:type="dxa" w:w="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3.17 mm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0.284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100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Metadata-only baseline performed near null.</w:t>
            </w:r>
          </w:p>
        </w:tc>
      </w:tr>
      <w:tr>
        <w:tc>
          <w:tcPr>
            <w:tcW w:type="dxa" w:w="10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TAPSE</w:t>
            </w:r>
          </w:p>
        </w:tc>
        <w:tc>
          <w:tcPr>
            <w:tcW w:type="dxa" w:w="165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Demographics + study/acquisition metadata Ridge</w:t>
            </w:r>
          </w:p>
        </w:tc>
        <w:tc>
          <w:tcPr>
            <w:tcW w:type="dxa" w:w="6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160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age_at_echo_approx; sex; n_clips; n_dicoms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3.79 mm</w:t>
            </w:r>
          </w:p>
        </w:tc>
        <w:tc>
          <w:tcPr>
            <w:tcW w:type="dxa" w:w="9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3.79 mm</w:t>
            </w:r>
          </w:p>
        </w:tc>
        <w:tc>
          <w:tcPr>
            <w:tcW w:type="dxa" w:w="123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3.37 to 4.22 mm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-0.018</w:t>
            </w:r>
          </w:p>
        </w:tc>
        <w:tc>
          <w:tcPr>
            <w:tcW w:type="dxa" w:w="120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-0.091 to 0.032</w:t>
            </w:r>
          </w:p>
        </w:tc>
        <w:tc>
          <w:tcPr>
            <w:tcW w:type="dxa" w:w="9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3.17 mm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0.284</w:t>
            </w:r>
          </w:p>
        </w:tc>
        <w:tc>
          <w:tcPr>
            <w:tcW w:type="dxa" w:w="82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0.01</w:t>
            </w:r>
          </w:p>
        </w:tc>
        <w:tc>
          <w:tcPr>
            <w:tcW w:type="dxa" w:w="17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3"/>
              </w:rPr>
              <w:t>Performed near null; below imaging-only Ridge.</w:t>
            </w:r>
          </w:p>
        </w:tc>
      </w:tr>
    </w:tbl>
    <w:p>
      <w:pPr>
        <w:spacing w:before="60" w:after="160" w:line="252" w:lineRule="auto"/>
      </w:pPr>
      <w:r>
        <w:rPr>
          <w:rFonts w:ascii="Calibri" w:hAnsi="Calibri"/>
          <w:b/>
          <w:color w:val="444444"/>
          <w:sz w:val="16"/>
        </w:rPr>
        <w:t xml:space="preserve">Footnote: </w:t>
      </w:r>
      <w:r>
        <w:rPr>
          <w:rFonts w:ascii="Calibri" w:hAnsi="Calibri"/>
          <w:color w:val="444444"/>
          <w:sz w:val="16"/>
        </w:rPr>
        <w:t>Demographic features were approximate age at echo and sex. Approximate age at echo was derived from MIMIC-IV anchor_age and anchor_year adjusted by echo study year; all exported demographics rows used study_datetime as the study-year source in the aggregate run. Race/ethnicity was not included because a direct echo-study-to-admission linkage was not used for this leakage-safe baseline. Study/acquisition metadata were limited to the number of DICOMs and successfully embedded clips per study. No echo measurements, report text, diagnoses, post-echo variables, qualitative echo findings, or variables derived from echocardiogram interpretation were used.</w:t>
      </w:r>
    </w:p>
    <w:sectPr w:rsidR="00FC693F" w:rsidRPr="0006063C" w:rsidSect="00034616"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