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Phase 2 Tables for Manuscript</w:t>
      </w:r>
    </w:p>
    <w:p>
      <w:pPr>
        <w:jc w:val="center"/>
      </w:pPr>
      <w:r>
        <w:rPr>
          <w:i/>
          <w:sz w:val="18"/>
        </w:rPr>
        <w:t>Aggregate-only manuscript table packet</w:t>
      </w:r>
    </w:p>
    <w:p>
      <w:pPr>
        <w:keepNext/>
        <w:spacing w:after="80"/>
      </w:pPr>
      <w:r>
        <w:rPr>
          <w:b/>
          <w:sz w:val="22"/>
        </w:rPr>
        <w:t>Table 1. Main Continuous Performance Metrics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5" w:type="dxa"/>
          <w:start w:w="45" w:type="dxa"/>
          <w:bottom w:w="45" w:type="dxa"/>
          <w:end w:w="45" w:type="dxa"/>
        </w:tblCellMar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tblHeader w:val="true"/>
        </w:trPr>
        <w:tc>
          <w:tcPr>
            <w:tcW w:type="dxa" w:w="991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Target</w:t>
            </w:r>
          </w:p>
        </w:tc>
        <w:tc>
          <w:tcPr>
            <w:tcW w:type="dxa" w:w="111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Role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Test N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Null MAE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Ridge MAE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Ridge MAE 95% CI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Ridge RMSE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Ridge R2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Ridge R2 95% CI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Selected alpha</w:t>
            </w:r>
          </w:p>
        </w:tc>
        <w:tc>
          <w:tcPr>
            <w:tcW w:type="dxa" w:w="8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Bland-Altman bias</w:t>
            </w:r>
          </w:p>
        </w:tc>
        <w:tc>
          <w:tcPr>
            <w:tcW w:type="dxa" w:w="2566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Bland-Altman limits of agreement</w:t>
            </w:r>
          </w:p>
        </w:tc>
        <w:tc>
          <w:tcPr>
            <w:tcW w:type="dxa" w:w="2566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Figure callout</w:t>
            </w:r>
          </w:p>
        </w:tc>
      </w:tr>
      <w:tr>
        <w:tc>
          <w:tcPr>
            <w:tcW w:type="dxa" w:w="991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LVOT VTI</w:t>
            </w:r>
          </w:p>
        </w:tc>
        <w:tc>
          <w:tcPr>
            <w:tcW w:type="dxa" w:w="1115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Primary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555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4.54 cm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3.64 cm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3.41 to 3.88 cm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4.66 cm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0.372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0.30 to 0.43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0.3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+0.28 cm</w:t>
            </w:r>
          </w:p>
        </w:tc>
        <w:tc>
          <w:tcPr>
            <w:tcW w:type="dxa" w:w="256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-8.85 to +9.41 cm</w:t>
            </w:r>
          </w:p>
        </w:tc>
        <w:tc>
          <w:tcPr>
            <w:tcW w:type="dxa" w:w="256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Figure 1</w:t>
            </w:r>
          </w:p>
        </w:tc>
      </w:tr>
      <w:tr>
        <w:tc>
          <w:tcPr>
            <w:tcW w:type="dxa" w:w="991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TAPSE</w:t>
            </w:r>
          </w:p>
        </w:tc>
        <w:tc>
          <w:tcPr>
            <w:tcW w:type="dxa" w:w="1115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Secondary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160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3.79 mm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3.17 mm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2.80 to 3.56 mm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3.94 mm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0.284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0.13 to 0.40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1000</w:t>
            </w:r>
          </w:p>
        </w:tc>
        <w:tc>
          <w:tcPr>
            <w:tcW w:type="dxa" w:w="8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+0.22 mm</w:t>
            </w:r>
          </w:p>
        </w:tc>
        <w:tc>
          <w:tcPr>
            <w:tcW w:type="dxa" w:w="256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-7.52 to +7.96 mm</w:t>
            </w:r>
          </w:p>
        </w:tc>
        <w:tc>
          <w:tcPr>
            <w:tcW w:type="dxa" w:w="256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Supplementary Figure S1</w:t>
            </w:r>
          </w:p>
        </w:tc>
      </w:tr>
    </w:tbl>
    <w:p>
      <w:pPr>
        <w:spacing w:before="80" w:after="0"/>
      </w:pPr>
      <w:r>
        <w:rPr>
          <w:sz w:val="16"/>
        </w:rPr>
        <w:t>Footnote: Abbreviations: CI = confidence interval; LVOT VTI = left ventricular outflow tract velocity-time integral; MAE = mean absolute error; RMSE = root mean squared error; R2 = coefficient of determination; TAPSE = tricuspid annular plane systolic excursion. MAE, RMSE, bias, and limits of agreement are reported in the clinical units of each target.</w:t>
      </w:r>
    </w:p>
    <w:p>
      <w:r>
        <w:br w:type="page"/>
      </w:r>
    </w:p>
    <w:p>
      <w:pPr>
        <w:keepNext/>
        <w:spacing w:after="80"/>
      </w:pPr>
      <w:r>
        <w:rPr>
          <w:b/>
          <w:sz w:val="22"/>
        </w:rPr>
        <w:t>Supplementary Table S1. Hard-Extreme Robustness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5" w:type="dxa"/>
          <w:start w:w="45" w:type="dxa"/>
          <w:bottom w:w="45" w:type="dxa"/>
          <w:end w:w="45" w:type="dxa"/>
        </w:tblCellMar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141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type="dxa" w:w="2306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Sensitivity analysis</w:t>
            </w:r>
          </w:p>
        </w:tc>
        <w:tc>
          <w:tcPr>
            <w:tcW w:type="dxa" w:w="114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Test N</w:t>
            </w:r>
          </w:p>
        </w:tc>
        <w:tc>
          <w:tcPr>
            <w:tcW w:type="dxa" w:w="114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Ridge MAE</w:t>
            </w:r>
          </w:p>
        </w:tc>
        <w:tc>
          <w:tcPr>
            <w:tcW w:type="dxa" w:w="114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Ridge R2</w:t>
            </w:r>
          </w:p>
        </w:tc>
        <w:tc>
          <w:tcPr>
            <w:tcW w:type="dxa" w:w="3658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Comparison with primary analysis</w:t>
            </w:r>
          </w:p>
        </w:tc>
        <w:tc>
          <w:tcPr>
            <w:tcW w:type="dxa" w:w="3658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Interpretation note</w:t>
            </w:r>
          </w:p>
        </w:tc>
      </w:tr>
      <w:tr>
        <w:tc>
          <w:tcPr>
            <w:tcW w:type="dxa" w:w="141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LVOT VTI</w:t>
            </w:r>
          </w:p>
        </w:tc>
        <w:tc>
          <w:tcPr>
            <w:tcW w:type="dxa" w:w="2306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Hard-extreme exclusion</w:t>
            </w:r>
          </w:p>
        </w:tc>
        <w:tc>
          <w:tcPr>
            <w:tcW w:type="dxa" w:w="114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114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3.62 cm</w:t>
            </w:r>
          </w:p>
        </w:tc>
        <w:tc>
          <w:tcPr>
            <w:tcW w:type="dxa" w:w="114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0.376</w:t>
            </w:r>
          </w:p>
        </w:tc>
        <w:tc>
          <w:tcPr>
            <w:tcW w:type="dxa" w:w="3658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Primary: MAE 3.64 cm; R2 0.372</w:t>
            </w:r>
          </w:p>
        </w:tc>
        <w:tc>
          <w:tcPr>
            <w:tcW w:type="dxa" w:w="3658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Similar to primary analysis</w:t>
            </w:r>
          </w:p>
        </w:tc>
      </w:tr>
      <w:tr>
        <w:tc>
          <w:tcPr>
            <w:tcW w:type="dxa" w:w="141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TAPSE</w:t>
            </w:r>
          </w:p>
        </w:tc>
        <w:tc>
          <w:tcPr>
            <w:tcW w:type="dxa" w:w="2306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Hard-extreme exclusion</w:t>
            </w:r>
          </w:p>
        </w:tc>
        <w:tc>
          <w:tcPr>
            <w:tcW w:type="dxa" w:w="114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114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3.17 mm</w:t>
            </w:r>
          </w:p>
        </w:tc>
        <w:tc>
          <w:tcPr>
            <w:tcW w:type="dxa" w:w="114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0.284</w:t>
            </w:r>
          </w:p>
        </w:tc>
        <w:tc>
          <w:tcPr>
            <w:tcW w:type="dxa" w:w="3658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Primary: MAE 3.17 mm; R2 0.284</w:t>
            </w:r>
          </w:p>
        </w:tc>
        <w:tc>
          <w:tcPr>
            <w:tcW w:type="dxa" w:w="3658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No material change</w:t>
            </w:r>
          </w:p>
        </w:tc>
      </w:tr>
    </w:tbl>
    <w:p>
      <w:pPr>
        <w:spacing w:before="80" w:after="0"/>
      </w:pPr>
      <w:r>
        <w:rPr>
          <w:sz w:val="16"/>
        </w:rPr>
        <w:t>Footnote: Hard-extreme exclusions were evaluated as robustness analyses using the same stable-v2 modeling configuration and deterministic subject-level split framework; these analyses were not co-primary.</w:t>
      </w:r>
    </w:p>
    <w:p>
      <w:r>
        <w:br w:type="page"/>
      </w:r>
    </w:p>
    <w:p>
      <w:pPr>
        <w:keepNext/>
        <w:spacing w:after="80"/>
      </w:pPr>
      <w:r>
        <w:rPr>
          <w:b/>
          <w:sz w:val="22"/>
        </w:rPr>
        <w:t>Supplementary Table S2. ECHOVIEW View-Filtered Sensitivity Analyses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5" w:type="dxa"/>
          <w:start w:w="45" w:type="dxa"/>
          <w:bottom w:w="45" w:type="dxa"/>
          <w:end w:w="45" w:type="dxa"/>
        </w:tblCellMar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80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View policy</w:t>
            </w:r>
          </w:p>
        </w:tc>
        <w:tc>
          <w:tcPr>
            <w:tcW w:type="dxa" w:w="101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1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Test N</w:t>
            </w:r>
          </w:p>
        </w:tc>
        <w:tc>
          <w:tcPr>
            <w:tcW w:type="dxa" w:w="101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Ridge MAE</w:t>
            </w:r>
          </w:p>
        </w:tc>
        <w:tc>
          <w:tcPr>
            <w:tcW w:type="dxa" w:w="101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Ridge R2</w:t>
            </w:r>
          </w:p>
        </w:tc>
        <w:tc>
          <w:tcPr>
            <w:tcW w:type="dxa" w:w="324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Bootstrap CI note</w:t>
            </w:r>
          </w:p>
        </w:tc>
        <w:tc>
          <w:tcPr>
            <w:tcW w:type="dxa" w:w="2044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type="dxa" w:w="324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Interpretation note</w:t>
            </w:r>
          </w:p>
        </w:tc>
      </w:tr>
      <w:tr>
        <w:tc>
          <w:tcPr>
            <w:tcW w:type="dxa" w:w="1880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A5C-or-other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0.70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4.07 cm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0.151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MAE 3.32 to 4.83 cm; R2 -0.06 to 0.32</w:t>
            </w:r>
          </w:p>
        </w:tc>
        <w:tc>
          <w:tcPr>
            <w:tcW w:type="dxa" w:w="2044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Completed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Smaller ECHOVIEW subset</w:t>
            </w:r>
          </w:p>
        </w:tc>
      </w:tr>
      <w:tr>
        <w:tc>
          <w:tcPr>
            <w:tcW w:type="dxa" w:w="1880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Other-only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0.70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4.14 cm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0.123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MAE 3.36 to 4.93 cm; R2 -0.12 to 0.30</w:t>
            </w:r>
          </w:p>
        </w:tc>
        <w:tc>
          <w:tcPr>
            <w:tcW w:type="dxa" w:w="2044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Completed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Smaller ECHOVIEW subset</w:t>
            </w:r>
          </w:p>
        </w:tc>
      </w:tr>
      <w:tr>
        <w:tc>
          <w:tcPr>
            <w:tcW w:type="dxa" w:w="1880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A5C-only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0.70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Not estimated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Not estimated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Not available</w:t>
            </w:r>
          </w:p>
        </w:tc>
        <w:tc>
          <w:tcPr>
            <w:tcW w:type="dxa" w:w="2044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Skipped/underpowered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Insufficient training data</w:t>
            </w:r>
          </w:p>
        </w:tc>
      </w:tr>
      <w:tr>
        <w:tc>
          <w:tcPr>
            <w:tcW w:type="dxa" w:w="1880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A5C-or-other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0.80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4.10 cm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0.140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MAE 3.34 to 4.87 cm; R2 -0.10 to 0.32</w:t>
            </w:r>
          </w:p>
        </w:tc>
        <w:tc>
          <w:tcPr>
            <w:tcW w:type="dxa" w:w="2044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Completed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Higher threshold did not improve performance</w:t>
            </w:r>
          </w:p>
        </w:tc>
      </w:tr>
      <w:tr>
        <w:tc>
          <w:tcPr>
            <w:tcW w:type="dxa" w:w="1880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A5C-or-other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0.90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4.14 cm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0.118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MAE 3.36 to 5.01 cm; R2 -0.13 to 0.32</w:t>
            </w:r>
          </w:p>
        </w:tc>
        <w:tc>
          <w:tcPr>
            <w:tcW w:type="dxa" w:w="2044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Completed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Higher threshold did not improve performance</w:t>
            </w:r>
          </w:p>
        </w:tc>
      </w:tr>
      <w:tr>
        <w:tc>
          <w:tcPr>
            <w:tcW w:type="dxa" w:w="1880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A5C-or-other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0.95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4.14 cm</w:t>
            </w:r>
          </w:p>
        </w:tc>
        <w:tc>
          <w:tcPr>
            <w:tcW w:type="dxa" w:w="1015"/>
            <w:vAlign w:val="top"/>
          </w:tcPr>
          <w:p>
            <w:pPr>
              <w:spacing w:after="0"/>
              <w:jc w:val="center"/>
            </w:pPr>
            <w:r>
              <w:rPr>
                <w:sz w:val="16"/>
              </w:rPr>
              <w:t>0.119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MAE 3.38 to 4.96 cm; R2 -0.12 to 0.31</w:t>
            </w:r>
          </w:p>
        </w:tc>
        <w:tc>
          <w:tcPr>
            <w:tcW w:type="dxa" w:w="2044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Completed</w:t>
            </w:r>
          </w:p>
        </w:tc>
        <w:tc>
          <w:tcPr>
            <w:tcW w:type="dxa" w:w="3243"/>
            <w:vAlign w:val="top"/>
          </w:tcPr>
          <w:p>
            <w:pPr>
              <w:spacing w:after="0"/>
              <w:jc w:val="left"/>
            </w:pPr>
            <w:r>
              <w:rPr>
                <w:sz w:val="16"/>
              </w:rPr>
              <w:t>Higher threshold did not improve performance</w:t>
            </w:r>
          </w:p>
        </w:tc>
      </w:tr>
    </w:tbl>
    <w:p>
      <w:pPr>
        <w:spacing w:before="80" w:after="0"/>
      </w:pPr>
      <w:r>
        <w:rPr>
          <w:sz w:val="16"/>
        </w:rPr>
        <w:t>Footnote: ECHOVIEW analyses were limited subset sensitivity analyses. The A5C-only 0.70 run was skipped or underpowered because the available training data were insufficient; it should not be interpreted as a negative result.</w:t>
      </w:r>
    </w:p>
    <w:p>
      <w:r>
        <w:br w:type="page"/>
      </w:r>
    </w:p>
    <w:p>
      <w:pPr>
        <w:keepNext/>
        <w:spacing w:after="80"/>
      </w:pPr>
      <w:r>
        <w:rPr>
          <w:b/>
          <w:sz w:val="22"/>
        </w:rPr>
        <w:t>Supplementary Table S3. Exploratory Binary Threshold Summaries Derived From Continuous Predictions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5" w:type="dxa"/>
          <w:start w:w="45" w:type="dxa"/>
          <w:bottom w:w="45" w:type="dxa"/>
          <w:end w:w="45" w:type="dxa"/>
        </w:tblCellMar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tblHeader w:val="true"/>
        </w:trPr>
        <w:tc>
          <w:tcPr>
            <w:tcW w:type="dxa" w:w="1054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Target</w:t>
            </w:r>
          </w:p>
        </w:tc>
        <w:tc>
          <w:tcPr>
            <w:tcW w:type="dxa" w:w="93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Threshold</w:t>
            </w:r>
          </w:p>
        </w:tc>
        <w:tc>
          <w:tcPr>
            <w:tcW w:type="dxa" w:w="828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Test N</w:t>
            </w:r>
          </w:p>
        </w:tc>
        <w:tc>
          <w:tcPr>
            <w:tcW w:type="dxa" w:w="90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Positives</w:t>
            </w:r>
          </w:p>
        </w:tc>
        <w:tc>
          <w:tcPr>
            <w:tcW w:type="dxa" w:w="99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Prevalence</w:t>
            </w:r>
          </w:p>
        </w:tc>
        <w:tc>
          <w:tcPr>
            <w:tcW w:type="dxa" w:w="87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AUROC</w:t>
            </w:r>
          </w:p>
        </w:tc>
        <w:tc>
          <w:tcPr>
            <w:tcW w:type="dxa" w:w="1234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Average precision</w:t>
            </w:r>
          </w:p>
        </w:tc>
        <w:tc>
          <w:tcPr>
            <w:tcW w:type="dxa" w:w="1024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Sensitivity</w:t>
            </w:r>
          </w:p>
        </w:tc>
        <w:tc>
          <w:tcPr>
            <w:tcW w:type="dxa" w:w="1024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Specificity</w:t>
            </w:r>
          </w:p>
        </w:tc>
        <w:tc>
          <w:tcPr>
            <w:tcW w:type="dxa" w:w="84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PPV</w:t>
            </w:r>
          </w:p>
        </w:tc>
        <w:tc>
          <w:tcPr>
            <w:tcW w:type="dxa" w:w="84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NPV</w:t>
            </w:r>
          </w:p>
        </w:tc>
        <w:tc>
          <w:tcPr>
            <w:tcW w:type="dxa" w:w="752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F1</w:t>
            </w:r>
          </w:p>
        </w:tc>
        <w:tc>
          <w:tcPr>
            <w:tcW w:type="dxa" w:w="3162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Note</w:t>
            </w:r>
          </w:p>
        </w:tc>
      </w:tr>
      <w:tr>
        <w:tc>
          <w:tcPr>
            <w:tcW w:type="dxa" w:w="1054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LVOT VTI</w:t>
            </w:r>
          </w:p>
        </w:tc>
        <w:tc>
          <w:tcPr>
            <w:tcW w:type="dxa" w:w="93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&lt;18 cm</w:t>
            </w:r>
          </w:p>
        </w:tc>
        <w:tc>
          <w:tcPr>
            <w:tcW w:type="dxa" w:w="8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555</w:t>
            </w:r>
          </w:p>
        </w:tc>
        <w:tc>
          <w:tcPr>
            <w:tcW w:type="dxa" w:w="9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106</w:t>
            </w:r>
          </w:p>
        </w:tc>
        <w:tc>
          <w:tcPr>
            <w:tcW w:type="dxa" w:w="99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0.191</w:t>
            </w:r>
          </w:p>
        </w:tc>
        <w:tc>
          <w:tcPr>
            <w:tcW w:type="dxa" w:w="87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0.846</w:t>
            </w:r>
          </w:p>
        </w:tc>
        <w:tc>
          <w:tcPr>
            <w:tcW w:type="dxa" w:w="123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0.569</w:t>
            </w:r>
          </w:p>
        </w:tc>
        <w:tc>
          <w:tcPr>
            <w:tcW w:type="dxa" w:w="102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0.358</w:t>
            </w:r>
          </w:p>
        </w:tc>
        <w:tc>
          <w:tcPr>
            <w:tcW w:type="dxa" w:w="102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0.960</w:t>
            </w:r>
          </w:p>
        </w:tc>
        <w:tc>
          <w:tcPr>
            <w:tcW w:type="dxa" w:w="84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0.679</w:t>
            </w:r>
          </w:p>
        </w:tc>
        <w:tc>
          <w:tcPr>
            <w:tcW w:type="dxa" w:w="84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0.864</w:t>
            </w:r>
          </w:p>
        </w:tc>
        <w:tc>
          <w:tcPr>
            <w:tcW w:type="dxa" w:w="75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0.469</w:t>
            </w:r>
          </w:p>
        </w:tc>
        <w:tc>
          <w:tcPr>
            <w:tcW w:type="dxa" w:w="3162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Exploratory thresholded summary of continuous LVOT VTI predictions</w:t>
            </w:r>
          </w:p>
        </w:tc>
      </w:tr>
      <w:tr>
        <w:tc>
          <w:tcPr>
            <w:tcW w:type="dxa" w:w="1054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LVOT VTI</w:t>
            </w:r>
          </w:p>
        </w:tc>
        <w:tc>
          <w:tcPr>
            <w:tcW w:type="dxa" w:w="93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&lt;20 cm</w:t>
            </w:r>
          </w:p>
        </w:tc>
        <w:tc>
          <w:tcPr>
            <w:tcW w:type="dxa" w:w="8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555</w:t>
            </w:r>
          </w:p>
        </w:tc>
        <w:tc>
          <w:tcPr>
            <w:tcW w:type="dxa" w:w="9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184</w:t>
            </w:r>
          </w:p>
        </w:tc>
        <w:tc>
          <w:tcPr>
            <w:tcW w:type="dxa" w:w="99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0.332</w:t>
            </w:r>
          </w:p>
        </w:tc>
        <w:tc>
          <w:tcPr>
            <w:tcW w:type="dxa" w:w="87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0.812</w:t>
            </w:r>
          </w:p>
        </w:tc>
        <w:tc>
          <w:tcPr>
            <w:tcW w:type="dxa" w:w="123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0.669</w:t>
            </w:r>
          </w:p>
        </w:tc>
        <w:tc>
          <w:tcPr>
            <w:tcW w:type="dxa" w:w="102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0.478</w:t>
            </w:r>
          </w:p>
        </w:tc>
        <w:tc>
          <w:tcPr>
            <w:tcW w:type="dxa" w:w="102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0.911</w:t>
            </w:r>
          </w:p>
        </w:tc>
        <w:tc>
          <w:tcPr>
            <w:tcW w:type="dxa" w:w="84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0.727</w:t>
            </w:r>
          </w:p>
        </w:tc>
        <w:tc>
          <w:tcPr>
            <w:tcW w:type="dxa" w:w="84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0.779</w:t>
            </w:r>
          </w:p>
        </w:tc>
        <w:tc>
          <w:tcPr>
            <w:tcW w:type="dxa" w:w="75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0.577</w:t>
            </w:r>
          </w:p>
        </w:tc>
        <w:tc>
          <w:tcPr>
            <w:tcW w:type="dxa" w:w="3162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Exploratory thresholded summary of continuous LVOT VTI predictions</w:t>
            </w:r>
          </w:p>
        </w:tc>
      </w:tr>
      <w:tr>
        <w:tc>
          <w:tcPr>
            <w:tcW w:type="dxa" w:w="1054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TAPSE</w:t>
            </w:r>
          </w:p>
        </w:tc>
        <w:tc>
          <w:tcPr>
            <w:tcW w:type="dxa" w:w="93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&lt;17 mm</w:t>
            </w:r>
          </w:p>
        </w:tc>
        <w:tc>
          <w:tcPr>
            <w:tcW w:type="dxa" w:w="8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160</w:t>
            </w:r>
          </w:p>
        </w:tc>
        <w:tc>
          <w:tcPr>
            <w:tcW w:type="dxa" w:w="90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36</w:t>
            </w:r>
          </w:p>
        </w:tc>
        <w:tc>
          <w:tcPr>
            <w:tcW w:type="dxa" w:w="99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0.225</w:t>
            </w:r>
          </w:p>
        </w:tc>
        <w:tc>
          <w:tcPr>
            <w:tcW w:type="dxa" w:w="87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0.789</w:t>
            </w:r>
          </w:p>
        </w:tc>
        <w:tc>
          <w:tcPr>
            <w:tcW w:type="dxa" w:w="123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0.638</w:t>
            </w:r>
          </w:p>
        </w:tc>
        <w:tc>
          <w:tcPr>
            <w:tcW w:type="dxa" w:w="102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0.472</w:t>
            </w:r>
          </w:p>
        </w:tc>
        <w:tc>
          <w:tcPr>
            <w:tcW w:type="dxa" w:w="1024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0.944</w:t>
            </w:r>
          </w:p>
        </w:tc>
        <w:tc>
          <w:tcPr>
            <w:tcW w:type="dxa" w:w="84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0.708</w:t>
            </w:r>
          </w:p>
        </w:tc>
        <w:tc>
          <w:tcPr>
            <w:tcW w:type="dxa" w:w="843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0.860</w:t>
            </w:r>
          </w:p>
        </w:tc>
        <w:tc>
          <w:tcPr>
            <w:tcW w:type="dxa" w:w="75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0.567</w:t>
            </w:r>
          </w:p>
        </w:tc>
        <w:tc>
          <w:tcPr>
            <w:tcW w:type="dxa" w:w="3162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Exploratory thresholded summary of continuous TAPSE predictions</w:t>
            </w:r>
          </w:p>
        </w:tc>
      </w:tr>
    </w:tbl>
    <w:p>
      <w:pPr>
        <w:spacing w:before="80" w:after="0"/>
      </w:pPr>
      <w:r>
        <w:rPr>
          <w:sz w:val="16"/>
        </w:rPr>
        <w:t>Footnote: Abbreviations: AUROC = area under the receiver operating characteristic curve; NPV = negative predictive value; PPV = positive predictive value. Thresholded summaries were derived from continuous regression predictions and were not separately trained classifiers.</w:t>
      </w:r>
    </w:p>
    <w:p>
      <w:r>
        <w:br w:type="page"/>
      </w:r>
    </w:p>
    <w:p>
      <w:pPr>
        <w:keepNext/>
        <w:spacing w:after="80"/>
      </w:pPr>
      <w:r>
        <w:rPr>
          <w:b/>
          <w:sz w:val="22"/>
        </w:rPr>
        <w:t>Supplementary Table S4. Leakage-Safe Non-Image Baselines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5" w:type="dxa"/>
          <w:start w:w="45" w:type="dxa"/>
          <w:bottom w:w="45" w:type="dxa"/>
          <w:end w:w="45" w:type="dxa"/>
        </w:tblCellMar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tblHeader w:val="true"/>
        </w:trPr>
        <w:tc>
          <w:tcPr>
            <w:tcW w:type="dxa" w:w="78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Target</w:t>
            </w:r>
          </w:p>
        </w:tc>
        <w:tc>
          <w:tcPr>
            <w:tcW w:type="dxa" w:w="1676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Baseline</w:t>
            </w:r>
          </w:p>
        </w:tc>
        <w:tc>
          <w:tcPr>
            <w:tcW w:type="dxa" w:w="628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Test N</w:t>
            </w:r>
          </w:p>
        </w:tc>
        <w:tc>
          <w:tcPr>
            <w:tcW w:type="dxa" w:w="1833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Predictors</w:t>
            </w:r>
          </w:p>
        </w:tc>
        <w:tc>
          <w:tcPr>
            <w:tcW w:type="dxa" w:w="812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Null MAE</w:t>
            </w:r>
          </w:p>
        </w:tc>
        <w:tc>
          <w:tcPr>
            <w:tcW w:type="dxa" w:w="916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Baseline MAE</w:t>
            </w:r>
          </w:p>
        </w:tc>
        <w:tc>
          <w:tcPr>
            <w:tcW w:type="dxa" w:w="1126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Baseline MAE 95% CI</w:t>
            </w:r>
          </w:p>
        </w:tc>
        <w:tc>
          <w:tcPr>
            <w:tcW w:type="dxa" w:w="78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Baseline R2</w:t>
            </w:r>
          </w:p>
        </w:tc>
        <w:tc>
          <w:tcPr>
            <w:tcW w:type="dxa" w:w="1126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Baseline R2 95% CI</w:t>
            </w:r>
          </w:p>
        </w:tc>
        <w:tc>
          <w:tcPr>
            <w:tcW w:type="dxa" w:w="942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Imaging Ridge MAE</w:t>
            </w:r>
          </w:p>
        </w:tc>
        <w:tc>
          <w:tcPr>
            <w:tcW w:type="dxa" w:w="785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Imaging Ridge R2</w:t>
            </w:r>
          </w:p>
        </w:tc>
        <w:tc>
          <w:tcPr>
            <w:tcW w:type="dxa" w:w="759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Selected alpha</w:t>
            </w:r>
          </w:p>
        </w:tc>
        <w:tc>
          <w:tcPr>
            <w:tcW w:type="dxa" w:w="2291"/>
            <w:shd w:fill="D9D9D9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4"/>
              </w:rPr>
              <w:t>Note</w:t>
            </w:r>
          </w:p>
        </w:tc>
      </w:tr>
      <w:tr>
        <w:tc>
          <w:tcPr>
            <w:tcW w:type="dxa" w:w="785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LVOT VTI</w:t>
            </w:r>
          </w:p>
        </w:tc>
        <w:tc>
          <w:tcPr>
            <w:tcW w:type="dxa" w:w="167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Demographics-only Ridge</w:t>
            </w:r>
          </w:p>
        </w:tc>
        <w:tc>
          <w:tcPr>
            <w:tcW w:type="dxa" w:w="6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555</w:t>
            </w:r>
          </w:p>
        </w:tc>
        <w:tc>
          <w:tcPr>
            <w:tcW w:type="dxa" w:w="1833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Age at echo (approx.); sex</w:t>
            </w:r>
          </w:p>
        </w:tc>
        <w:tc>
          <w:tcPr>
            <w:tcW w:type="dxa" w:w="81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4.54 cm</w:t>
            </w:r>
          </w:p>
        </w:tc>
        <w:tc>
          <w:tcPr>
            <w:tcW w:type="dxa" w:w="91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4.47 cm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4.16 to 4.76 cm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0.043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0.023 to 0.058</w:t>
            </w:r>
          </w:p>
        </w:tc>
        <w:tc>
          <w:tcPr>
            <w:tcW w:type="dxa" w:w="94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3.64 cm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0.372</w:t>
            </w:r>
          </w:p>
        </w:tc>
        <w:tc>
          <w:tcPr>
            <w:tcW w:type="dxa" w:w="759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0.01</w:t>
            </w:r>
          </w:p>
        </w:tc>
        <w:tc>
          <w:tcPr>
            <w:tcW w:type="dxa" w:w="2291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Modest improvement over null; below imaging-only Ridge.</w:t>
            </w:r>
          </w:p>
        </w:tc>
      </w:tr>
      <w:tr>
        <w:tc>
          <w:tcPr>
            <w:tcW w:type="dxa" w:w="785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LVOT VTI</w:t>
            </w:r>
          </w:p>
        </w:tc>
        <w:tc>
          <w:tcPr>
            <w:tcW w:type="dxa" w:w="167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Study/acquisition metadata Ridge</w:t>
            </w:r>
          </w:p>
        </w:tc>
        <w:tc>
          <w:tcPr>
            <w:tcW w:type="dxa" w:w="6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555</w:t>
            </w:r>
          </w:p>
        </w:tc>
        <w:tc>
          <w:tcPr>
            <w:tcW w:type="dxa" w:w="1833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Embedded clips; DICOMs</w:t>
            </w:r>
          </w:p>
        </w:tc>
        <w:tc>
          <w:tcPr>
            <w:tcW w:type="dxa" w:w="81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4.54 cm</w:t>
            </w:r>
          </w:p>
        </w:tc>
        <w:tc>
          <w:tcPr>
            <w:tcW w:type="dxa" w:w="91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4.58 cm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4.28 to 4.89 cm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0.008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-0.012 to 0.025</w:t>
            </w:r>
          </w:p>
        </w:tc>
        <w:tc>
          <w:tcPr>
            <w:tcW w:type="dxa" w:w="94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3.64 cm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0.372</w:t>
            </w:r>
          </w:p>
        </w:tc>
        <w:tc>
          <w:tcPr>
            <w:tcW w:type="dxa" w:w="759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0.01</w:t>
            </w:r>
          </w:p>
        </w:tc>
        <w:tc>
          <w:tcPr>
            <w:tcW w:type="dxa" w:w="2291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Metadata-only baseline performed near null.</w:t>
            </w:r>
          </w:p>
        </w:tc>
      </w:tr>
      <w:tr>
        <w:tc>
          <w:tcPr>
            <w:tcW w:type="dxa" w:w="785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LVOT VTI</w:t>
            </w:r>
          </w:p>
        </w:tc>
        <w:tc>
          <w:tcPr>
            <w:tcW w:type="dxa" w:w="167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Demographics + study/acquisition metadata Ridge</w:t>
            </w:r>
          </w:p>
        </w:tc>
        <w:tc>
          <w:tcPr>
            <w:tcW w:type="dxa" w:w="6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555</w:t>
            </w:r>
          </w:p>
        </w:tc>
        <w:tc>
          <w:tcPr>
            <w:tcW w:type="dxa" w:w="1833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Age at echo (approx.); sex; embedded clips; DICOMs</w:t>
            </w:r>
          </w:p>
        </w:tc>
        <w:tc>
          <w:tcPr>
            <w:tcW w:type="dxa" w:w="81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4.54 cm</w:t>
            </w:r>
          </w:p>
        </w:tc>
        <w:tc>
          <w:tcPr>
            <w:tcW w:type="dxa" w:w="91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4.48 cm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4.19 to 4.80 cm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0.048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0.021 to 0.070</w:t>
            </w:r>
          </w:p>
        </w:tc>
        <w:tc>
          <w:tcPr>
            <w:tcW w:type="dxa" w:w="94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3.64 cm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0.372</w:t>
            </w:r>
          </w:p>
        </w:tc>
        <w:tc>
          <w:tcPr>
            <w:tcW w:type="dxa" w:w="759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0.01</w:t>
            </w:r>
          </w:p>
        </w:tc>
        <w:tc>
          <w:tcPr>
            <w:tcW w:type="dxa" w:w="2291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Similar to demographics-only; below imaging-only Ridge.</w:t>
            </w:r>
          </w:p>
        </w:tc>
      </w:tr>
      <w:tr>
        <w:tc>
          <w:tcPr>
            <w:tcW w:type="dxa" w:w="785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TAPSE</w:t>
            </w:r>
          </w:p>
        </w:tc>
        <w:tc>
          <w:tcPr>
            <w:tcW w:type="dxa" w:w="167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Demographics-only Ridge</w:t>
            </w:r>
          </w:p>
        </w:tc>
        <w:tc>
          <w:tcPr>
            <w:tcW w:type="dxa" w:w="6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160</w:t>
            </w:r>
          </w:p>
        </w:tc>
        <w:tc>
          <w:tcPr>
            <w:tcW w:type="dxa" w:w="1833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Age at echo (approx.); sex</w:t>
            </w:r>
          </w:p>
        </w:tc>
        <w:tc>
          <w:tcPr>
            <w:tcW w:type="dxa" w:w="81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3.79 mm</w:t>
            </w:r>
          </w:p>
        </w:tc>
        <w:tc>
          <w:tcPr>
            <w:tcW w:type="dxa" w:w="91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3.80 mm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3.36 to 4.24 mm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-0.024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-0.095 to 0.020</w:t>
            </w:r>
          </w:p>
        </w:tc>
        <w:tc>
          <w:tcPr>
            <w:tcW w:type="dxa" w:w="94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3.17 mm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0.284</w:t>
            </w:r>
          </w:p>
        </w:tc>
        <w:tc>
          <w:tcPr>
            <w:tcW w:type="dxa" w:w="759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0.01</w:t>
            </w:r>
          </w:p>
        </w:tc>
        <w:tc>
          <w:tcPr>
            <w:tcW w:type="dxa" w:w="2291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Performed near null; below imaging-only Ridge.</w:t>
            </w:r>
          </w:p>
        </w:tc>
      </w:tr>
      <w:tr>
        <w:tc>
          <w:tcPr>
            <w:tcW w:type="dxa" w:w="785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TAPSE</w:t>
            </w:r>
          </w:p>
        </w:tc>
        <w:tc>
          <w:tcPr>
            <w:tcW w:type="dxa" w:w="167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Study/acquisition metadata Ridge</w:t>
            </w:r>
          </w:p>
        </w:tc>
        <w:tc>
          <w:tcPr>
            <w:tcW w:type="dxa" w:w="6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160</w:t>
            </w:r>
          </w:p>
        </w:tc>
        <w:tc>
          <w:tcPr>
            <w:tcW w:type="dxa" w:w="1833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Embedded clips; DICOMs</w:t>
            </w:r>
          </w:p>
        </w:tc>
        <w:tc>
          <w:tcPr>
            <w:tcW w:type="dxa" w:w="81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3.79 mm</w:t>
            </w:r>
          </w:p>
        </w:tc>
        <w:tc>
          <w:tcPr>
            <w:tcW w:type="dxa" w:w="91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3.77 mm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3.35 to 4.19 mm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0.0004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-0.046 to 0.012</w:t>
            </w:r>
          </w:p>
        </w:tc>
        <w:tc>
          <w:tcPr>
            <w:tcW w:type="dxa" w:w="94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3.17 mm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0.284</w:t>
            </w:r>
          </w:p>
        </w:tc>
        <w:tc>
          <w:tcPr>
            <w:tcW w:type="dxa" w:w="759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100</w:t>
            </w:r>
          </w:p>
        </w:tc>
        <w:tc>
          <w:tcPr>
            <w:tcW w:type="dxa" w:w="2291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Metadata-only baseline performed near null.</w:t>
            </w:r>
          </w:p>
        </w:tc>
      </w:tr>
      <w:tr>
        <w:tc>
          <w:tcPr>
            <w:tcW w:type="dxa" w:w="785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TAPSE</w:t>
            </w:r>
          </w:p>
        </w:tc>
        <w:tc>
          <w:tcPr>
            <w:tcW w:type="dxa" w:w="1676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Demographics + study/acquisition metadata Ridge</w:t>
            </w:r>
          </w:p>
        </w:tc>
        <w:tc>
          <w:tcPr>
            <w:tcW w:type="dxa" w:w="628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160</w:t>
            </w:r>
          </w:p>
        </w:tc>
        <w:tc>
          <w:tcPr>
            <w:tcW w:type="dxa" w:w="1833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Age at echo (approx.); sex; embedded clips; DICOMs</w:t>
            </w:r>
          </w:p>
        </w:tc>
        <w:tc>
          <w:tcPr>
            <w:tcW w:type="dxa" w:w="81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3.79 mm</w:t>
            </w:r>
          </w:p>
        </w:tc>
        <w:tc>
          <w:tcPr>
            <w:tcW w:type="dxa" w:w="91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3.79 mm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3.37 to 4.22 mm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-0.018</w:t>
            </w:r>
          </w:p>
        </w:tc>
        <w:tc>
          <w:tcPr>
            <w:tcW w:type="dxa" w:w="1126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-0.091 to 0.032</w:t>
            </w:r>
          </w:p>
        </w:tc>
        <w:tc>
          <w:tcPr>
            <w:tcW w:type="dxa" w:w="942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3.17 mm</w:t>
            </w:r>
          </w:p>
        </w:tc>
        <w:tc>
          <w:tcPr>
            <w:tcW w:type="dxa" w:w="785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0.284</w:t>
            </w:r>
          </w:p>
        </w:tc>
        <w:tc>
          <w:tcPr>
            <w:tcW w:type="dxa" w:w="759"/>
            <w:vAlign w:val="top"/>
          </w:tcPr>
          <w:p>
            <w:pPr>
              <w:spacing w:after="0"/>
              <w:jc w:val="center"/>
            </w:pPr>
            <w:r>
              <w:rPr>
                <w:sz w:val="13"/>
              </w:rPr>
              <w:t>0.01</w:t>
            </w:r>
          </w:p>
        </w:tc>
        <w:tc>
          <w:tcPr>
            <w:tcW w:type="dxa" w:w="2291"/>
            <w:vAlign w:val="top"/>
          </w:tcPr>
          <w:p>
            <w:pPr>
              <w:spacing w:after="0"/>
              <w:jc w:val="left"/>
            </w:pPr>
            <w:r>
              <w:rPr>
                <w:sz w:val="13"/>
              </w:rPr>
              <w:t>Performed near null; below imaging-only Ridge.</w:t>
            </w:r>
          </w:p>
        </w:tc>
      </w:tr>
    </w:tbl>
    <w:p>
      <w:pPr>
        <w:spacing w:before="80" w:after="0"/>
      </w:pPr>
      <w:r>
        <w:rPr>
          <w:sz w:val="16"/>
        </w:rPr>
        <w:t>Footnote: Demographic features were approximate age at echo and sex. Approximate age at echo was derived from MIMIC-IV anchor age and anchor year adjusted by echo study year. Race/ethnicity was not included because a direct echo-study-to-admission linkage was not used for this leakage-safe baseline. Study/acquisition metadata were limited to number of DICOMs and successfully embedded clips per study. No echo measurements, report text, diagnoses, post-echo variables, qualitative echo findings, or variables derived from echocardiogram interpretation were used.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 Tables for Manuscript</dc:title>
  <dc:subject>Aggregate-only Phase 2 manuscript tables</dc:subject>
  <dc:creator/>
  <cp:keywords>Phase 2; manuscript tables; aggregate-only</cp:keywords>
  <dc:description>Generated from canonical Markdown/CSV table sources. Contains no row-level data or identifiers.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