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2A33"/>
          <w:sz w:val="32"/>
          <w:szCs w:val="32"/>
        </w:rPr>
        <w:t xml:space="preserve">medchain: A Python package for reputation-driven committee-consensus federated learning on healthcare blockchains</w:t>
      </w:r>
    </w:p>
    <w:p>
      <w:pPr>
        <w:spacing w:after="40"/>
        <w:jc w:val="center"/>
      </w:pPr>
      <w:r>
        <w:rPr>
          <w:rFonts w:ascii="Cambria Math" w:cs="Cambria Math" w:eastAsia="Cambria Math" w:hAnsi="Cambria Math"/>
          <w:i/>
          <w:iCs/>
          <w:color w:val="1F2A33"/>
          <w:sz w:val="22"/>
          <w:szCs w:val="22"/>
        </w:rPr>
        <w:t xml:space="preserve">[Author name(s) to be completed]</w:t>
      </w:r>
    </w:p>
    <w:p>
      <w:pPr>
        <w:spacing w:after="40"/>
        <w:jc w:val="center"/>
      </w:pPr>
      <w:r>
        <w:rPr>
          <w:rFonts w:ascii="Cambria Math" w:cs="Cambria Math" w:eastAsia="Cambria Math" w:hAnsi="Cambria Math"/>
          <w:i/>
          <w:iCs/>
          <w:color w:val="1F2A33"/>
          <w:sz w:val="22"/>
          <w:szCs w:val="22"/>
        </w:rPr>
        <w:t xml:space="preserve">[Affiliation, city, country]</w:t>
      </w:r>
    </w:p>
    <w:p>
      <w:pPr>
        <w:spacing w:after="40"/>
        <w:jc w:val="center"/>
      </w:pPr>
      <w:r>
        <w:rPr>
          <w:rFonts w:ascii="Cambria Math" w:cs="Cambria Math" w:eastAsia="Cambria Math" w:hAnsi="Cambria Math"/>
          <w:i/>
          <w:iCs/>
          <w:color w:val="1F2A33"/>
          <w:sz w:val="22"/>
          <w:szCs w:val="22"/>
        </w:rPr>
        <w:t xml:space="preserve">[Corresponding author e-mail]</w:t>
      </w:r>
    </w:p>
    <w:p>
      <w:pPr>
        <w:spacing w:after="220"/>
        <w:jc w:val="center"/>
      </w:pPr>
      <w:r>
        <w:rPr>
          <w:rFonts w:ascii="Cambria Math" w:cs="Cambria Math" w:eastAsia="Cambria Math" w:hAnsi="Cambria Math"/>
          <w:i/>
          <w:iCs/>
          <w:color w:val="1F2A33"/>
          <w:sz w:val="22"/>
          <w:szCs w:val="22"/>
        </w:rPr>
        <w:t xml:space="preserve">[ORCID (if available)]</w:t>
      </w:r>
    </w:p>
    <w:p>
      <w:pPr>
        <w:spacing w:after="100"/>
      </w:pPr>
      <w:r>
        <w:rPr>
          <w:rFonts w:ascii="Calibri" w:cs="Calibri" w:eastAsia="Calibri" w:hAnsi="Calibri"/>
          <w:b/>
          <w:bCs/>
          <w:color w:val="1F2A33"/>
          <w:sz w:val="24"/>
          <w:szCs w:val="24"/>
        </w:rPr>
        <w:t xml:space="preserve">Abstract</w:t>
      </w:r>
    </w:p>
    <w:p>
      <w:pPr>
        <w:spacing w:after="160" w:line="276"/>
        <w:jc w:val="both"/>
      </w:pPr>
      <w:r>
        <w:rPr>
          <w:rFonts w:ascii="Cambria Math" w:cs="Cambria Math" w:eastAsia="Cambria Math" w:hAnsi="Cambria Math"/>
          <w:color w:val="1F2A33"/>
          <w:sz w:val="22"/>
          <w:szCs w:val="22"/>
        </w:rPr>
        <w:t xml:space="preserve">Blockchain-based federated learning replaces a trusted central aggregation server with a small elected committee that validates and aggregates model updates, but the committee-election rule used in the foundational framework for this approach has been shown in the literature to be susceptible to malicious nodes gaining committee seats through short-term good behaviour. medchain is an open-source Python package that implements committee-consensus federated learning together with a multidimensional, credibility-weighted reputation model whose asymmetric update rule makes reputation rise slowly and fall quickly, and uses that accumulated reputation – rather than a single round's validation score – to elect the consensus committee. The package provides a reputation-ranked variant of Practical Byzantine Fault Tolerance (PBFT) consensus with a documented fault-tolerance improvement over plain PBFT, Byzantine-robust median-based update validation, three interchangeable committee-election strategies, and an end-to-end simulator reproducing a federated healthcare-diagnosis workflow across an arbitrary number of institutions. Across 20 replications of a simulated intermittent (“sleeper”) attack, reputation-driven election reduces the mean number of committee seats an attacker holds after defecting from 17.30 to 1.10 (of the 102 seats available after the attack begins; one-sided exact Wilcoxon signed-rank p &lt; 0.0001), and the underlying reputation and consensus mechanisms are independently reusable in any cross-institution collaborative-learning setting beyond healthcare.</w:t>
      </w:r>
    </w:p>
    <w:p>
      <w:pPr>
        <w:spacing w:after="100" w:before="120"/>
      </w:pPr>
      <w:r>
        <w:rPr>
          <w:rFonts w:ascii="Calibri" w:cs="Calibri" w:eastAsia="Calibri" w:hAnsi="Calibri"/>
          <w:b/>
          <w:bCs/>
          <w:color w:val="1F2A33"/>
          <w:sz w:val="24"/>
          <w:szCs w:val="24"/>
        </w:rPr>
        <w:t xml:space="preserve">Keywords</w:t>
      </w:r>
    </w:p>
    <w:p>
      <w:pPr>
        <w:spacing w:after="160" w:line="276"/>
        <w:jc w:val="both"/>
      </w:pPr>
      <w:r>
        <w:rPr>
          <w:rFonts w:ascii="Cambria Math" w:cs="Cambria Math" w:eastAsia="Cambria Math" w:hAnsi="Cambria Math"/>
          <w:color w:val="1F2A33"/>
          <w:sz w:val="22"/>
          <w:szCs w:val="22"/>
        </w:rPr>
        <w:t xml:space="preserve">Federated learning; Blockchain; Reputation systems; Byzantine fault tolerance; Healthcare data sharing; Python</w:t>
      </w:r>
    </w:p>
    <w:p>
      <w:pPr>
        <w:spacing w:after="100" w:before="120"/>
      </w:pPr>
      <w:r>
        <w:rPr>
          <w:rFonts w:ascii="Calibri" w:cs="Calibri" w:eastAsia="Calibri" w:hAnsi="Calibri"/>
          <w:b/>
          <w:bCs/>
          <w:color w:val="1F2A33"/>
          <w:sz w:val="24"/>
          <w:szCs w:val="24"/>
        </w:rPr>
        <w:t xml:space="preserve">Highlights</w:t>
      </w:r>
    </w:p>
    <w:p>
      <w:pPr>
        <w:spacing w:after="60"/>
        <w:ind w:left="283"/>
      </w:pPr>
      <w:r>
        <w:rPr>
          <w:rFonts w:ascii="Cambria Math" w:cs="Cambria Math" w:eastAsia="Cambria Math" w:hAnsi="Cambria Math"/>
          <w:color w:val="1F2A33"/>
          <w:sz w:val="22"/>
          <w:szCs w:val="22"/>
        </w:rPr>
        <w:t xml:space="preserve">•  Combines two published blockchain-FL mechanisms into one importable package.</w:t>
      </w:r>
    </w:p>
    <w:p>
      <w:pPr>
        <w:spacing w:after="60"/>
        <w:ind w:left="283"/>
      </w:pPr>
      <w:r>
        <w:rPr>
          <w:rFonts w:ascii="Cambria Math" w:cs="Cambria Math" w:eastAsia="Cambria Math" w:hAnsi="Cambria Math"/>
          <w:color w:val="1F2A33"/>
          <w:sz w:val="22"/>
          <w:szCs w:val="22"/>
        </w:rPr>
        <w:t xml:space="preserve">•  Reputation-driven committee election measurably resists intermittent attackers.</w:t>
      </w:r>
    </w:p>
    <w:p>
      <w:pPr>
        <w:spacing w:after="60"/>
        <w:ind w:left="283"/>
      </w:pPr>
      <w:r>
        <w:rPr>
          <w:rFonts w:ascii="Cambria Math" w:cs="Cambria Math" w:eastAsia="Cambria Math" w:hAnsi="Cambria Math"/>
          <w:color w:val="1F2A33"/>
          <w:sz w:val="22"/>
          <w:szCs w:val="22"/>
        </w:rPr>
        <w:t xml:space="preserve">•  Reputation and consensus formulas tested against the source papers' equations.</w:t>
      </w:r>
    </w:p>
    <w:p>
      <w:pPr>
        <w:spacing w:after="60"/>
        <w:ind w:left="283"/>
      </w:pPr>
      <w:r>
        <w:rPr>
          <w:rFonts w:ascii="Cambria Math" w:cs="Cambria Math" w:eastAsia="Cambria Math" w:hAnsi="Cambria Math"/>
          <w:color w:val="1F2A33"/>
          <w:sz w:val="22"/>
          <w:szCs w:val="22"/>
        </w:rPr>
        <w:t xml:space="preserve">•  Reputation-ranked PBFT ships with a documented fault-tolerance improvement.</w:t>
      </w:r>
    </w:p>
    <w:p>
      <w:pPr>
        <w:spacing w:after="60"/>
        <w:ind w:left="283"/>
      </w:pPr>
      <w:r>
        <w:rPr>
          <w:rFonts w:ascii="Cambria Math" w:cs="Cambria Math" w:eastAsia="Cambria Math" w:hAnsi="Cambria Math"/>
          <w:color w:val="1F2A33"/>
          <w:sz w:val="22"/>
          <w:szCs w:val="22"/>
        </w:rPr>
        <w:t xml:space="preserve">•  Pure NumPy/SciPy; no blockchain client or GPU required to run or test.</w:t>
      </w:r>
    </w:p>
    <w:p>
      <w:r>
        <w:br w:type="page"/>
      </w:r>
    </w:p>
    <w:p>
      <w:pPr>
        <w:spacing w:after="100" w:before="200"/>
      </w:pPr>
      <w:r>
        <w:rPr>
          <w:rFonts w:ascii="Calibri" w:cs="Calibri" w:eastAsia="Calibri" w:hAnsi="Calibri"/>
          <w:b/>
          <w:bCs/>
          <w:color w:val="1F2A33"/>
          <w:sz w:val="25"/>
          <w:szCs w:val="25"/>
        </w:rPr>
        <w:t xml:space="preserve">Code metadata</w:t>
      </w:r>
    </w:p>
    <w:tbl>
      <w:tblPr>
        <w:tblW w:type="dxa" w:w="9524"/>
        <w:tblBorders>
          <w:top w:val="single" w:color="808080" w:sz="4"/>
          <w:left w:val="single" w:color="808080" w:sz="4"/>
          <w:bottom w:val="single" w:color="808080" w:sz="4"/>
          <w:right w:val="single" w:color="808080" w:sz="4"/>
          <w:insideH w:val="single" w:color="808080" w:sz="4"/>
          <w:insideV w:val="single" w:color="808080" w:sz="4"/>
        </w:tblBorders>
      </w:tblPr>
      <w:tblGrid>
        <w:gridCol w:w="3600"/>
        <w:gridCol w:w="5924"/>
      </w:tblGrid>
      <w:tr>
        <w:trPr>
          <w:cantSplit/>
          <w:tblHeader/>
        </w:trPr>
        <w:tc>
          <w:tcPr>
            <w:tcW w:type="dxa" w:w="3600"/>
            <w:shd w:fill="EEF1F3" w:val="clear"/>
            <w:tcMar>
              <w:top w:type="dxa" w:w="60"/>
              <w:left w:type="dxa" w:w="90"/>
              <w:bottom w:type="dxa" w:w="60"/>
              <w:right w:type="dxa" w:w="90"/>
            </w:tcMar>
          </w:tcPr>
          <w:p>
            <w:r>
              <w:rPr>
                <w:rFonts w:ascii="Cambria Math" w:cs="Cambria Math" w:eastAsia="Cambria Math" w:hAnsi="Cambria Math"/>
                <w:b/>
                <w:bCs/>
                <w:color w:val="1F2A33"/>
                <w:sz w:val="18"/>
                <w:szCs w:val="18"/>
              </w:rPr>
              <w:t xml:space="preserve"/>
            </w:r>
          </w:p>
        </w:tc>
        <w:tc>
          <w:tcPr>
            <w:tcW w:type="dxa" w:w="5924"/>
            <w:shd w:fill="EEF1F3" w:val="clear"/>
            <w:tcMar>
              <w:top w:type="dxa" w:w="60"/>
              <w:left w:type="dxa" w:w="90"/>
              <w:bottom w:type="dxa" w:w="60"/>
              <w:right w:type="dxa" w:w="90"/>
            </w:tcMar>
          </w:tcPr>
          <w:p>
            <w:r>
              <w:rPr>
                <w:rFonts w:ascii="Cambria Math" w:cs="Cambria Math" w:eastAsia="Cambria Math" w:hAnsi="Cambria Math"/>
                <w:b/>
                <w:bCs/>
                <w:color w:val="1F2A33"/>
                <w:sz w:val="18"/>
                <w:szCs w:val="18"/>
              </w:rPr>
              <w:t xml:space="preserve"/>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C1 Current code version</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v0.1.34</w:t>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C2 Permanent link to code/repository</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[to be completed at submission – GitHub tag + Zenodo DOI]</w:t>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C3 Permanent link to Reproducible Capsule</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N/A</w:t>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C4 Legal Code License</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MIT</w:t>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C5 Code versioning system used</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git</w:t>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C6 Software code languages, tools and services used</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Python 3.10–3.14; NumPy ≥ 1.22 (tested 1.26 and 2.4); SciPy ≥ 1.9 (tested 1.13 and 1.17); pytest (dev)</w:t>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C7 Compilation requirements, operating environments and dependencies</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Pure Python, no compiled extensions; Linux/macOS/Windows</w:t>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C8 Link to developer documentation/manual</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README.md and inline docstrings in the repository</w:t>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C9 Support email for questions</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[to be completed]</w:t>
            </w:r>
          </w:p>
        </w:tc>
      </w:tr>
    </w:tbl>
    <w:p>
      <w:pPr>
        <w:spacing w:after="200" w:before="60"/>
      </w:pPr>
      <w:r>
        <w:rPr>
          <w:rFonts w:ascii="Cambria Math" w:cs="Cambria Math" w:eastAsia="Cambria Math" w:hAnsi="Cambria Math"/>
          <w:i/>
          <w:iCs/>
          <w:color w:val="1F2A33"/>
          <w:sz w:val="18"/>
          <w:szCs w:val="18"/>
        </w:rPr>
        <w:t xml:space="preserve">Table 1  Code metadata.</w:t>
      </w:r>
    </w:p>
    <w:p>
      <w:pPr>
        <w:spacing w:after="100" w:before="200"/>
      </w:pPr>
      <w:r>
        <w:rPr>
          <w:rFonts w:ascii="Calibri" w:cs="Calibri" w:eastAsia="Calibri" w:hAnsi="Calibri"/>
          <w:b/>
          <w:bCs/>
          <w:color w:val="1F2A33"/>
          <w:sz w:val="25"/>
          <w:szCs w:val="25"/>
        </w:rPr>
        <w:t xml:space="preserve">Software metadata</w:t>
      </w:r>
    </w:p>
    <w:tbl>
      <w:tblPr>
        <w:tblW w:type="dxa" w:w="9524"/>
        <w:tblBorders>
          <w:top w:val="single" w:color="808080" w:sz="4"/>
          <w:left w:val="single" w:color="808080" w:sz="4"/>
          <w:bottom w:val="single" w:color="808080" w:sz="4"/>
          <w:right w:val="single" w:color="808080" w:sz="4"/>
          <w:insideH w:val="single" w:color="808080" w:sz="4"/>
          <w:insideV w:val="single" w:color="808080" w:sz="4"/>
        </w:tblBorders>
      </w:tblPr>
      <w:tblGrid>
        <w:gridCol w:w="3600"/>
        <w:gridCol w:w="5924"/>
      </w:tblGrid>
      <w:tr>
        <w:trPr>
          <w:cantSplit/>
          <w:tblHeader/>
        </w:trPr>
        <w:tc>
          <w:tcPr>
            <w:tcW w:type="dxa" w:w="3600"/>
            <w:shd w:fill="EEF1F3" w:val="clear"/>
            <w:tcMar>
              <w:top w:type="dxa" w:w="60"/>
              <w:left w:type="dxa" w:w="90"/>
              <w:bottom w:type="dxa" w:w="60"/>
              <w:right w:type="dxa" w:w="90"/>
            </w:tcMar>
          </w:tcPr>
          <w:p>
            <w:r>
              <w:rPr>
                <w:rFonts w:ascii="Cambria Math" w:cs="Cambria Math" w:eastAsia="Cambria Math" w:hAnsi="Cambria Math"/>
                <w:b/>
                <w:bCs/>
                <w:color w:val="1F2A33"/>
                <w:sz w:val="18"/>
                <w:szCs w:val="18"/>
              </w:rPr>
              <w:t xml:space="preserve"/>
            </w:r>
          </w:p>
        </w:tc>
        <w:tc>
          <w:tcPr>
            <w:tcW w:type="dxa" w:w="5924"/>
            <w:shd w:fill="EEF1F3" w:val="clear"/>
            <w:tcMar>
              <w:top w:type="dxa" w:w="60"/>
              <w:left w:type="dxa" w:w="90"/>
              <w:bottom w:type="dxa" w:w="60"/>
              <w:right w:type="dxa" w:w="90"/>
            </w:tcMar>
          </w:tcPr>
          <w:p>
            <w:r>
              <w:rPr>
                <w:rFonts w:ascii="Cambria Math" w:cs="Cambria Math" w:eastAsia="Cambria Math" w:hAnsi="Cambria Math"/>
                <w:b/>
                <w:bCs/>
                <w:color w:val="1F2A33"/>
                <w:sz w:val="18"/>
                <w:szCs w:val="18"/>
              </w:rPr>
              <w:t xml:space="preserve"/>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S1 Current software version</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0.1.34</w:t>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S2 Permanent link to executables</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Installable from source via pip; PyPI release to accompany submission</w:t>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S3 Permanent link to Reproducible Capsule</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N/A</w:t>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S4 Legal Software License</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MIT</w:t>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S5 Computing platforms / Operating Systems</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Linux, macOS, Windows</w:t>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S6 Installation requirements and dependencies</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numpy&gt;=1.22, scipy&gt;=1.9</w:t>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S7 Link to user manual</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README.md in the repository</w:t>
            </w:r>
          </w:p>
        </w:tc>
      </w:tr>
      <w:tr>
        <w:trPr>
          <w:cantSplit/>
        </w:trPr>
        <w:tc>
          <w:tcPr>
            <w:tcW w:type="dxa" w:w="3600"/>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S8 Support email for questions</w:t>
            </w:r>
          </w:p>
        </w:tc>
        <w:tc>
          <w:tcPr>
            <w:tcW w:type="dxa" w:w="5924"/>
            <w:tcMar>
              <w:top w:type="dxa" w:w="60"/>
              <w:left w:type="dxa" w:w="90"/>
              <w:bottom w:type="dxa" w:w="60"/>
              <w:right w:type="dxa" w:w="90"/>
            </w:tcMar>
          </w:tcPr>
          <w:p>
            <w:r>
              <w:rPr>
                <w:rFonts w:ascii="Cambria Math" w:cs="Cambria Math" w:eastAsia="Cambria Math" w:hAnsi="Cambria Math"/>
                <w:b w:val="false"/>
                <w:bCs w:val="false"/>
                <w:color w:val="1F2A33"/>
                <w:sz w:val="18"/>
                <w:szCs w:val="18"/>
              </w:rPr>
              <w:t xml:space="preserve">[to be completed]</w:t>
            </w:r>
          </w:p>
        </w:tc>
      </w:tr>
    </w:tbl>
    <w:p>
      <w:pPr>
        <w:spacing w:after="200" w:before="60"/>
      </w:pPr>
      <w:r>
        <w:rPr>
          <w:rFonts w:ascii="Cambria Math" w:cs="Cambria Math" w:eastAsia="Cambria Math" w:hAnsi="Cambria Math"/>
          <w:i/>
          <w:iCs/>
          <w:color w:val="1F2A33"/>
          <w:sz w:val="18"/>
          <w:szCs w:val="18"/>
        </w:rPr>
        <w:t xml:space="preserve">Table 2  Software metadata.</w:t>
      </w:r>
    </w:p>
    <w:p>
      <w:pPr>
        <w:spacing w:after="120" w:before="280"/>
      </w:pPr>
      <w:r>
        <w:rPr>
          <w:rFonts w:ascii="Calibri" w:cs="Calibri" w:eastAsia="Calibri" w:hAnsi="Calibri"/>
          <w:b/>
          <w:bCs/>
          <w:color w:val="1F2A33"/>
          <w:sz w:val="30"/>
          <w:szCs w:val="30"/>
        </w:rPr>
        <w:t xml:space="preserve">1. Motivation and significance</w:t>
      </w:r>
    </w:p>
    <w:p>
      <w:pPr>
        <w:spacing w:after="160" w:line="276"/>
        <w:jc w:val="both"/>
      </w:pPr>
      <w:r>
        <w:rPr>
          <w:rFonts w:ascii="Cambria Math" w:cs="Cambria Math" w:eastAsia="Cambria Math" w:hAnsi="Cambria Math"/>
          <w:color w:val="1F2A33"/>
          <w:sz w:val="22"/>
          <w:szCs w:val="22"/>
        </w:rPr>
        <w:t xml:space="preserve">Federated learning (FL) lets multiple institutions train a shared model without exchanging raw data, which is attractive for healthcare, where patient records cannot leave the originating institution but a model trained across many institutions generalises far better than one trained on any single site's data [3]. The standard FL protocol nonetheless relies on a central server to aggregate updates, and that server is a single point of failure: it can be attacked, can leak the very data it is meant to protect, and can silently favour some participants over others. Blockchain-based FL removes this central server by having participating nodes maintain the global model and its update history on a shared ledger instead.</w:t>
      </w:r>
    </w:p>
    <w:p>
      <w:pPr>
        <w:spacing w:after="160" w:line="276"/>
        <w:jc w:val="both"/>
      </w:pPr>
      <w:r>
        <w:rPr>
          <w:rFonts w:ascii="Cambria Math" w:cs="Cambria Math" w:eastAsia="Cambria Math" w:hAnsi="Cambria Math"/>
          <w:color w:val="1F2A33"/>
          <w:sz w:val="22"/>
          <w:szCs w:val="22"/>
        </w:rPr>
        <w:t xml:space="preserve">A direct, fully decentralised implementation of this idea requires every node to reach consensus on every update, which is computationally prohibitive at any realistic scale. Li, Chen, Liu, Huang, Zheng and Yan (2021) [1] addressed this with BFLC, a Blockchain-based Federated Learning framework with Committee consensus: in each round a small elected committee validates submitted updates – scoring each one against the committee members' own local data and combining the scores by their median – and only accepted updates are aggregated; the next committee is then elected from the best-scoring contributors. This reduces per-round consensus cost from broadcast-order to committee-order.</w:t>
      </w:r>
    </w:p>
    <w:p>
      <w:pPr>
        <w:spacing w:after="160" w:line="276"/>
        <w:jc w:val="both"/>
      </w:pPr>
      <w:r>
        <w:rPr>
          <w:rFonts w:ascii="Cambria Math" w:cs="Cambria Math" w:eastAsia="Cambria Math" w:hAnsi="Cambria Math"/>
          <w:color w:val="1F2A33"/>
          <w:sz w:val="22"/>
          <w:szCs w:val="22"/>
        </w:rPr>
        <w:t xml:space="preserve">A gap in this design has since been pointed out by Yang and Li (Connection Science, 2024) [5]: because committee eligibility in BFLC depends only on a single round's validation score, a node can behave honestly just long enough to win a committee seat and then defect, and once a malicious node reaches the committee it participates in scoring every other node's updates. A separate line of work, Liu, Liu, Zhang, Su, Cai and Li's BtRaI (Future Generation Computer Systems, 2024) [2], develops a multidimensional, credibility-weighted reputation model for blockchain-based healthcare services with an explicitly asymmetric update rule – reputation is designed to climb slowly under good behaviour but fall quickly under bad behaviour, precisely so that short bursts of good behaviour cannot rebuild a reputation that sustained good behaviour took long to earn – together with a reputation-ranked variant of Practical Byzantine Fault Tolerance (PBFT) consensus, called RPBFT. BtRaI was developed independently of BFLC, for a different purpose (service incentives rather than FL aggregation), and neither paper's own software release, if any, combines the two mechanisms.</w:t>
      </w:r>
    </w:p>
    <w:p>
      <w:pPr>
        <w:spacing w:after="160" w:line="276"/>
        <w:jc w:val="both"/>
      </w:pPr>
      <w:r>
        <w:rPr>
          <w:rFonts w:ascii="Cambria Math" w:cs="Cambria Math" w:eastAsia="Cambria Math" w:hAnsi="Cambria Math"/>
          <w:color w:val="1F2A33"/>
          <w:sz w:val="22"/>
          <w:szCs w:val="22"/>
        </w:rPr>
        <w:t xml:space="preserve">To the best of our knowledge, no openly available software implements either mechanism as a reusable library – a public BFLC demonstration exists [6], but it is a C++/Python deployment bound to the FISCO-BCOS blockchain stack rather than an importable package – and none combines them. Yang and Li [5] answer the infiltration weakness with a new quality-based reputation scheme of their own; medchain instead adopts BtRaI's published multidimensional model rather than designing a new reputation formula. It packages both mechanisms as small, independently testable Python modules, and provides a documented integration – electing BFLC's committee by BtRaI's accumulated reputation rather than by a single round's score – while remaining usable as two separate tools (a reputation model and a committee-consensus FL aggregator) for researchers who need only one of them. This contribution is demonstrated quantitatively in Section 3: across repeated simulations of an intermittent attacker, reputation-driven committee election reduces the number of committee seats the attacker holds after defecting by roughly 94% relative to the original BFLC election rule.</w:t>
      </w:r>
    </w:p>
    <w:p>
      <w:pPr>
        <w:spacing w:after="120" w:before="280"/>
      </w:pPr>
      <w:r>
        <w:rPr>
          <w:rFonts w:ascii="Calibri" w:cs="Calibri" w:eastAsia="Calibri" w:hAnsi="Calibri"/>
          <w:b/>
          <w:bCs/>
          <w:color w:val="1F2A33"/>
          <w:sz w:val="30"/>
          <w:szCs w:val="30"/>
        </w:rPr>
        <w:t xml:space="preserve">2. Software description</w:t>
      </w:r>
    </w:p>
    <w:p>
      <w:pPr>
        <w:spacing w:after="100" w:before="200"/>
      </w:pPr>
      <w:r>
        <w:rPr>
          <w:rFonts w:ascii="Calibri" w:cs="Calibri" w:eastAsia="Calibri" w:hAnsi="Calibri"/>
          <w:b/>
          <w:bCs/>
          <w:color w:val="1F2A33"/>
          <w:sz w:val="25"/>
          <w:szCs w:val="25"/>
        </w:rPr>
        <w:t xml:space="preserve">2.1 Software architecture</w:t>
      </w:r>
    </w:p>
    <w:p>
      <w:pPr>
        <w:spacing w:after="160" w:line="276"/>
        <w:jc w:val="both"/>
      </w:pPr>
      <w:r>
        <w:rPr>
          <w:rFonts w:ascii="Cambria Math" w:cs="Cambria Math" w:eastAsia="Cambria Math" w:hAnsi="Cambria Math"/>
          <w:color w:val="1F2A33"/>
          <w:sz w:val="22"/>
          <w:szCs w:val="22"/>
        </w:rPr>
        <w:t xml:space="preserve">medchain is a pure-Python package organised into three layers (Fig. 1). The consensus layer (consensus/) contains reputation.py, implementing BtRaI's multidimensional reputation model, and rpbft.py, implementing the reputation-ranked committee/validator split and rotation rule. The aggregation layer (aggregation/) contains bflc.py, implementing BFLC's committee-based update validation, its three committee-election strategies, and the theoretical malicious-attack success-probability analysis. The recipe layer (recipes/) contains trustworthy_fl.py, which composes the two lower layers into an end-to-end simulator (TrustworthyFLSimulator) that runs committee-consensus federated learning with a choice of election rule. Every module accepts and returns plain NumPy arrays and Python dataclasses, so the package composes directly with scikit-learn, PyTorch or any other array-based stack without adapters. The test layer (tests/) ties each function to a specific claim or reported figure in one of the two source papers, or to a defect found during audit.</w:t>
      </w:r>
    </w:p>
    <w:p>
      <w:pPr>
        <w:spacing w:after="160" w:line="276"/>
        <w:jc w:val="both"/>
      </w:pPr>
      <w:r>
        <w:rPr>
          <w:rFonts w:ascii="Cambria Math" w:cs="Cambria Math" w:eastAsia="Cambria Math" w:hAnsi="Cambria Math"/>
          <w:color w:val="1F2A33"/>
          <w:sz w:val="22"/>
          <w:szCs w:val="22"/>
        </w:rPr>
        <w:t xml:space="preserve">A design goal throughout is that the two mechanisms remain usable independently. reputation.py has no dependency on rpbft.py, bflc.py or the FL-specific vocabulary of “nodes” and “updates” at all – it operates purely on rating vectors and reputation states, so it is directly reusable for any multi-entity trust-scoring problem (e.g. crowdsourcing platforms, IoT device trust, marketplace reputation), not only federated learning. Similarly, bflc.py's committee-validation function takes a caller-supplied committee_score_fn and its election function only a dict of scores, so neither assumes what an “update” is and they apply to any committee-validated aggregation problem, not specifically neural-network gradients.</w:t>
      </w:r>
    </w:p>
    <w:p>
      <w:pPr>
        <w:spacing w:after="80" w:before="160"/>
        <w:jc w:val="center"/>
      </w:pPr>
      <w:r>
        <w:drawing>
          <wp:inline distT="0" distB="0" distL="0" distR="0">
            <wp:extent cx="4476750" cy="27638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763860"/>
                    </a:xfrm>
                    <a:prstGeom prst="rect">
                      <a:avLst/>
                    </a:prstGeom>
                  </pic:spPr>
                </pic:pic>
              </a:graphicData>
            </a:graphic>
          </wp:inline>
        </w:drawing>
      </w:r>
    </w:p>
    <w:p>
      <w:pPr>
        <w:spacing w:after="200"/>
        <w:jc w:val="center"/>
      </w:pPr>
      <w:r>
        <w:rPr>
          <w:rFonts w:ascii="Cambria Math" w:cs="Cambria Math" w:eastAsia="Cambria Math" w:hAnsi="Cambria Math"/>
          <w:i/>
          <w:iCs/>
          <w:color w:val="1F2A33"/>
          <w:sz w:val="18"/>
          <w:szCs w:val="18"/>
        </w:rPr>
        <w:t xml:space="preserve">Fig. 1. Package architecture and module dependencies. Solid arrows are import dependencies; dashed lines indicate which module each test targets.</w:t>
      </w:r>
    </w:p>
    <w:p>
      <w:pPr>
        <w:spacing w:after="160" w:line="276"/>
        <w:jc w:val="both"/>
      </w:pPr>
      <w:r>
        <w:rPr>
          <w:rFonts w:ascii="Cambria Math" w:cs="Cambria Math" w:eastAsia="Cambria Math" w:hAnsi="Cambria Math"/>
          <w:color w:val="1F2A33"/>
          <w:sz w:val="22"/>
          <w:szCs w:val="22"/>
        </w:rPr>
        <w:t xml:space="preserve">The package has no compiled extensions, so the platforms and Python versions listed in Tables 1–2 (C6/S5) reflect intended compatibility rather than executed verification: a GitHub Actions workflow covering Python 3.10–3.14 on Linux, macOS and Windows ships with the repository (.github/workflows/ci.yml), but as of this submission it has not yet run – that requires the repository's first push, tracked as an outstanding step alongside the C2/S2 permanent-link placeholders. All 62 tests have been directly executed only on Linux under CPython 3.12, on NumPy 1.26/SciPy 1.13 and NumPy 2.4/SciPy 1.17 (the authors' development environment).</w:t>
      </w:r>
    </w:p>
    <w:p>
      <w:pPr>
        <w:spacing w:after="100" w:before="200"/>
      </w:pPr>
      <w:r>
        <w:rPr>
          <w:rFonts w:ascii="Calibri" w:cs="Calibri" w:eastAsia="Calibri" w:hAnsi="Calibri"/>
          <w:b/>
          <w:bCs/>
          <w:color w:val="1F2A33"/>
          <w:sz w:val="25"/>
          <w:szCs w:val="25"/>
        </w:rPr>
        <w:t xml:space="preserve">2.2 Software functionalities</w:t>
      </w:r>
    </w:p>
    <w:p>
      <w:pPr>
        <w:spacing w:after="160" w:line="276"/>
        <w:jc w:val="both"/>
      </w:pPr>
      <w:r>
        <w:rPr>
          <w:rFonts w:ascii="Cambria Math" w:cs="Cambria Math" w:eastAsia="Cambria Math" w:hAnsi="Cambria Math"/>
          <w:color w:val="1F2A33"/>
          <w:sz w:val="22"/>
          <w:szCs w:val="22"/>
        </w:rPr>
        <w:t xml:space="preserve">F1 – credibility_weighted_score(scores) aggregates a vector of peer ratings into one credibility-weighted score (BtRaI Eq. 2–3): each nonzero rating's credibility is 1 minus its absolute deviation from the group mean, so ratings that disagree sharply with consensus are downweighted rather than excluded outright. Ratings must be 0 (no interaction) or in (0, 1]; out-of-range input raises rather than silently producing a negative credibility weight.</w:t>
      </w:r>
    </w:p>
    <w:p>
      <w:pPr>
        <w:spacing w:after="160" w:line="276"/>
        <w:jc w:val="both"/>
      </w:pPr>
      <w:r>
        <w:rPr>
          <w:rFonts w:ascii="Cambria Math" w:cs="Cambria Math" w:eastAsia="Cambria Math" w:hAnsi="Cambria Math"/>
          <w:color w:val="1F2A33"/>
          <w:sz w:val="22"/>
          <w:szCs w:val="22"/>
        </w:rPr>
        <w:t xml:space="preserve">F2 – update_hc_reputation / update_pnf_reputation / update_csp_reputation advance one entity's comprehensive reputation by one round (BtRaI Eq. 1, 4–9), blending historical reputation with the current round's credibility-weighted peer assessments and consortium-chain behaviour score via adaptive_learning_rate (whose asymmetry makes an equally-sized bad round cost γ₁/γ₂ = 1.5 times what a good round gains, Section 3). Several parameters here are validated beyond their basic type: the alpha/beta/delta weight tuples must be non-negative as well as summing to 1 (a negative component that still sums to 1 silently reverses that sub-score's contribution); omega (the chain-behaviour “gap modifier”) must be strictly positive for the same reason, checked both in behavior_score() and at construction of all three classes; update_pnf_reputation's waste_penalty must be ≥ 1 (values below 1 would invert a penalty into a reward); the reputation field itself must lie in [0, 1]; and gamma_up/gamma_down (the paper's γ₁ and γ₂: the larger rate applied when reputation falls and the smaller one applied when it rises) must satisfy 0 &lt; gamma_down &lt; gamma_up &lt; 1, checked at construction; every check also rejects non-finite (NaN/Inf) values, which pass ordinary range comparisons silently.</w:t>
      </w:r>
    </w:p>
    <w:p>
      <w:pPr>
        <w:spacing w:after="160" w:line="276"/>
        <w:jc w:val="both"/>
      </w:pPr>
      <w:r>
        <w:rPr>
          <w:rFonts w:ascii="Cambria Math" w:cs="Cambria Math" w:eastAsia="Cambria Math" w:hAnsi="Cambria Math"/>
          <w:color w:val="1F2A33"/>
          <w:sz w:val="22"/>
          <w:szCs w:val="22"/>
        </w:rPr>
        <w:t xml:space="preserve">F3 – RPBFTState, select_committee, rotate_committee, record_block and leader (BtRaI Section 4.2) rank nodes by reputation, split them into a consensus committee and validators, rotate the committee after a configurable number of blocks or immediately on a rejected block (record_block), identify the current highest-reputation committee member (leader), and enforce an explicit anti-collusion rule that caps how many committee seats can carry over unchanged between rounds (a hard cap of ⌈(c_num − 1)/2⌉, slightly stricter than the paper's fixed-replacement wording). A custom collusion_cap is validated to [0, c_num - 1], and a configuration under which the cap could not always be honoured (fewer validators than c_num − collusion_cap) is rejected at construction; a negative value would force eviction on every rotation and drive the committee into a permanent two-group oscillation. max_fault_tolerance(n_total, c_num) returns RPBFT's Byzantine fault-tolerance bounds – the paper's closed form and the exact sum of the committee and validator bounds, which differ by one for about a third of network/committee sizes – and the improvement over plain PBFT [4].</w:t>
      </w:r>
    </w:p>
    <w:p>
      <w:pPr>
        <w:spacing w:after="160" w:line="276"/>
        <w:jc w:val="both"/>
      </w:pPr>
      <w:r>
        <w:rPr>
          <w:rFonts w:ascii="Cambria Math" w:cs="Cambria Math" w:eastAsia="Cambria Math" w:hAnsi="Cambria Math"/>
          <w:color w:val="1F2A33"/>
          <w:sz w:val="22"/>
          <w:szCs w:val="22"/>
        </w:rPr>
        <w:t xml:space="preserve">F4 – validate_updates(updates, committee_score_fn, committee_local_data, threshold) implements BFLC's committee validation step: every submitted update is scored by every committee member against that member's own local data, and the cross-committee median determines acceptance, giving Byzantine robustness to any single dishonest committee member's score without requiring the committee to agree on a validation set in advance. Non-finite (NaN/Inf) updates are rejected before scoring rather than after: this package's own scoring function turns an all-NaN update into an ordinary-looking, accepted score (NaN compared with 0.5 is False under IEEE 754), silently corrupting the global model; a committee member whose own score is non-finite is likewise dropped from the median rather than allowed to veto or distort every update, the number of scores used is reported with the verdict, and an update scored by fewer than a caller-set minimum of members (a majority, in F7) is tagged as a committee-side failure.</w:t>
      </w:r>
    </w:p>
    <w:p>
      <w:pPr>
        <w:spacing w:after="160" w:line="276"/>
        <w:jc w:val="both"/>
      </w:pPr>
      <w:r>
        <w:rPr>
          <w:rFonts w:ascii="Cambria Math" w:cs="Cambria Math" w:eastAsia="Cambria Math" w:hAnsi="Cambria Math"/>
          <w:color w:val="1F2A33"/>
          <w:sz w:val="22"/>
          <w:szCs w:val="22"/>
        </w:rPr>
        <w:t xml:space="preserve">F5 – elect_committee(candidates, scores, c_num, strategy) implements all three election strategies BFLC's authors discuss – random, by_score, and multi_factor (a weighted blend of validation score and a caller-supplied secondary factor, e.g. reputation or network latency) – behind one interface, so callers can swap strategies without touching surrounding code. multi_factor's factor_weight is validated to [0, 1]; outside that range the blend would silently reverse (a higher score becoming less likely to be elected). This three-strategy interface is exercised directly by callers of elect_committee itself; TrustworthyFLSimulator (F7) deliberately exposes only two of them, by_score under both its 'score' and 'reputation' election modes (the same ranking, applied to this round's scores or to accumulated reputations respectively; the 'score' mode additionally applies the shortfall rules described in F7), since contrasting exactly those two is this package's central narrative – callers who want random or multi_factor election end-to-end should call elect_committee directly.</w:t>
      </w:r>
    </w:p>
    <w:p>
      <w:pPr>
        <w:spacing w:after="160" w:line="276"/>
        <w:jc w:val="both"/>
      </w:pPr>
      <w:r>
        <w:rPr>
          <w:rFonts w:ascii="Cambria Math" w:cs="Cambria Math" w:eastAsia="Cambria Math" w:hAnsi="Cambria Math"/>
          <w:color w:val="1F2A33"/>
          <w:sz w:val="22"/>
          <w:szCs w:val="22"/>
        </w:rPr>
        <w:t xml:space="preserve">F6 – malicious_attack_success_probability(n_participating, malicious_fraction, committee_fraction) computes the exact hypergeometric-tail probability that a malicious coalition captures a committee majority, reproducing the qualitative pattern of BFLC's Fig. 3 (negligible below roughly 50% malicious participation, then rising sharply) as a closed-form function rather than a Monte Carlo estimate.</w:t>
      </w:r>
    </w:p>
    <w:p>
      <w:pPr>
        <w:spacing w:after="160" w:line="276"/>
        <w:jc w:val="both"/>
      </w:pPr>
      <w:r>
        <w:rPr>
          <w:rFonts w:ascii="Cambria Math" w:cs="Cambria Math" w:eastAsia="Cambria Math" w:hAnsi="Cambria Math"/>
          <w:color w:val="1F2A33"/>
          <w:sz w:val="22"/>
          <w:szCs w:val="22"/>
        </w:rPr>
        <w:t xml:space="preserve">F7 – TrustworthyFLSimulator(nodes, c_num, threshold, election, seed, reelect_incumbents) runs the full committee-consensus FL loop – local training, committee validation, aggregation, reputation update, and committee re-election – for a caller-specified number of rounds, with election='score' reproducing the original BFLC rule as a baseline and election='reputation' applying this package's integration; each Node carries its own data shard and can be marked permanently or intermittently malicious for robustness testing. Node.node_id is validated to be unique at construction time (a duplicate silently collapses the reputation lookup), and each Node's data shard is validated for shape, non-emptiness and a shared feature space, so malformed inputs fail at construction rather than mid-run.</w:t>
      </w:r>
    </w:p>
    <w:p>
      <w:pPr>
        <w:spacing w:after="160" w:line="276"/>
        <w:jc w:val="both"/>
      </w:pPr>
      <w:r>
        <w:rPr>
          <w:rFonts w:ascii="Cambria Math" w:cs="Cambria Math" w:eastAsia="Cambria Math" w:hAnsi="Cambria Math"/>
          <w:color w:val="1F2A33"/>
          <w:sz w:val="22"/>
          <w:szCs w:val="22"/>
        </w:rPr>
        <w:t xml:space="preserve">A round the committee cannot score at all is flagged and leaves every reputation untouched: that failure is the committee's, not the trainers', and under election='reputation' its members are ineligible for the next election only (seats that cannot otherwise be filled are held over); under election='score' only candidates with a finite score are eligible, a shortfall is filled at random from candidates the committee failed to score, any seats still unfilled are held over by randomly chosen incumbents and flagged in the round summary, and a submitter of a non-finite update is never seated. In v0.1.x the simulator re-elects the committee every round rather than holding it for a multi-round epoch via rotate_committee, so RPBFT's anti-collusion carryover cap (F3) is validated in isolation but not yet exercised end-to-end by this recipe; epoch-based rotation is planned for v0.2 (Section 5). In ordinary rounds, incumbents remain eligible under election='reputation' on their persisted reputation and, since members neither train nor have their reputation updated while serving, most seats carry over between rounds (77% in Example 2); reelect_incumbents=False restricts each election to the round's trainers, the same forced rotation the score baseline has. The simulator feeds the committee's median validation score to all three of BtRaI's rating channels and holds the chain-behaviour term constant, so the model's multidimensional structure is exercised only when reputation.py is driven directly (Example 1). The constructor deep-copies the supplied nodes, so two simulator instances built from the same Node list never share reputation state.</w:t>
      </w:r>
    </w:p>
    <w:p>
      <w:pPr>
        <w:spacing w:after="120" w:before="280"/>
      </w:pPr>
      <w:r>
        <w:rPr>
          <w:rFonts w:ascii="Calibri" w:cs="Calibri" w:eastAsia="Calibri" w:hAnsi="Calibri"/>
          <w:b/>
          <w:bCs/>
          <w:color w:val="1F2A33"/>
          <w:sz w:val="30"/>
          <w:szCs w:val="30"/>
        </w:rPr>
        <w:t xml:space="preserve">3. Illustrative examples</w:t>
      </w:r>
    </w:p>
    <w:p>
      <w:pPr>
        <w:spacing w:after="160" w:line="276"/>
        <w:jc w:val="both"/>
      </w:pPr>
      <w:r>
        <w:rPr>
          <w:rFonts w:ascii="Cambria Math" w:cs="Cambria Math" w:eastAsia="Cambria Math" w:hAnsi="Cambria Math"/>
          <w:color w:val="1F2A33"/>
          <w:sz w:val="22"/>
          <w:szCs w:val="22"/>
        </w:rPr>
        <w:t xml:space="preserve">Example 1: reputation dynamics. The script examples/demo_reputation_dynamics.py feeds six healthcare centres sustained service-quality levels set to the six steady-state reputations BtRaI reports for its Fig. 4 (0.96, 0.84, 0.74, 0.82, 0.88 and 0.88; Section 6.1 of [2]) and shows each reputation converging to within 0.04 of its input while preserving their order – a contraction property of the update rule rather than an independent reproduction of the figure – and isolates the paper's asymmetric-update design goal directly:</w:t>
      </w:r>
    </w:p>
    <w:p>
      <w:pPr>
        <w:shd w:fill="F4F6F7" w:val="clear"/>
        <w:spacing w:after="0" w:line="236"/>
        <w:ind w:left="200"/>
      </w:pPr>
      <w:r>
        <w:rPr>
          <w:rFonts w:ascii="Consolas" w:cs="Consolas" w:eastAsia="Consolas" w:hAnsi="Consolas"/>
          <w:color w:val="1F2A33"/>
          <w:sz w:val="18"/>
          <w:szCs w:val="18"/>
        </w:rPr>
        <w:t xml:space="preserve">from medchain.consensus.reputation import HCReputationState, update_hc_reputation</w:t>
      </w:r>
    </w:p>
    <w:p>
      <w:pPr>
        <w:shd w:fill="F4F6F7" w:val="clear"/>
        <w:spacing w:after="0" w:line="236"/>
        <w:ind w:left="200"/>
      </w:pPr>
      <w:r>
        <w:rPr>
          <w:rFonts w:ascii="Consolas" w:cs="Consolas" w:eastAsia="Consolas" w:hAnsi="Consolas"/>
          <w:color w:val="1F2A33"/>
          <w:sz w:val="18"/>
          <w:szCs w:val="18"/>
        </w:rPr>
        <w:t xml:space="preserve"> </w:t>
      </w:r>
    </w:p>
    <w:p>
      <w:pPr>
        <w:shd w:fill="F4F6F7" w:val="clear"/>
        <w:spacing w:after="0" w:line="236"/>
        <w:ind w:left="200"/>
      </w:pPr>
      <w:r>
        <w:rPr>
          <w:rFonts w:ascii="Consolas" w:cs="Consolas" w:eastAsia="Consolas" w:hAnsi="Consolas"/>
          <w:color w:val="1F2A33"/>
          <w:sz w:val="18"/>
          <w:szCs w:val="18"/>
        </w:rPr>
        <w:t xml:space="preserve">s0 = 0.7595   # input that leaves a reputation of 0.8 unchanged</w:t>
      </w:r>
    </w:p>
    <w:p>
      <w:pPr>
        <w:shd w:fill="F4F6F7" w:val="clear"/>
        <w:spacing w:after="0" w:line="236"/>
        <w:ind w:left="200"/>
      </w:pPr>
      <w:r>
        <w:rPr>
          <w:rFonts w:ascii="Consolas" w:cs="Consolas" w:eastAsia="Consolas" w:hAnsi="Consolas"/>
          <w:color w:val="1F2A33"/>
          <w:sz w:val="18"/>
          <w:szCs w:val="18"/>
        </w:rPr>
        <w:t xml:space="preserve">for s in (s0 + 0.15, s0 - 0.15):</w:t>
      </w:r>
    </w:p>
    <w:p>
      <w:pPr>
        <w:shd w:fill="F4F6F7" w:val="clear"/>
        <w:spacing w:after="0" w:line="236"/>
        <w:ind w:left="200"/>
      </w:pPr>
      <w:r>
        <w:rPr>
          <w:rFonts w:ascii="Consolas" w:cs="Consolas" w:eastAsia="Consolas" w:hAnsi="Consolas"/>
          <w:color w:val="1F2A33"/>
          <w:sz w:val="18"/>
          <w:szCs w:val="18"/>
        </w:rPr>
        <w:t xml:space="preserve">    state = HCReputationState(reputation=0.8, gamma_up=0.6, gamma_down=0.4)</w:t>
      </w:r>
    </w:p>
    <w:p>
      <w:pPr>
        <w:shd w:fill="F4F6F7" w:val="clear"/>
        <w:spacing w:after="0" w:line="236"/>
        <w:ind w:left="200"/>
      </w:pPr>
      <w:r>
        <w:rPr>
          <w:rFonts w:ascii="Consolas" w:cs="Consolas" w:eastAsia="Consolas" w:hAnsi="Consolas"/>
          <w:color w:val="1F2A33"/>
          <w:sz w:val="18"/>
          <w:szCs w:val="18"/>
        </w:rPr>
        <w:t xml:space="preserve">    update_hc_reputation(state, pnf_ratings=[s], peer_hc_ratings=[s],</w:t>
      </w:r>
    </w:p>
    <w:p>
      <w:pPr>
        <w:shd w:fill="F4F6F7" w:val="clear"/>
        <w:spacing w:after="0" w:line="236"/>
        <w:ind w:left="200"/>
      </w:pPr>
      <w:r>
        <w:rPr>
          <w:rFonts w:ascii="Consolas" w:cs="Consolas" w:eastAsia="Consolas" w:hAnsi="Consolas"/>
          <w:color w:val="1F2A33"/>
          <w:sz w:val="18"/>
          <w:szCs w:val="18"/>
        </w:rPr>
        <w:t xml:space="preserve">                         csp_rating=s, csp_reputation=0.95, chain_behavior=CHAIN_OK)</w:t>
      </w:r>
    </w:p>
    <w:p>
      <w:pPr>
        <w:shd w:fill="F4F6F7" w:val="clear"/>
        <w:spacing w:after="0" w:line="236"/>
        <w:ind w:left="200"/>
      </w:pPr>
      <w:r>
        <w:rPr>
          <w:rFonts w:ascii="Consolas" w:cs="Consolas" w:eastAsia="Consolas" w:hAnsi="Consolas"/>
          <w:color w:val="1F2A33"/>
          <w:sz w:val="18"/>
          <w:szCs w:val="18"/>
        </w:rPr>
        <w:t xml:space="preserve"># +0.15 above neutral: 0.800 -&gt; 0.847  (gain +0.047)</w:t>
      </w:r>
    </w:p>
    <w:p>
      <w:pPr>
        <w:shd w:fill="F4F6F7" w:val="clear"/>
        <w:spacing w:after="0" w:line="236"/>
        <w:ind w:left="200"/>
      </w:pPr>
      <w:r>
        <w:rPr>
          <w:rFonts w:ascii="Consolas" w:cs="Consolas" w:eastAsia="Consolas" w:hAnsi="Consolas"/>
          <w:color w:val="1F2A33"/>
          <w:sz w:val="18"/>
          <w:szCs w:val="18"/>
        </w:rPr>
        <w:t xml:space="preserve"># -0.15 below neutral: 0.800 -&gt; 0.729  (loss -0.071)</w:t>
      </w:r>
    </w:p>
    <w:p>
      <w:pPr>
        <w:spacing w:after="160" w:line="276"/>
        <w:jc w:val="both"/>
      </w:pPr>
      <w:r>
        <w:rPr>
          <w:rFonts w:ascii="Cambria Math" w:cs="Cambria Math" w:eastAsia="Cambria Math" w:hAnsi="Cambria Math"/>
          <w:color w:val="1F2A33"/>
          <w:sz w:val="22"/>
          <w:szCs w:val="22"/>
        </w:rPr>
        <w:t xml:space="preserve">For inputs equidistant from the neutral point, a bad round costs 1.5 times what an equally good round gains – exactly γ₁/γ₂ = 0.6/0.4, the asymmetry the learning-rate rule introduces. This is the paper's stated design intent that “reputation values are not easily accumulated but quickly degraded by malicious behavior.”</w:t>
      </w:r>
    </w:p>
    <w:p>
      <w:pPr>
        <w:spacing w:after="160" w:line="276"/>
        <w:jc w:val="both"/>
      </w:pPr>
      <w:r>
        <w:rPr>
          <w:rFonts w:ascii="Cambria Math" w:cs="Cambria Math" w:eastAsia="Cambria Math" w:hAnsi="Cambria Math"/>
          <w:color w:val="1F2A33"/>
          <w:sz w:val="22"/>
          <w:szCs w:val="22"/>
        </w:rPr>
        <w:t xml:space="preserve">Example 2: resisting an intermittent attacker. The script examples/demo_sleeper_attack.py simulates 12 hospitals collaboratively training a diagnosis classifier; 3 of the 12 behave honestly for the first 6 rounds – long enough to build up either a competitive score or a competitive reputation – then alternate honest and malicious updates every subsequent round, modelling an attacker patient enough to earn trust before defecting intermittently rather than permanently:</w:t>
      </w:r>
    </w:p>
    <w:p>
      <w:pPr>
        <w:shd w:fill="F4F6F7" w:val="clear"/>
        <w:spacing w:after="0" w:line="236"/>
        <w:ind w:left="200"/>
      </w:pPr>
      <w:r>
        <w:rPr>
          <w:rFonts w:ascii="Consolas" w:cs="Consolas" w:eastAsia="Consolas" w:hAnsi="Consolas"/>
          <w:color w:val="1F2A33"/>
          <w:sz w:val="18"/>
          <w:szCs w:val="18"/>
        </w:rPr>
        <w:t xml:space="preserve">from medchain.recipes.trustworthy_fl import Node, TrustworthyFLSimulator</w:t>
      </w:r>
    </w:p>
    <w:p>
      <w:pPr>
        <w:shd w:fill="F4F6F7" w:val="clear"/>
        <w:spacing w:after="0" w:line="236"/>
        <w:ind w:left="200"/>
      </w:pPr>
      <w:r>
        <w:rPr>
          <w:rFonts w:ascii="Consolas" w:cs="Consolas" w:eastAsia="Consolas" w:hAnsi="Consolas"/>
          <w:color w:val="1F2A33"/>
          <w:sz w:val="18"/>
          <w:szCs w:val="18"/>
        </w:rPr>
        <w:t xml:space="preserve"> </w:t>
      </w:r>
    </w:p>
    <w:p>
      <w:pPr>
        <w:shd w:fill="F4F6F7" w:val="clear"/>
        <w:spacing w:after="0" w:line="236"/>
        <w:ind w:left="200"/>
      </w:pPr>
      <w:r>
        <w:rPr>
          <w:rFonts w:ascii="Consolas" w:cs="Consolas" w:eastAsia="Consolas" w:hAnsi="Consolas"/>
          <w:color w:val="1F2A33"/>
          <w:sz w:val="18"/>
          <w:szCs w:val="18"/>
        </w:rPr>
        <w:t xml:space="preserve">sim = TrustworthyFLSimulator(nodes=hospitals, c_num=3, threshold=0.55,</w:t>
      </w:r>
    </w:p>
    <w:p>
      <w:pPr>
        <w:shd w:fill="F4F6F7" w:val="clear"/>
        <w:spacing w:after="0" w:line="236"/>
        <w:ind w:left="200"/>
      </w:pPr>
      <w:r>
        <w:rPr>
          <w:rFonts w:ascii="Consolas" w:cs="Consolas" w:eastAsia="Consolas" w:hAnsi="Consolas"/>
          <w:color w:val="1F2A33"/>
          <w:sz w:val="18"/>
          <w:szCs w:val="18"/>
        </w:rPr>
        <w:t xml:space="preserve">                              election='reputation', seed=seed)</w:t>
      </w:r>
    </w:p>
    <w:p>
      <w:pPr>
        <w:shd w:fill="F4F6F7" w:val="clear"/>
        <w:spacing w:after="0" w:line="236"/>
        <w:ind w:left="200"/>
      </w:pPr>
      <w:r>
        <w:rPr>
          <w:rFonts w:ascii="Consolas" w:cs="Consolas" w:eastAsia="Consolas" w:hAnsi="Consolas"/>
          <w:color w:val="1F2A33"/>
          <w:sz w:val="18"/>
          <w:szCs w:val="18"/>
        </w:rPr>
        <w:t xml:space="preserve">sim.run(n_rounds=40)</w:t>
      </w:r>
    </w:p>
    <w:p>
      <w:pPr>
        <w:shd w:fill="F4F6F7" w:val="clear"/>
        <w:spacing w:after="160" w:line="236"/>
        <w:ind w:left="200"/>
      </w:pPr>
      <w:r>
        <w:rPr>
          <w:rFonts w:ascii="Consolas" w:cs="Consolas" w:eastAsia="Consolas" w:hAnsi="Consolas"/>
          <w:color w:val="1F2A33"/>
          <w:sz w:val="18"/>
          <w:szCs w:val="18"/>
        </w:rPr>
        <w:t xml:space="preserve"># count committee seats held by the sleeper nodes after round 6</w:t>
      </w:r>
    </w:p>
    <w:p>
      <w:pPr>
        <w:spacing w:after="160" w:line="276"/>
        <w:jc w:val="both"/>
      </w:pPr>
      <w:r>
        <w:rPr>
          <w:rFonts w:ascii="Cambria Math" w:cs="Cambria Math" w:eastAsia="Cambria Math" w:hAnsi="Cambria Math"/>
          <w:color w:val="1F2A33"/>
          <w:sz w:val="22"/>
          <w:szCs w:val="22"/>
        </w:rPr>
        <w:t xml:space="preserve">Run over 20 seeds and compared against election='score' (the original BFLC rule) as a baseline, reputation-driven election reduces the mean number of committee seats the sleepers hold in the 34 post-defection rounds (102 possible) from 17.30 (SD 2.60) to 1.10 (SD 3.18; sample standard deviations throughout); it is strictly better on all 20 seeds, and 15 of them show no infiltration at all. A one-sided Wilcoxon signed-rank test, computed with scipy's exact method (its default falls back to a normal approximation when absolute differences tie, understating significance by more than an order of magnitude), rejects equality (p = 2⁻²⁰ ≈ 9.5×10⁻⁷, the smallest value the exact test can return when all 20 paired differences share a sign). Because incumbents remain eligible under reputation election, 77% of committee seats carry over between rounds in these runs; restricting election to each round's trainers (reelect_incumbents=False, the score baseline's forced rotation) gives 0.90 (SD 2.15) seats, again strictly better on all 20 seeds and hence at the same floor p-value, so the reduction is not an artefact of the committee simply not rotating. The spreads differ too: score-mode infiltration is steady (small SD, large mean), reputation-mode infiltration rare and bursty (none on most seeds, 14 on one) – hence the paired, multi-seed design.</w:t>
      </w:r>
    </w:p>
    <w:p>
      <w:pPr>
        <w:spacing w:after="160" w:line="276"/>
        <w:jc w:val="both"/>
      </w:pPr>
      <w:r>
        <w:rPr>
          <w:rFonts w:ascii="Cambria Math" w:cs="Cambria Math" w:eastAsia="Cambria Math" w:hAnsi="Cambria Math"/>
          <w:color w:val="1F2A33"/>
          <w:sz w:val="22"/>
          <w:szCs w:val="22"/>
        </w:rPr>
        <w:t xml:space="preserve">Example 3: fault-tolerance and Byzantine-robustness building blocks. max_fault_tolerance and malicious_attack_success_probability let a user check a proposed deployment's parameters before running any simulation (both reject out-of-range parameters rather than returning negative counts or NaN), e.g. a 100-node consortium with a committee of 4 tolerates 49 faulty/malicious total participants under RPBFT against 33 under plain PBFT (a 48% improvement). All four formulas were verified verbatim against Section 5 of [2]; the function returns both the paper's closed-form total and the exact sum of the committee and validator bounds, which coincide here but differ by one for about a third of (n, c_num) pairs. validate_updates's median rule is demonstrated in the test suite to resist one dishonest committee member's arbitrarily extreme score without any special-casing.</w:t>
      </w:r>
    </w:p>
    <w:p>
      <w:pPr>
        <w:spacing w:after="120" w:before="280"/>
      </w:pPr>
      <w:r>
        <w:rPr>
          <w:rFonts w:ascii="Calibri" w:cs="Calibri" w:eastAsia="Calibri" w:hAnsi="Calibri"/>
          <w:b/>
          <w:bCs/>
          <w:color w:val="1F2A33"/>
          <w:sz w:val="30"/>
          <w:szCs w:val="30"/>
        </w:rPr>
        <w:t xml:space="preserve">4. Impact</w:t>
      </w:r>
    </w:p>
    <w:p>
      <w:pPr>
        <w:spacing w:after="160" w:line="276"/>
        <w:jc w:val="both"/>
      </w:pPr>
      <w:r>
        <w:rPr>
          <w:rFonts w:ascii="Cambria Math" w:cs="Cambria Math" w:eastAsia="Cambria Math" w:hAnsi="Cambria Math"/>
          <w:color w:val="1F2A33"/>
          <w:sz w:val="22"/>
          <w:szCs w:val="22"/>
        </w:rPr>
        <w:t xml:space="preserve">medchain lowers the barrier to studying committee-consensus blockchain federated learning empirically. Neither source paper releases its simulation code as a reusable library (a public BFLC demonstration [6] is a FISCO-BCOS deployment); researchers wishing to compare a new committee-election rule, a new reputation formula, or a new attack model against these two specific mechanisms have had to reimplement both from the paper text. medchain provides that reimplementation as tested, documented, independently reusable functions, so a new proposal can be benchmarked against either baseline – or against the combination – in a few lines of code rather than a from-scratch reimplementation effort.</w:t>
      </w:r>
    </w:p>
    <w:p>
      <w:pPr>
        <w:spacing w:after="160" w:line="276"/>
        <w:jc w:val="both"/>
      </w:pPr>
      <w:r>
        <w:rPr>
          <w:rFonts w:ascii="Cambria Math" w:cs="Cambria Math" w:eastAsia="Cambria Math" w:hAnsi="Cambria Math"/>
          <w:color w:val="1F2A33"/>
          <w:sz w:val="22"/>
          <w:szCs w:val="22"/>
        </w:rPr>
        <w:t xml:space="preserve">The reputation module (consensus/reputation.py) has no federated-learning-specific dependencies and is directly applicable to any multi-party trust-scoring problem with periodic peer assessment: crowdsourced data labelling, IoT device trust management, multi-sided marketplaces, and consortium supply-chain tracking are all settings with the same structural problem – aggregate noisy, potentially adversarial peer ratings into a manipulation-resistant score – that BtRaI addresses for healthcare specifically but medchain packages generically. Likewise, the committee-validation function in aggregation/bflc.py accepts an arbitrary committee_score_fn and makes no assumption about the object being validated, so it transfers directly to any committee-validated collaborative computation, not only neural-network training.</w:t>
      </w:r>
    </w:p>
    <w:p>
      <w:pPr>
        <w:spacing w:after="160" w:line="276"/>
        <w:jc w:val="both"/>
      </w:pPr>
      <w:r>
        <w:rPr>
          <w:rFonts w:ascii="Cambria Math" w:cs="Cambria Math" w:eastAsia="Cambria Math" w:hAnsi="Cambria Math"/>
          <w:color w:val="1F2A33"/>
          <w:sz w:val="22"/>
          <w:szCs w:val="22"/>
        </w:rPr>
        <w:t xml:space="preserve">Within healthcare specifically, medchain's implementation is tested against the source papers' formulas and, where independently confirmed, their reported qualitative behaviour (Section 3; see CHANGELOG for claims softened or corrected during audit), giving researchers a starting point closer to the published literature than a from-scratch reimplementation would be, though not a substitute for the authors' own verification against their specific use case. The demonstrated reduction in committee-infiltration risk is a concrete, measurable property that a deploying institution can re-run for its own threat model with TrustworthyFLSimulator, alongside the parameter checks max_fault_tolerance and malicious_attack_success_probability provide, before committing to a production deployment.</w:t>
      </w:r>
    </w:p>
    <w:p>
      <w:pPr>
        <w:spacing w:after="120" w:before="280"/>
      </w:pPr>
      <w:r>
        <w:rPr>
          <w:rFonts w:ascii="Calibri" w:cs="Calibri" w:eastAsia="Calibri" w:hAnsi="Calibri"/>
          <w:b/>
          <w:bCs/>
          <w:color w:val="1F2A33"/>
          <w:sz w:val="30"/>
          <w:szCs w:val="30"/>
        </w:rPr>
        <w:t xml:space="preserve">5. Conclusions</w:t>
      </w:r>
    </w:p>
    <w:p>
      <w:pPr>
        <w:spacing w:after="160" w:line="276"/>
        <w:jc w:val="both"/>
      </w:pPr>
      <w:r>
        <w:rPr>
          <w:rFonts w:ascii="Cambria Math" w:cs="Cambria Math" w:eastAsia="Cambria Math" w:hAnsi="Cambria Math"/>
          <w:color w:val="1F2A33"/>
          <w:sz w:val="22"/>
          <w:szCs w:val="22"/>
        </w:rPr>
        <w:t xml:space="preserve">medchain packages two published blockchain-federated-learning mechanisms – BFLC's committee-consensus aggregation and BtRaI's multidimensional reputation assessment – as tested, independently reusable Python modules, and provides a documented integration that elects BFLC's committee by BtRaI-style accumulated reputation rather than a single round's score. This directly targets a committee-infiltration weakness identified in the original committee-election rule [5], and the improvement is demonstrated quantitatively (a roughly 94% reduction in the committee seats an intermittent attacker holds after defecting, over 20 seeded simulations, p &lt; 0.0001) rather than only argued qualitatively. Both underlying mechanisms remain usable independently of the healthcare setting and of each other. medchain is released under the MIT licence and is available at [permanent link – to be completed]. Planned future releases will wire epoch-based committee rotation (Section 2.2, F7) into the simulator so the anti-collusion carryover cap is exercised end-to-end rather than only in isolation, and add a differential-privacy option for local updates, an incentive/token module completing BtRaI's third mechanism, and adapters for common FL frameworks (Flower, FedML) so the reputation and committee-election machinery can drive production FL training loops directly rather than only the package's own simulator.</w:t>
      </w:r>
    </w:p>
    <w:p>
      <w:pPr>
        <w:spacing w:after="120" w:before="280"/>
      </w:pPr>
      <w:r>
        <w:rPr>
          <w:rFonts w:ascii="Calibri" w:cs="Calibri" w:eastAsia="Calibri" w:hAnsi="Calibri"/>
          <w:b/>
          <w:bCs/>
          <w:color w:val="1F2A33"/>
          <w:sz w:val="30"/>
          <w:szCs w:val="30"/>
        </w:rPr>
        <w:t xml:space="preserve">Declarations</w:t>
      </w:r>
    </w:p>
    <w:p>
      <w:pPr>
        <w:spacing w:after="160" w:line="276"/>
        <w:jc w:val="both"/>
      </w:pPr>
      <w:r>
        <w:rPr>
          <w:rFonts w:ascii="Cambria Math" w:cs="Cambria Math" w:eastAsia="Cambria Math" w:hAnsi="Cambria Math"/>
          <w:color w:val="1F2A33"/>
          <w:sz w:val="22"/>
          <w:szCs w:val="22"/>
        </w:rPr>
        <w:t xml:space="preserve">Funding: [Please insert the final funding statement before submission.]</w:t>
      </w:r>
    </w:p>
    <w:p>
      <w:pPr>
        <w:spacing w:after="160" w:line="276"/>
        <w:jc w:val="both"/>
      </w:pPr>
      <w:r>
        <w:rPr>
          <w:rFonts w:ascii="Cambria Math" w:cs="Cambria Math" w:eastAsia="Cambria Math" w:hAnsi="Cambria Math"/>
          <w:color w:val="1F2A33"/>
          <w:sz w:val="22"/>
          <w:szCs w:val="22"/>
        </w:rPr>
        <w:t xml:space="preserve">Competing interests: [Please insert the final competing-interests statement before submission.]</w:t>
      </w:r>
    </w:p>
    <w:p>
      <w:pPr>
        <w:spacing w:after="160" w:line="276"/>
        <w:jc w:val="both"/>
      </w:pPr>
      <w:r>
        <w:rPr>
          <w:rFonts w:ascii="Cambria Math" w:cs="Cambria Math" w:eastAsia="Cambria Math" w:hAnsi="Cambria Math"/>
          <w:color w:val="1F2A33"/>
          <w:sz w:val="22"/>
          <w:szCs w:val="22"/>
        </w:rPr>
        <w:t xml:space="preserve">Ethics approval: This work uses simulated data only; no human or animal subjects were involved.</w:t>
      </w:r>
    </w:p>
    <w:p>
      <w:pPr>
        <w:spacing w:after="160" w:line="276"/>
        <w:jc w:val="both"/>
      </w:pPr>
      <w:r>
        <w:rPr>
          <w:rFonts w:ascii="Cambria Math" w:cs="Cambria Math" w:eastAsia="Cambria Math" w:hAnsi="Cambria Math"/>
          <w:color w:val="1F2A33"/>
          <w:sz w:val="22"/>
          <w:szCs w:val="22"/>
        </w:rPr>
        <w:t xml:space="preserve">Data availability: All data used in this manuscript are synthetically generated by the example and test scripts shipped with the repository (seeded NumPy random generators); no external datasets were used.</w:t>
      </w:r>
    </w:p>
    <w:p>
      <w:pPr>
        <w:spacing w:after="160" w:line="276"/>
        <w:jc w:val="both"/>
      </w:pPr>
      <w:r>
        <w:rPr>
          <w:rFonts w:ascii="Cambria Math" w:cs="Cambria Math" w:eastAsia="Cambria Math" w:hAnsi="Cambria Math"/>
          <w:color w:val="1F2A33"/>
          <w:sz w:val="22"/>
          <w:szCs w:val="22"/>
        </w:rPr>
        <w:t xml:space="preserve">Code availability: [Please insert the repository link or final code-availability statement before submission.]</w:t>
      </w:r>
    </w:p>
    <w:p>
      <w:pPr>
        <w:spacing w:after="160" w:line="276"/>
        <w:jc w:val="both"/>
      </w:pPr>
      <w:r>
        <w:rPr>
          <w:rFonts w:ascii="Cambria Math" w:cs="Cambria Math" w:eastAsia="Cambria Math" w:hAnsi="Cambria Math"/>
          <w:color w:val="1F2A33"/>
          <w:sz w:val="22"/>
          <w:szCs w:val="22"/>
        </w:rPr>
        <w:t xml:space="preserve">Author contributions: [Please insert the final CRediT contribution statement after the author list is finalized.]</w:t>
      </w:r>
    </w:p>
    <w:p>
      <w:pPr>
        <w:spacing w:after="160" w:line="276"/>
        <w:jc w:val="both"/>
      </w:pPr>
      <w:r>
        <w:rPr>
          <w:rFonts w:ascii="Cambria Math" w:cs="Cambria Math" w:eastAsia="Cambria Math" w:hAnsi="Cambria Math"/>
          <w:color w:val="1F2A33"/>
          <w:sz w:val="22"/>
          <w:szCs w:val="22"/>
        </w:rPr>
        <w:t xml:space="preserve">Generative AI use: [Please insert an accurate statement of any generative-AI assistance used in developing the software and/or drafting this manuscript before submission.]</w:t>
      </w:r>
    </w:p>
    <w:p>
      <w:pPr>
        <w:spacing w:after="120" w:before="280"/>
      </w:pPr>
      <w:r>
        <w:rPr>
          <w:rFonts w:ascii="Calibri" w:cs="Calibri" w:eastAsia="Calibri" w:hAnsi="Calibri"/>
          <w:b/>
          <w:bCs/>
          <w:color w:val="1F2A33"/>
          <w:sz w:val="30"/>
          <w:szCs w:val="30"/>
        </w:rPr>
        <w:t xml:space="preserve">References</w:t>
      </w:r>
    </w:p>
    <w:p>
      <w:pPr>
        <w:spacing w:after="80"/>
        <w:ind w:left="317" w:hanging="317"/>
      </w:pPr>
      <w:r>
        <w:rPr>
          <w:rFonts w:ascii="Times New Roman" w:cs="Times New Roman" w:eastAsia="Times New Roman" w:hAnsi="Times New Roman"/>
          <w:color w:val="1F2A33"/>
          <w:sz w:val="19"/>
          <w:szCs w:val="19"/>
        </w:rPr>
        <w:t xml:space="preserve">[1] Y. Li, C. Chen, N. Liu, H. Huang, Z. Zheng, Q. Yan, A blockchain-based decentralized federated learning framework with committee consensus, IEEE Network 35 (1) (2021) 234–241. https://doi.org/10.1109/MNET.011.2000263</w:t>
      </w:r>
    </w:p>
    <w:p>
      <w:pPr>
        <w:spacing w:after="80"/>
        <w:ind w:left="317" w:hanging="317"/>
      </w:pPr>
      <w:r>
        <w:rPr>
          <w:rFonts w:ascii="Times New Roman" w:cs="Times New Roman" w:eastAsia="Times New Roman" w:hAnsi="Times New Roman"/>
          <w:color w:val="1F2A33"/>
          <w:sz w:val="19"/>
          <w:szCs w:val="19"/>
        </w:rPr>
        <w:t xml:space="preserve">[2] Y. Liu, Z. Liu, Q. Zhang, J. Su, Z. Cai, X. Li, Blockchain and trusted reputation assessment-based incentive mechanism for healthcare services, Future Generation Computer Systems 154 (2024) 59–71. https://doi.org/10.1016/j.future.2023.12.023</w:t>
      </w:r>
    </w:p>
    <w:p>
      <w:pPr>
        <w:spacing w:after="80"/>
        <w:ind w:left="317" w:hanging="317"/>
      </w:pPr>
      <w:r>
        <w:rPr>
          <w:rFonts w:ascii="Times New Roman" w:cs="Times New Roman" w:eastAsia="Times New Roman" w:hAnsi="Times New Roman"/>
          <w:color w:val="1F2A33"/>
          <w:sz w:val="19"/>
          <w:szCs w:val="19"/>
        </w:rPr>
        <w:t xml:space="preserve">[3] B. McMahan, E. Moore, D. Ramage, S. Hampson, B. A. y Arcas, Communication-efficient learning of deep networks from decentralized data, in: Proceedings of the 20th International Conference on Artificial Intelligence and Statistics (AISTATS), 2017, pp. 1273–1282.</w:t>
      </w:r>
    </w:p>
    <w:p>
      <w:pPr>
        <w:spacing w:after="80"/>
        <w:ind w:left="317" w:hanging="317"/>
      </w:pPr>
      <w:r>
        <w:rPr>
          <w:rFonts w:ascii="Times New Roman" w:cs="Times New Roman" w:eastAsia="Times New Roman" w:hAnsi="Times New Roman"/>
          <w:color w:val="1F2A33"/>
          <w:sz w:val="19"/>
          <w:szCs w:val="19"/>
        </w:rPr>
        <w:t xml:space="preserve">[4] M. Castro, B. Liskov, Practical Byzantine fault tolerance, in: Proceedings of the Third Symposium on Operating Systems Design and Implementation (OSDI), 1999, pp. 173–186.</w:t>
      </w:r>
    </w:p>
    <w:p>
      <w:pPr>
        <w:spacing w:after="80"/>
        <w:ind w:left="317" w:hanging="317"/>
      </w:pPr>
      <w:r>
        <w:rPr>
          <w:rFonts w:ascii="Times New Roman" w:cs="Times New Roman" w:eastAsia="Times New Roman" w:hAnsi="Times New Roman"/>
          <w:color w:val="1F2A33"/>
          <w:sz w:val="19"/>
          <w:szCs w:val="19"/>
        </w:rPr>
        <w:t xml:space="preserve">[5] X. Yang, T. Li, A blockchain-based federated learning framework for secure aggregation and fair incentives, Connection Science 36 (1) (2024) 2316018. https://doi.org/10.1080/09540091.2024.2316018</w:t>
      </w:r>
    </w:p>
    <w:p>
      <w:pPr>
        <w:spacing w:after="80"/>
        <w:ind w:left="317" w:hanging="317"/>
      </w:pPr>
      <w:r>
        <w:rPr>
          <w:rFonts w:ascii="Times New Roman" w:cs="Times New Roman" w:eastAsia="Times New Roman" w:hAnsi="Times New Roman"/>
          <w:color w:val="1F2A33"/>
          <w:sz w:val="19"/>
          <w:szCs w:val="19"/>
        </w:rPr>
        <w:t xml:space="preserve">[6] iammcy, BFLC-demo: a demonstration of BFLC on FISCO-BCOS, GitHub repository. https://github.com/iammcy/BFLC-demo (accessed 2 September 2026).</w:t>
      </w:r>
    </w:p>
    <w:sectPr>
      <w:pgSz w:w="12240" w:h="15840" w:orient="portrait"/>
      <w:pgMar w:top="1080" w:right="1150" w:bottom="108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0562052d8c8503f7efd779882c914b430e008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2026-08-24T13:06:24.462Z</dcterms:created>
  <dcterms:modified xsi:type="dcterms:W3CDTF">2026-09-12T18:00:00.000Z</dcterms:modified>
</cp:coreProperties>
</file>

<file path=docProps/custom.xml><?xml version="1.0" encoding="utf-8"?>
<Properties xmlns="http://schemas.openxmlformats.org/officeDocument/2006/custom-properties" xmlns:vt="http://schemas.openxmlformats.org/officeDocument/2006/docPropsVTypes"/>
</file>