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bookmarkStart w:id="0" w:name="_GoBack"/>
      <w:bookmarkEnd w:id="0"/>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lastRenderedPageBreak/>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lastRenderedPageBreak/>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D8428" w14:textId="77777777" w:rsidR="00B415A7" w:rsidRDefault="00B415A7" w:rsidP="006418C3">
      <w:r>
        <w:separator/>
      </w:r>
    </w:p>
  </w:endnote>
  <w:endnote w:type="continuationSeparator" w:id="0">
    <w:p w14:paraId="136D7604" w14:textId="77777777" w:rsidR="00B415A7" w:rsidRDefault="00B415A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6914B" w14:textId="77777777" w:rsidR="00B415A7" w:rsidRDefault="00B415A7" w:rsidP="006418C3">
      <w:r>
        <w:separator/>
      </w:r>
    </w:p>
  </w:footnote>
  <w:footnote w:type="continuationSeparator" w:id="0">
    <w:p w14:paraId="17652637" w14:textId="77777777" w:rsidR="00B415A7" w:rsidRDefault="00B415A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11.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9.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4461</TotalTime>
  <Pages>179</Pages>
  <Words>21968</Words>
  <Characters>125219</Characters>
  <Application>Microsoft Office Word</Application>
  <DocSecurity>0</DocSecurity>
  <Lines>1043</Lines>
  <Paragraphs>293</Paragraphs>
  <ScaleCrop>false</ScaleCrop>
  <Company/>
  <LinksUpToDate>false</LinksUpToDate>
  <CharactersWithSpaces>146894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320</cp:revision>
  <dcterms:created xsi:type="dcterms:W3CDTF">2018-01-05T05:17:00Z</dcterms:created>
  <dcterms:modified xsi:type="dcterms:W3CDTF">2020-02-03T02:58:00Z</dcterms:modified>
</cp:coreProperties>
</file>