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outlineLvl w:val="0"/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>CH.10&amp;11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 </w:t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10.7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Use nodal analysis to find V in the circuit of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Fig. 10.56.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ind w:left="420" w:leftChars="0" w:hanging="420" w:hangingChars="200"/>
      </w:pPr>
    </w:p>
    <w:p>
      <w:pPr>
        <w:ind w:left="420" w:leftChars="0" w:hanging="420" w:hangingChars="200"/>
      </w:pPr>
      <w:r>
        <w:drawing>
          <wp:inline distT="0" distB="0" distL="114300" distR="114300">
            <wp:extent cx="3676650" cy="1704975"/>
            <wp:effectExtent l="0" t="0" r="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10.28 In the circuit of Fig.10.76, determine the mesh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currents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. </w:t>
      </w:r>
    </w:p>
    <w:p>
      <w:pPr>
        <w:spacing w:line="240" w:lineRule="auto"/>
        <w:jc w:val="left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Let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cos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4t V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and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20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cos(4t - 30°) V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619500" cy="17621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10.45 Use superposition to find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i(t)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in the circuit of Fig. 10.90.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343275" cy="1524000"/>
            <wp:effectExtent l="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10.66 At terminals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a-b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, obtain Thevenin and Norton equivalent circuits for the network depicted in Fig.10.109. Take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= 10 rad/s.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600450" cy="14859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10.79 For the op amp circuit in Fig. 10.122, obtain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v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(t)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jc w:val="left"/>
        <w:outlineLvl w:val="9"/>
      </w:pP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657600" cy="21050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11.6  For the circuit in Fig.11.38,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=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6 cos 10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t A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. Find the average power absorbed by the </w:t>
      </w:r>
      <w:r>
        <w:rPr>
          <w:rFonts w:hint="eastAsia" w:ascii="Times New Roman" w:hAnsi="Times New Roman" w:eastAsia="Times-Bold" w:cs="Times New Roman"/>
          <w:b/>
          <w:bCs w:val="0"/>
          <w:i/>
          <w:iCs/>
          <w:color w:val="242021"/>
          <w:sz w:val="24"/>
          <w:szCs w:val="24"/>
          <w:lang w:val="en-US" w:eastAsia="zh-CN"/>
        </w:rPr>
        <w:t xml:space="preserve">50 </w:t>
      </w:r>
      <w:r>
        <w:rPr>
          <w:rFonts w:hint="default" w:ascii="Times New Roman" w:hAnsi="Times New Roman" w:eastAsia="Times-Bold" w:cs="Times New Roman"/>
          <w:b/>
          <w:bCs w:val="0"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resistor.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2990850" cy="17335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11.18 Find the value of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Z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in the circuit of Fig.11.49 for maximum power transfer.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162300" cy="17049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11.27 Calculate the rms value of the current waveform of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Fig. 11.58.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3105150" cy="14573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11.41 Obtain the power factor for each of the circuits in Fig.11.68. Specify each power factor as leading or lagging.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</w:pPr>
      <w:r>
        <w:drawing>
          <wp:inline distT="0" distB="0" distL="114300" distR="114300">
            <wp:extent cx="2828925" cy="27146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11.53 In the circuit of Fig. 11.72, load A receives </w:t>
      </w:r>
      <w:r>
        <w:rPr>
          <w:rFonts w:hint="eastAsia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  <w:lang w:val="en-US" w:eastAsia="zh-CN"/>
        </w:rPr>
        <w:t>4 kVA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at </w:t>
      </w:r>
      <w:r>
        <w:rPr>
          <w:rFonts w:hint="eastAsia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  <w:lang w:val="en-US" w:eastAsia="zh-CN"/>
        </w:rPr>
        <w:t>0.8 pf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leading. Load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receives </w:t>
      </w:r>
      <w:r>
        <w:rPr>
          <w:rFonts w:hint="eastAsia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  <w:lang w:val="en-US" w:eastAsia="zh-CN"/>
        </w:rPr>
        <w:t>2.4 kVA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at </w:t>
      </w:r>
      <w:r>
        <w:rPr>
          <w:rFonts w:hint="eastAsia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  <w:lang w:val="en-US" w:eastAsia="zh-CN"/>
        </w:rPr>
        <w:t>0.6 pf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lagging. Box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 xml:space="preserve"> is an inductive load that consumes 1 kW and receives 500 VAR.</w:t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(a) Determine I.</w:t>
      </w:r>
    </w:p>
    <w:p>
      <w:pPr>
        <w:spacing w:line="240" w:lineRule="auto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  <w:lang w:val="en-US" w:eastAsia="zh-CN"/>
        </w:rPr>
        <w:t>(b) Calculate the power factor of the combination.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spacing w:line="240" w:lineRule="auto"/>
        <w:jc w:val="left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990850" cy="143827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outlineLvl w:val="9"/>
        <w:rPr>
          <w:rFonts w:hint="default"/>
          <w:lang w:val="en-US" w:eastAsia="zh-CN"/>
        </w:rPr>
      </w:pPr>
    </w:p>
    <w:p>
      <w:pPr>
        <w:ind w:left="643" w:leftChars="0" w:hanging="643" w:hangingChars="200"/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1F06A11"/>
    <w:rsid w:val="0A0F223C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D892D5D"/>
    <w:rsid w:val="2DDD12B9"/>
    <w:rsid w:val="321661D1"/>
    <w:rsid w:val="368D6D17"/>
    <w:rsid w:val="3B360931"/>
    <w:rsid w:val="483C2290"/>
    <w:rsid w:val="49D11C7E"/>
    <w:rsid w:val="4CEF5796"/>
    <w:rsid w:val="4CFC2A1B"/>
    <w:rsid w:val="4DAE3A37"/>
    <w:rsid w:val="4E483806"/>
    <w:rsid w:val="4E55315D"/>
    <w:rsid w:val="51E97118"/>
    <w:rsid w:val="52917513"/>
    <w:rsid w:val="59AB0686"/>
    <w:rsid w:val="5DBA1609"/>
    <w:rsid w:val="625F1A83"/>
    <w:rsid w:val="659256AE"/>
    <w:rsid w:val="681A7051"/>
    <w:rsid w:val="68D867CB"/>
    <w:rsid w:val="6BF021D6"/>
    <w:rsid w:val="6E601F12"/>
    <w:rsid w:val="70064861"/>
    <w:rsid w:val="74E13026"/>
    <w:rsid w:val="75043100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qFormat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2022-04-20T23:19:38Z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