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spacing w:before="0" w:line="480" w:lineRule="exact"/>
        <w:ind w:firstLine="624" w:firstLineChars="0"/>
        <w:jc w:val="center"/>
        <w:rPr>
          <w:rFonts w:hint="eastAsia" w:ascii="宋体" w:hAnsi="宋体" w:eastAsia="宋体" w:cs="宋体"/>
          <w:b/>
          <w:bCs w:val="0"/>
          <w:sz w:val="30"/>
          <w:szCs w:val="30"/>
        </w:rPr>
      </w:pPr>
      <w:r>
        <w:rPr>
          <w:rFonts w:hint="eastAsia" w:ascii="宋体" w:hAnsi="宋体" w:eastAsia="宋体" w:cs="宋体"/>
          <w:b/>
          <w:bCs w:val="0"/>
          <w:sz w:val="30"/>
          <w:szCs w:val="30"/>
        </w:rPr>
        <w:t>重庆三峡银行股份有限公司</w:t>
      </w:r>
    </w:p>
    <w:p>
      <w:pPr>
        <w:pStyle w:val="21"/>
        <w:spacing w:before="0" w:line="480" w:lineRule="exact"/>
        <w:ind w:firstLine="624" w:firstLineChars="0"/>
        <w:jc w:val="center"/>
        <w:rPr>
          <w:rFonts w:hint="eastAsia" w:ascii="宋体" w:hAnsi="宋体" w:eastAsia="宋体" w:cs="宋体"/>
          <w:b/>
          <w:bCs w:val="0"/>
          <w:sz w:val="30"/>
          <w:szCs w:val="30"/>
        </w:rPr>
      </w:pPr>
      <w:r>
        <w:rPr>
          <w:rFonts w:hint="eastAsia" w:ascii="宋体" w:hAnsi="宋体" w:eastAsia="宋体" w:cs="宋体"/>
          <w:b/>
          <w:bCs w:val="0"/>
          <w:sz w:val="30"/>
          <w:szCs w:val="30"/>
        </w:rPr>
        <w:t>首次公开发行股票申请文件反馈意见</w:t>
      </w:r>
    </w:p>
    <w:p>
      <w:pPr>
        <w:pStyle w:val="19"/>
        <w:widowControl/>
        <w:numPr>
          <w:ilvl w:val="-1"/>
          <w:numId w:val="0"/>
        </w:numPr>
        <w:adjustRightInd w:val="0"/>
        <w:snapToGrid w:val="0"/>
        <w:spacing w:line="480" w:lineRule="exact"/>
        <w:ind w:left="0" w:firstLine="0" w:firstLineChars="0"/>
        <w:rPr>
          <w:rFonts w:hint="eastAsia" w:ascii="宋体" w:hAnsi="宋体" w:eastAsia="宋体" w:cs="宋体"/>
          <w:bCs/>
          <w:sz w:val="28"/>
          <w:szCs w:val="28"/>
          <w:lang w:eastAsia="zh-CN"/>
        </w:rPr>
      </w:pPr>
      <w:bookmarkStart w:id="0" w:name="_GoBack"/>
      <w:bookmarkEnd w:id="0"/>
    </w:p>
    <w:p>
      <w:pPr>
        <w:pStyle w:val="19"/>
        <w:widowControl/>
        <w:numPr>
          <w:ilvl w:val="-1"/>
          <w:numId w:val="0"/>
        </w:numPr>
        <w:adjustRightInd w:val="0"/>
        <w:snapToGrid w:val="0"/>
        <w:spacing w:line="480" w:lineRule="exact"/>
        <w:ind w:left="0" w:firstLine="0" w:firstLineChars="0"/>
        <w:rPr>
          <w:rFonts w:hint="eastAsia" w:ascii="宋体" w:hAnsi="宋体" w:eastAsia="宋体" w:cs="宋体"/>
          <w:bCs/>
          <w:sz w:val="28"/>
          <w:szCs w:val="28"/>
        </w:rPr>
      </w:pPr>
      <w:r>
        <w:rPr>
          <w:rFonts w:hint="eastAsia" w:ascii="宋体" w:hAnsi="宋体" w:eastAsia="宋体" w:cs="宋体"/>
          <w:bCs/>
          <w:sz w:val="28"/>
          <w:szCs w:val="28"/>
          <w:lang w:eastAsia="zh-CN"/>
        </w:rPr>
        <w:t>中国银河证券</w:t>
      </w:r>
      <w:r>
        <w:rPr>
          <w:rFonts w:hint="eastAsia" w:ascii="宋体" w:hAnsi="宋体" w:eastAsia="宋体" w:cs="宋体"/>
          <w:bCs/>
          <w:sz w:val="28"/>
          <w:szCs w:val="28"/>
        </w:rPr>
        <w:t>股份有限公司：</w:t>
      </w:r>
    </w:p>
    <w:p>
      <w:pPr>
        <w:pStyle w:val="19"/>
        <w:widowControl/>
        <w:numPr>
          <w:ilvl w:val="-1"/>
          <w:numId w:val="0"/>
        </w:numPr>
        <w:adjustRightInd w:val="0"/>
        <w:snapToGrid w:val="0"/>
        <w:spacing w:line="480" w:lineRule="exact"/>
        <w:ind w:left="0" w:firstLine="560" w:firstLineChars="200"/>
        <w:rPr>
          <w:rFonts w:hint="eastAsia" w:ascii="宋体" w:hAnsi="宋体" w:eastAsia="宋体" w:cs="宋体"/>
          <w:bCs/>
          <w:sz w:val="28"/>
          <w:szCs w:val="28"/>
        </w:rPr>
      </w:pPr>
      <w:r>
        <w:rPr>
          <w:rFonts w:hint="eastAsia" w:ascii="宋体" w:hAnsi="宋体" w:eastAsia="宋体" w:cs="宋体"/>
          <w:bCs/>
          <w:sz w:val="28"/>
          <w:szCs w:val="28"/>
        </w:rPr>
        <w:t>现对你公司推荐的重庆三峡银行股份有限公司（以下简称“公司”或“发行人”）首次公开发行股票申请文件提出反馈意见，请你们在30日内对下列问题逐项落实并提供书面回复和电子文档。若涉及对招股说明书的修改，请以楷体加粗标明。我会收到你们的回复后，将根据情况决定是否再次向你们发出反馈意见。如在30日内不能提供书面回复，请提前10个工作日向我会提交延期回复的申请。如未能按期提交反馈意见</w:t>
      </w:r>
      <w:r>
        <w:rPr>
          <w:rFonts w:hint="eastAsia" w:ascii="宋体" w:hAnsi="宋体" w:eastAsia="宋体" w:cs="宋体"/>
          <w:bCs/>
          <w:sz w:val="28"/>
          <w:szCs w:val="28"/>
          <w:lang w:eastAsia="zh-CN"/>
        </w:rPr>
        <w:t>回复</w:t>
      </w:r>
      <w:r>
        <w:rPr>
          <w:rFonts w:hint="eastAsia" w:ascii="宋体" w:hAnsi="宋体" w:eastAsia="宋体" w:cs="宋体"/>
          <w:bCs/>
          <w:sz w:val="28"/>
          <w:szCs w:val="28"/>
        </w:rPr>
        <w:t>，我会将予终止审查。若对本反馈意见有任何疑问，请致电我会审核人员。</w:t>
      </w:r>
    </w:p>
    <w:p>
      <w:pPr>
        <w:pStyle w:val="21"/>
        <w:spacing w:line="480" w:lineRule="exact"/>
        <w:ind w:firstLine="562" w:firstLineChars="200"/>
        <w:rPr>
          <w:rFonts w:hint="eastAsia" w:ascii="宋体" w:hAnsi="宋体" w:eastAsia="宋体" w:cs="宋体"/>
          <w:b/>
          <w:bCs w:val="0"/>
          <w:sz w:val="28"/>
          <w:szCs w:val="28"/>
        </w:rPr>
      </w:pPr>
      <w:r>
        <w:rPr>
          <w:rFonts w:hint="eastAsia" w:ascii="宋体" w:hAnsi="宋体" w:eastAsia="宋体" w:cs="宋体"/>
          <w:b/>
          <w:bCs w:val="0"/>
          <w:sz w:val="28"/>
          <w:szCs w:val="28"/>
        </w:rPr>
        <w:t>一、规范性问题</w:t>
      </w:r>
    </w:p>
    <w:p>
      <w:pPr>
        <w:pStyle w:val="19"/>
        <w:widowControl/>
        <w:numPr>
          <w:ilvl w:val="0"/>
          <w:numId w:val="1"/>
        </w:numPr>
        <w:adjustRightInd w:val="0"/>
        <w:snapToGrid w:val="0"/>
        <w:spacing w:line="480" w:lineRule="exact"/>
        <w:ind w:left="0" w:firstLine="560" w:firstLineChars="200"/>
        <w:rPr>
          <w:rFonts w:hint="eastAsia" w:ascii="宋体" w:hAnsi="宋体" w:eastAsia="宋体" w:cs="宋体"/>
          <w:bCs/>
          <w:sz w:val="28"/>
          <w:szCs w:val="28"/>
        </w:rPr>
      </w:pPr>
      <w:r>
        <w:rPr>
          <w:rFonts w:hint="eastAsia" w:ascii="宋体" w:hAnsi="宋体" w:eastAsia="宋体" w:cs="宋体"/>
          <w:bCs/>
          <w:sz w:val="28"/>
          <w:szCs w:val="28"/>
        </w:rPr>
        <w:t>招股书披露，</w:t>
      </w:r>
      <w:r>
        <w:rPr>
          <w:rFonts w:hint="eastAsia" w:ascii="宋体" w:hAnsi="宋体" w:eastAsia="宋体" w:cs="宋体"/>
          <w:bCs/>
          <w:sz w:val="28"/>
          <w:szCs w:val="28"/>
          <w:lang w:eastAsia="zh-CN"/>
        </w:rPr>
        <w:t>公司</w:t>
      </w:r>
      <w:r>
        <w:rPr>
          <w:rFonts w:hint="eastAsia" w:ascii="宋体" w:hAnsi="宋体" w:eastAsia="宋体" w:cs="宋体"/>
          <w:bCs/>
          <w:sz w:val="28"/>
          <w:szCs w:val="28"/>
        </w:rPr>
        <w:t>现有股东中共有9名法人股东将其持有的</w:t>
      </w:r>
      <w:r>
        <w:rPr>
          <w:rFonts w:hint="eastAsia" w:ascii="宋体" w:hAnsi="宋体" w:eastAsia="宋体" w:cs="宋体"/>
          <w:bCs/>
          <w:sz w:val="28"/>
          <w:szCs w:val="28"/>
          <w:lang w:eastAsia="zh-CN"/>
        </w:rPr>
        <w:t>公司</w:t>
      </w:r>
      <w:r>
        <w:rPr>
          <w:rFonts w:hint="eastAsia" w:ascii="宋体" w:hAnsi="宋体" w:eastAsia="宋体" w:cs="宋体"/>
          <w:bCs/>
          <w:sz w:val="28"/>
          <w:szCs w:val="28"/>
        </w:rPr>
        <w:t>股份设定了质押，涉及股份总数为86,250万股，占</w:t>
      </w:r>
      <w:r>
        <w:rPr>
          <w:rFonts w:hint="eastAsia" w:ascii="宋体" w:hAnsi="宋体" w:eastAsia="宋体" w:cs="宋体"/>
          <w:bCs/>
          <w:sz w:val="28"/>
          <w:szCs w:val="28"/>
          <w:lang w:eastAsia="zh-CN"/>
        </w:rPr>
        <w:t>公司</w:t>
      </w:r>
      <w:r>
        <w:rPr>
          <w:rFonts w:hint="eastAsia" w:ascii="宋体" w:hAnsi="宋体" w:eastAsia="宋体" w:cs="宋体"/>
          <w:bCs/>
          <w:sz w:val="28"/>
          <w:szCs w:val="28"/>
        </w:rPr>
        <w:t>本次发行前股份总额的15.47%。</w:t>
      </w:r>
      <w:r>
        <w:rPr>
          <w:rFonts w:hint="eastAsia" w:ascii="宋体" w:hAnsi="宋体" w:eastAsia="宋体" w:cs="宋体"/>
          <w:bCs/>
          <w:sz w:val="28"/>
          <w:szCs w:val="28"/>
          <w:lang w:eastAsia="zh-CN"/>
        </w:rPr>
        <w:t>公司</w:t>
      </w:r>
      <w:r>
        <w:rPr>
          <w:rFonts w:hint="eastAsia" w:ascii="宋体" w:hAnsi="宋体" w:eastAsia="宋体" w:cs="宋体"/>
          <w:bCs/>
          <w:sz w:val="28"/>
          <w:szCs w:val="28"/>
        </w:rPr>
        <w:t>现有股东中共计1名法人股东所持</w:t>
      </w:r>
      <w:r>
        <w:rPr>
          <w:rFonts w:hint="eastAsia" w:ascii="宋体" w:hAnsi="宋体" w:eastAsia="宋体" w:cs="宋体"/>
          <w:bCs/>
          <w:sz w:val="28"/>
          <w:szCs w:val="28"/>
          <w:lang w:eastAsia="zh-CN"/>
        </w:rPr>
        <w:t>公司</w:t>
      </w:r>
      <w:r>
        <w:rPr>
          <w:rFonts w:hint="eastAsia" w:ascii="宋体" w:hAnsi="宋体" w:eastAsia="宋体" w:cs="宋体"/>
          <w:bCs/>
          <w:sz w:val="28"/>
          <w:szCs w:val="28"/>
        </w:rPr>
        <w:t>的股份被冻结，重庆万润建材销售有限公司持有</w:t>
      </w:r>
      <w:r>
        <w:rPr>
          <w:rFonts w:hint="eastAsia" w:ascii="宋体" w:hAnsi="宋体" w:eastAsia="宋体" w:cs="宋体"/>
          <w:bCs/>
          <w:sz w:val="28"/>
          <w:szCs w:val="28"/>
          <w:lang w:eastAsia="zh-CN"/>
        </w:rPr>
        <w:t>公司</w:t>
      </w:r>
      <w:r>
        <w:rPr>
          <w:rFonts w:hint="eastAsia" w:ascii="宋体" w:hAnsi="宋体" w:eastAsia="宋体" w:cs="宋体"/>
          <w:bCs/>
          <w:sz w:val="28"/>
          <w:szCs w:val="28"/>
        </w:rPr>
        <w:t>21,312,720股，占</w:t>
      </w:r>
      <w:r>
        <w:rPr>
          <w:rFonts w:hint="eastAsia" w:ascii="宋体" w:hAnsi="宋体" w:eastAsia="宋体" w:cs="宋体"/>
          <w:bCs/>
          <w:sz w:val="28"/>
          <w:szCs w:val="28"/>
          <w:lang w:eastAsia="zh-CN"/>
        </w:rPr>
        <w:t>公司</w:t>
      </w:r>
      <w:r>
        <w:rPr>
          <w:rFonts w:hint="eastAsia" w:ascii="宋体" w:hAnsi="宋体" w:eastAsia="宋体" w:cs="宋体"/>
          <w:bCs/>
          <w:sz w:val="28"/>
          <w:szCs w:val="28"/>
        </w:rPr>
        <w:t>股本总额0.382%。</w:t>
      </w:r>
      <w:r>
        <w:rPr>
          <w:rFonts w:hint="eastAsia" w:ascii="宋体" w:hAnsi="宋体" w:eastAsia="宋体" w:cs="宋体"/>
          <w:bCs/>
          <w:sz w:val="28"/>
          <w:szCs w:val="28"/>
          <w:lang w:eastAsia="zh-CN"/>
        </w:rPr>
        <w:t>公司</w:t>
      </w:r>
      <w:r>
        <w:rPr>
          <w:rFonts w:hint="eastAsia" w:ascii="宋体" w:hAnsi="宋体" w:eastAsia="宋体" w:cs="宋体"/>
          <w:bCs/>
          <w:sz w:val="28"/>
          <w:szCs w:val="28"/>
        </w:rPr>
        <w:t>未确权股东合计持有</w:t>
      </w:r>
      <w:r>
        <w:rPr>
          <w:rFonts w:hint="eastAsia" w:ascii="宋体" w:hAnsi="宋体" w:eastAsia="宋体" w:cs="宋体"/>
          <w:bCs/>
          <w:sz w:val="28"/>
          <w:szCs w:val="28"/>
          <w:lang w:eastAsia="zh-CN"/>
        </w:rPr>
        <w:t>公司</w:t>
      </w:r>
      <w:r>
        <w:rPr>
          <w:rFonts w:hint="eastAsia" w:ascii="宋体" w:hAnsi="宋体" w:eastAsia="宋体" w:cs="宋体"/>
          <w:bCs/>
          <w:sz w:val="28"/>
          <w:szCs w:val="28"/>
        </w:rPr>
        <w:t>股份19,165,276股，占</w:t>
      </w:r>
      <w:r>
        <w:rPr>
          <w:rFonts w:hint="eastAsia" w:ascii="宋体" w:hAnsi="宋体" w:eastAsia="宋体" w:cs="宋体"/>
          <w:bCs/>
          <w:sz w:val="28"/>
          <w:szCs w:val="28"/>
          <w:lang w:eastAsia="zh-CN"/>
        </w:rPr>
        <w:t>公司</w:t>
      </w:r>
      <w:r>
        <w:rPr>
          <w:rFonts w:hint="eastAsia" w:ascii="宋体" w:hAnsi="宋体" w:eastAsia="宋体" w:cs="宋体"/>
          <w:bCs/>
          <w:sz w:val="28"/>
          <w:szCs w:val="28"/>
        </w:rPr>
        <w:t>总股本的0.3438%。请保荐机构、发行人律师</w:t>
      </w:r>
      <w:r>
        <w:rPr>
          <w:rFonts w:hint="eastAsia" w:ascii="宋体" w:hAnsi="宋体" w:eastAsia="宋体" w:cs="宋体"/>
          <w:bCs/>
          <w:sz w:val="28"/>
          <w:szCs w:val="28"/>
          <w:lang w:eastAsia="zh-CN"/>
        </w:rPr>
        <w:t>说明相关股份质押、冻结的进展情况，</w:t>
      </w:r>
      <w:r>
        <w:rPr>
          <w:rFonts w:hint="eastAsia" w:ascii="宋体" w:hAnsi="宋体" w:eastAsia="宋体" w:cs="宋体"/>
          <w:bCs/>
          <w:sz w:val="28"/>
          <w:szCs w:val="28"/>
        </w:rPr>
        <w:t>结合主要股东股份质押、冻结、部分股份未确权以及其自身经营财务情况，</w:t>
      </w:r>
      <w:r>
        <w:rPr>
          <w:rFonts w:hint="eastAsia" w:ascii="宋体" w:hAnsi="宋体" w:eastAsia="宋体" w:cs="宋体"/>
          <w:bCs/>
          <w:sz w:val="28"/>
          <w:szCs w:val="28"/>
          <w:lang w:eastAsia="zh-CN"/>
        </w:rPr>
        <w:t>分析</w:t>
      </w:r>
      <w:r>
        <w:rPr>
          <w:rFonts w:hint="eastAsia" w:ascii="宋体" w:hAnsi="宋体" w:eastAsia="宋体" w:cs="宋体"/>
          <w:bCs/>
          <w:sz w:val="28"/>
          <w:szCs w:val="28"/>
        </w:rPr>
        <w:t>发行人股权质押和冻结以及部分股权未确权情形是否符合首发管理办法关于股权清晰的相关规定</w:t>
      </w:r>
      <w:r>
        <w:rPr>
          <w:rFonts w:hint="eastAsia" w:ascii="宋体" w:hAnsi="宋体" w:eastAsia="宋体" w:cs="宋体"/>
          <w:bCs/>
          <w:sz w:val="28"/>
          <w:szCs w:val="28"/>
          <w:lang w:eastAsia="zh-CN"/>
        </w:rPr>
        <w:t>，请对照首发业务若干问题解答“问题</w:t>
      </w:r>
      <w:r>
        <w:rPr>
          <w:rFonts w:hint="eastAsia" w:ascii="宋体" w:hAnsi="宋体" w:eastAsia="宋体" w:cs="宋体"/>
          <w:bCs/>
          <w:sz w:val="28"/>
          <w:szCs w:val="28"/>
          <w:lang w:val="en-US" w:eastAsia="zh-CN"/>
        </w:rPr>
        <w:t>9”的相关要求进行核查并</w:t>
      </w:r>
      <w:r>
        <w:rPr>
          <w:rFonts w:hint="eastAsia" w:ascii="宋体" w:hAnsi="宋体" w:eastAsia="宋体" w:cs="宋体"/>
          <w:bCs/>
          <w:sz w:val="28"/>
          <w:szCs w:val="28"/>
        </w:rPr>
        <w:t>发表明确意见</w:t>
      </w:r>
      <w:r>
        <w:rPr>
          <w:rFonts w:hint="eastAsia" w:ascii="宋体" w:hAnsi="宋体" w:eastAsia="宋体" w:cs="宋体"/>
          <w:bCs/>
          <w:sz w:val="28"/>
          <w:szCs w:val="28"/>
          <w:lang w:eastAsia="zh-CN"/>
        </w:rPr>
        <w:t>。</w:t>
      </w:r>
    </w:p>
    <w:p>
      <w:pPr>
        <w:pStyle w:val="19"/>
        <w:widowControl/>
        <w:numPr>
          <w:ilvl w:val="0"/>
          <w:numId w:val="1"/>
        </w:numPr>
        <w:adjustRightInd w:val="0"/>
        <w:snapToGrid w:val="0"/>
        <w:spacing w:line="480" w:lineRule="exact"/>
        <w:ind w:left="0" w:firstLine="560" w:firstLineChars="200"/>
        <w:rPr>
          <w:rFonts w:hint="eastAsia" w:ascii="宋体" w:hAnsi="宋体" w:eastAsia="宋体" w:cs="宋体"/>
          <w:bCs/>
          <w:sz w:val="28"/>
          <w:szCs w:val="28"/>
        </w:rPr>
      </w:pPr>
      <w:r>
        <w:rPr>
          <w:rFonts w:hint="eastAsia" w:ascii="宋体" w:hAnsi="宋体" w:eastAsia="宋体" w:cs="宋体"/>
          <w:bCs/>
          <w:sz w:val="28"/>
          <w:szCs w:val="28"/>
        </w:rPr>
        <w:t>请保荐机构、发行人律师核查并披露发行人目前是否存在不适格股东，如存在，请详细披露具体情况和股权形成过程，是否符合行业主管部门相关规定，是否属于重大违法违规，不适格股东权利行使是否得到保障，是否存在纠纷或潜在争议，对股东不适格情况的后续解决方案。</w:t>
      </w:r>
    </w:p>
    <w:p>
      <w:pPr>
        <w:pStyle w:val="19"/>
        <w:widowControl/>
        <w:numPr>
          <w:ilvl w:val="0"/>
          <w:numId w:val="1"/>
        </w:numPr>
        <w:adjustRightInd w:val="0"/>
        <w:snapToGrid w:val="0"/>
        <w:spacing w:line="480" w:lineRule="exact"/>
        <w:ind w:left="0" w:firstLine="560" w:firstLineChars="200"/>
        <w:rPr>
          <w:rFonts w:hint="eastAsia" w:ascii="宋体" w:hAnsi="宋体" w:eastAsia="宋体" w:cs="宋体"/>
          <w:bCs/>
          <w:sz w:val="28"/>
          <w:szCs w:val="28"/>
        </w:rPr>
      </w:pPr>
      <w:r>
        <w:rPr>
          <w:rFonts w:hint="eastAsia" w:ascii="宋体" w:hAnsi="宋体" w:eastAsia="宋体" w:cs="宋体"/>
          <w:bCs/>
          <w:sz w:val="28"/>
          <w:szCs w:val="28"/>
        </w:rPr>
        <w:t>请发行人补充披露董监高及其亲属持股的形成过程及变动情况、股权交易价格、持股资金来源是否来自于银行提供的借款、是否存在获受股权奖励情况，董监高及其亲属持股是否需要履行相关的内部决策程序和主管部门的审批或备案，如需要，请予以说明履行情况。请保荐机构和律师对上述事项予以核查并发表意见。</w:t>
      </w:r>
    </w:p>
    <w:p>
      <w:pPr>
        <w:pStyle w:val="19"/>
        <w:widowControl/>
        <w:numPr>
          <w:ilvl w:val="0"/>
          <w:numId w:val="1"/>
        </w:numPr>
        <w:adjustRightInd w:val="0"/>
        <w:snapToGrid w:val="0"/>
        <w:spacing w:line="480" w:lineRule="exact"/>
        <w:ind w:left="0" w:firstLine="560" w:firstLineChars="200"/>
        <w:rPr>
          <w:rFonts w:hint="eastAsia" w:ascii="宋体" w:hAnsi="宋体" w:eastAsia="宋体" w:cs="宋体"/>
          <w:bCs/>
          <w:sz w:val="28"/>
          <w:szCs w:val="28"/>
        </w:rPr>
      </w:pPr>
      <w:r>
        <w:rPr>
          <w:rFonts w:hint="eastAsia" w:ascii="宋体" w:hAnsi="宋体" w:eastAsia="宋体" w:cs="宋体"/>
          <w:bCs/>
          <w:sz w:val="28"/>
          <w:szCs w:val="28"/>
        </w:rPr>
        <w:t>招股书披露，截至2019年5月9日，</w:t>
      </w:r>
      <w:r>
        <w:rPr>
          <w:rFonts w:hint="eastAsia" w:ascii="宋体" w:hAnsi="宋体" w:eastAsia="宋体" w:cs="宋体"/>
          <w:bCs/>
          <w:sz w:val="28"/>
          <w:szCs w:val="28"/>
          <w:lang w:eastAsia="zh-CN"/>
        </w:rPr>
        <w:t>公司</w:t>
      </w:r>
      <w:r>
        <w:rPr>
          <w:rFonts w:hint="eastAsia" w:ascii="宋体" w:hAnsi="宋体" w:eastAsia="宋体" w:cs="宋体"/>
          <w:bCs/>
          <w:sz w:val="28"/>
          <w:szCs w:val="28"/>
        </w:rPr>
        <w:t>总股本为5,573,974,960股，其中国有股东7家，所持股份合计415,059,155股，占总股本的7.447%。</w:t>
      </w:r>
      <w:r>
        <w:rPr>
          <w:rFonts w:hint="eastAsia" w:ascii="宋体" w:hAnsi="宋体" w:eastAsia="宋体" w:cs="宋体"/>
          <w:bCs/>
          <w:sz w:val="28"/>
          <w:szCs w:val="28"/>
          <w:lang w:eastAsia="zh-CN"/>
        </w:rPr>
        <w:t>公司</w:t>
      </w:r>
      <w:r>
        <w:rPr>
          <w:rFonts w:hint="eastAsia" w:ascii="宋体" w:hAnsi="宋体" w:eastAsia="宋体" w:cs="宋体"/>
          <w:bCs/>
          <w:sz w:val="28"/>
          <w:szCs w:val="28"/>
        </w:rPr>
        <w:t>成立于1998年2月16日，截至本招股书签署日，</w:t>
      </w:r>
      <w:r>
        <w:rPr>
          <w:rFonts w:hint="eastAsia" w:ascii="宋体" w:hAnsi="宋体" w:eastAsia="宋体" w:cs="宋体"/>
          <w:bCs/>
          <w:sz w:val="28"/>
          <w:szCs w:val="28"/>
          <w:lang w:eastAsia="zh-CN"/>
        </w:rPr>
        <w:t>公司</w:t>
      </w:r>
      <w:r>
        <w:rPr>
          <w:rFonts w:hint="eastAsia" w:ascii="宋体" w:hAnsi="宋体" w:eastAsia="宋体" w:cs="宋体"/>
          <w:bCs/>
          <w:sz w:val="28"/>
          <w:szCs w:val="28"/>
        </w:rPr>
        <w:t>发生股权转让共计92笔，涉及股份数量1,345,168,288.30股，其中</w:t>
      </w:r>
      <w:r>
        <w:rPr>
          <w:rFonts w:hint="eastAsia" w:ascii="宋体" w:hAnsi="宋体" w:eastAsia="宋体" w:cs="宋体"/>
          <w:bCs/>
          <w:sz w:val="28"/>
          <w:szCs w:val="28"/>
          <w:lang w:eastAsia="zh-CN"/>
        </w:rPr>
        <w:t>公司</w:t>
      </w:r>
      <w:r>
        <w:rPr>
          <w:rFonts w:hint="eastAsia" w:ascii="宋体" w:hAnsi="宋体" w:eastAsia="宋体" w:cs="宋体"/>
          <w:bCs/>
          <w:sz w:val="28"/>
          <w:szCs w:val="28"/>
        </w:rPr>
        <w:t>设立至2016年12月31日发生股权转让80笔，涉及股份数量552,437,292.30股；2017年初至本招股书签署日发生股权转让共计12笔，涉及股份数量792,730,996股。 公司发起人违反了当时有效的《公司法》关于股份公司设立后3年内不得转让股份的规定。万福建曾代持</w:t>
      </w:r>
      <w:r>
        <w:rPr>
          <w:rFonts w:hint="eastAsia" w:ascii="宋体" w:hAnsi="宋体" w:eastAsia="宋体" w:cs="宋体"/>
          <w:bCs/>
          <w:sz w:val="28"/>
          <w:szCs w:val="28"/>
          <w:lang w:eastAsia="zh-CN"/>
        </w:rPr>
        <w:t>公司</w:t>
      </w:r>
      <w:r>
        <w:rPr>
          <w:rFonts w:hint="eastAsia" w:ascii="宋体" w:hAnsi="宋体" w:eastAsia="宋体" w:cs="宋体"/>
          <w:bCs/>
          <w:sz w:val="28"/>
          <w:szCs w:val="28"/>
        </w:rPr>
        <w:t>部分自然人股东股权。请发行人：（1）按股东类别及性质列示披露目前发行人股东的基本构成，并在“发行人基本情况”章节披露发行人所有法人股东的持股情况。请将自然人股东的持股情况作为招股书附件进行披露，包括股东姓名、身份证号、持股数、持股比例等；（2）对于报告期外的股权转让，请按股权转让的类别披露转让的次数、股数及占比；对于报告期内的股权转让，请列表逐笔披露股权转让的原因、价格、定价依据及价款支付情况，其中，自然人之间的股权转让可分类或以招股书附件方式披露；（3）发行人历史上股权代持事项发生的原因，清理是否合规，目前发行人股权中是否尚存在信托、委托代持等名义股东与实际股东不一致的情形，是否存在股权权属不清等潜在法律纠纷，是否存在对赌等特殊协议或利益安排的情形；（4）发行人历史上股权变动涉及国有产权的，是否履行了相应的审批、评估、备案等法定程序，是否存在瑕疵、纠纷或国有资产流失的情形；（5）原集体股出资性质以及相关清理过程是否符合当时有效的法律法规规定，是否存在重大违法行为；（6）历次股权变动是否存在瑕疵、是否获得有权主管审批部门的批准，是否存在纠纷或潜在争议；（7）发行人股东在历次股权转让、整体变更为股份有限公司、利润分配（包括未分配利润转增股本）中是否应履行纳税义务，相关代扣代缴纳税义务是否履行。请保荐机构和发行人律师核查并发表明确意见。</w:t>
      </w:r>
    </w:p>
    <w:p>
      <w:pPr>
        <w:pStyle w:val="19"/>
        <w:widowControl/>
        <w:numPr>
          <w:ilvl w:val="0"/>
          <w:numId w:val="1"/>
        </w:numPr>
        <w:adjustRightInd w:val="0"/>
        <w:snapToGrid w:val="0"/>
        <w:spacing w:line="480" w:lineRule="exact"/>
        <w:ind w:left="0" w:firstLine="560" w:firstLineChars="200"/>
        <w:rPr>
          <w:rFonts w:hint="eastAsia" w:ascii="宋体" w:hAnsi="宋体" w:eastAsia="宋体" w:cs="宋体"/>
          <w:bCs/>
          <w:sz w:val="28"/>
          <w:szCs w:val="28"/>
        </w:rPr>
      </w:pPr>
      <w:r>
        <w:rPr>
          <w:rFonts w:hint="eastAsia" w:ascii="宋体" w:hAnsi="宋体" w:eastAsia="宋体" w:cs="宋体"/>
          <w:bCs/>
          <w:sz w:val="28"/>
          <w:szCs w:val="28"/>
        </w:rPr>
        <w:t>招股书披露，</w:t>
      </w:r>
      <w:r>
        <w:rPr>
          <w:rFonts w:hint="eastAsia" w:ascii="宋体" w:hAnsi="宋体" w:eastAsia="宋体" w:cs="宋体"/>
          <w:bCs/>
          <w:sz w:val="28"/>
          <w:szCs w:val="28"/>
          <w:lang w:eastAsia="zh-CN"/>
        </w:rPr>
        <w:t>公司</w:t>
      </w:r>
      <w:r>
        <w:rPr>
          <w:rFonts w:hint="eastAsia" w:ascii="宋体" w:hAnsi="宋体" w:eastAsia="宋体" w:cs="宋体"/>
          <w:bCs/>
          <w:sz w:val="28"/>
          <w:szCs w:val="28"/>
        </w:rPr>
        <w:t>控股股东为重庆国际信托，无实际控制人。请保荐机构及发行人律师结合发行人股权情况（主要股东持股存在一致行动或同一控制情形的请合并计算并披露）、公司章程关于董事会、股东大会的议事规则和决议情况、报告期发行人董事高管提名任免情况披露等方面说明发行人控股股东认定以及不存在实际控制人的认定依据，并对照首发业务若干问题解答关于实际控制人认定相关要求、证券期货法律适用意见第1号的规定进行核查并发表意见。</w:t>
      </w:r>
    </w:p>
    <w:p>
      <w:pPr>
        <w:pStyle w:val="19"/>
        <w:widowControl/>
        <w:numPr>
          <w:ilvl w:val="0"/>
          <w:numId w:val="1"/>
        </w:numPr>
        <w:adjustRightInd w:val="0"/>
        <w:snapToGrid w:val="0"/>
        <w:spacing w:line="480" w:lineRule="exact"/>
        <w:ind w:left="0" w:firstLine="560" w:firstLineChars="200"/>
        <w:rPr>
          <w:rFonts w:hint="eastAsia" w:ascii="宋体" w:hAnsi="宋体" w:eastAsia="宋体" w:cs="宋体"/>
          <w:bCs/>
          <w:sz w:val="28"/>
          <w:szCs w:val="28"/>
        </w:rPr>
      </w:pPr>
      <w:r>
        <w:rPr>
          <w:rFonts w:hint="eastAsia" w:ascii="宋体" w:hAnsi="宋体" w:eastAsia="宋体" w:cs="宋体"/>
          <w:bCs/>
          <w:sz w:val="28"/>
          <w:szCs w:val="28"/>
        </w:rPr>
        <w:t>请保荐机构、发行人律师对发行人递交IPO申请材料后股权变动及相应锁定承诺落实的情况予以核查并说明。</w:t>
      </w:r>
    </w:p>
    <w:p>
      <w:pPr>
        <w:pStyle w:val="19"/>
        <w:widowControl/>
        <w:numPr>
          <w:ilvl w:val="0"/>
          <w:numId w:val="1"/>
        </w:numPr>
        <w:adjustRightInd w:val="0"/>
        <w:snapToGrid w:val="0"/>
        <w:spacing w:line="480" w:lineRule="exact"/>
        <w:ind w:left="0" w:firstLine="560" w:firstLineChars="200"/>
        <w:rPr>
          <w:rFonts w:hint="eastAsia" w:ascii="宋体" w:hAnsi="宋体" w:eastAsia="宋体" w:cs="宋体"/>
          <w:bCs/>
          <w:sz w:val="28"/>
          <w:szCs w:val="28"/>
          <w:highlight w:val="none"/>
        </w:rPr>
      </w:pPr>
      <w:r>
        <w:rPr>
          <w:rFonts w:hint="eastAsia" w:ascii="宋体" w:hAnsi="宋体" w:eastAsia="宋体" w:cs="宋体"/>
          <w:bCs/>
          <w:sz w:val="28"/>
          <w:szCs w:val="28"/>
        </w:rPr>
        <w:t>招股书披露，发行人2007年实施了资产重组并以信托方式剥离不良资产。</w:t>
      </w:r>
      <w:r>
        <w:rPr>
          <w:rFonts w:hint="eastAsia" w:ascii="宋体" w:hAnsi="宋体" w:eastAsia="宋体" w:cs="宋体"/>
          <w:bCs/>
          <w:sz w:val="28"/>
          <w:szCs w:val="28"/>
          <w:lang w:eastAsia="zh-CN"/>
        </w:rPr>
        <w:t>请保荐机构和发行人律师</w:t>
      </w:r>
      <w:r>
        <w:rPr>
          <w:rFonts w:hint="eastAsia" w:ascii="宋体" w:hAnsi="宋体" w:eastAsia="宋体" w:cs="宋体"/>
          <w:bCs/>
          <w:sz w:val="28"/>
          <w:szCs w:val="28"/>
        </w:rPr>
        <w:t>补充说明2007年资产重组并以信托方式剥离不良资产的详细经过，就其资产重组并剥离不良资产是否合法合规，是否存在重大违法行为核查并发表明确意见。</w:t>
      </w:r>
    </w:p>
    <w:p>
      <w:pPr>
        <w:pStyle w:val="19"/>
        <w:widowControl/>
        <w:numPr>
          <w:ilvl w:val="0"/>
          <w:numId w:val="1"/>
        </w:numPr>
        <w:adjustRightInd w:val="0"/>
        <w:snapToGrid w:val="0"/>
        <w:spacing w:line="480" w:lineRule="exact"/>
        <w:ind w:left="0" w:firstLine="560" w:firstLineChars="200"/>
        <w:rPr>
          <w:rFonts w:hint="eastAsia" w:ascii="宋体" w:hAnsi="宋体" w:eastAsia="宋体" w:cs="宋体"/>
          <w:bCs/>
          <w:sz w:val="28"/>
          <w:szCs w:val="28"/>
        </w:rPr>
      </w:pPr>
      <w:r>
        <w:rPr>
          <w:rFonts w:hint="eastAsia" w:ascii="宋体" w:hAnsi="宋体" w:eastAsia="宋体" w:cs="宋体"/>
          <w:bCs/>
          <w:sz w:val="28"/>
          <w:szCs w:val="28"/>
        </w:rPr>
        <w:t>招股书披露，</w:t>
      </w:r>
      <w:r>
        <w:rPr>
          <w:rFonts w:hint="eastAsia" w:ascii="宋体" w:hAnsi="宋体" w:eastAsia="宋体" w:cs="宋体"/>
          <w:bCs/>
          <w:sz w:val="28"/>
          <w:szCs w:val="28"/>
          <w:lang w:eastAsia="zh-CN"/>
        </w:rPr>
        <w:t>公司</w:t>
      </w:r>
      <w:r>
        <w:rPr>
          <w:rFonts w:hint="eastAsia" w:ascii="宋体" w:hAnsi="宋体" w:eastAsia="宋体" w:cs="宋体"/>
          <w:bCs/>
          <w:sz w:val="28"/>
          <w:szCs w:val="28"/>
        </w:rPr>
        <w:t>股东总数为442户，持有总股本为5,573,974,960股，其中：非自然人股东41户，持股数量为5,570,220,458股，占总股本的99.9326%；自然人股东401户，持股数量为3,754,502股，占总股本的0.0674%。</w:t>
      </w:r>
      <w:r>
        <w:rPr>
          <w:rFonts w:hint="eastAsia" w:ascii="宋体" w:hAnsi="宋体" w:eastAsia="宋体" w:cs="宋体"/>
          <w:bCs/>
          <w:sz w:val="28"/>
          <w:szCs w:val="28"/>
          <w:lang w:eastAsia="zh-CN"/>
        </w:rPr>
        <w:t>公司</w:t>
      </w:r>
      <w:r>
        <w:rPr>
          <w:rFonts w:hint="eastAsia" w:ascii="宋体" w:hAnsi="宋体" w:eastAsia="宋体" w:cs="宋体"/>
          <w:bCs/>
          <w:sz w:val="28"/>
          <w:szCs w:val="28"/>
        </w:rPr>
        <w:t>未确权股东合计持有</w:t>
      </w:r>
      <w:r>
        <w:rPr>
          <w:rFonts w:hint="eastAsia" w:ascii="宋体" w:hAnsi="宋体" w:eastAsia="宋体" w:cs="宋体"/>
          <w:bCs/>
          <w:sz w:val="28"/>
          <w:szCs w:val="28"/>
          <w:lang w:eastAsia="zh-CN"/>
        </w:rPr>
        <w:t>公司</w:t>
      </w:r>
      <w:r>
        <w:rPr>
          <w:rFonts w:hint="eastAsia" w:ascii="宋体" w:hAnsi="宋体" w:eastAsia="宋体" w:cs="宋体"/>
          <w:bCs/>
          <w:sz w:val="28"/>
          <w:szCs w:val="28"/>
        </w:rPr>
        <w:t>股份19,165,276股，占</w:t>
      </w:r>
      <w:r>
        <w:rPr>
          <w:rFonts w:hint="eastAsia" w:ascii="宋体" w:hAnsi="宋体" w:eastAsia="宋体" w:cs="宋体"/>
          <w:bCs/>
          <w:sz w:val="28"/>
          <w:szCs w:val="28"/>
          <w:lang w:eastAsia="zh-CN"/>
        </w:rPr>
        <w:t>公司</w:t>
      </w:r>
      <w:r>
        <w:rPr>
          <w:rFonts w:hint="eastAsia" w:ascii="宋体" w:hAnsi="宋体" w:eastAsia="宋体" w:cs="宋体"/>
          <w:bCs/>
          <w:sz w:val="28"/>
          <w:szCs w:val="28"/>
        </w:rPr>
        <w:t>总股本的0.3438%。请保荐机构及发行人律师就发行人股东超过200人的情形，是否符合《非上市公众公司监管指引第4号》的要求发表意见并说明依据，同时根据《非上市公众公司监管指引第4号》的要求补充提供相关申请文件。</w:t>
      </w:r>
    </w:p>
    <w:p>
      <w:pPr>
        <w:pStyle w:val="19"/>
        <w:widowControl/>
        <w:numPr>
          <w:ilvl w:val="0"/>
          <w:numId w:val="1"/>
        </w:numPr>
        <w:adjustRightInd w:val="0"/>
        <w:snapToGrid w:val="0"/>
        <w:spacing w:line="480" w:lineRule="exact"/>
        <w:ind w:left="0" w:firstLine="560" w:firstLineChars="200"/>
        <w:rPr>
          <w:rFonts w:hint="eastAsia" w:ascii="宋体" w:hAnsi="宋体" w:eastAsia="宋体" w:cs="宋体"/>
          <w:bCs/>
          <w:sz w:val="28"/>
          <w:szCs w:val="28"/>
        </w:rPr>
      </w:pPr>
      <w:r>
        <w:rPr>
          <w:rFonts w:hint="eastAsia" w:ascii="宋体" w:hAnsi="宋体" w:eastAsia="宋体" w:cs="宋体"/>
          <w:bCs/>
          <w:sz w:val="28"/>
          <w:szCs w:val="28"/>
        </w:rPr>
        <w:t>招股书披露，</w:t>
      </w:r>
      <w:r>
        <w:rPr>
          <w:rFonts w:hint="eastAsia" w:ascii="宋体" w:hAnsi="宋体" w:eastAsia="宋体" w:cs="宋体"/>
          <w:bCs/>
          <w:sz w:val="28"/>
          <w:szCs w:val="28"/>
          <w:lang w:eastAsia="zh-CN"/>
        </w:rPr>
        <w:t>公司</w:t>
      </w:r>
      <w:r>
        <w:rPr>
          <w:rFonts w:hint="eastAsia" w:ascii="宋体" w:hAnsi="宋体" w:eastAsia="宋体" w:cs="宋体"/>
          <w:bCs/>
          <w:sz w:val="28"/>
          <w:szCs w:val="28"/>
        </w:rPr>
        <w:t>内部职工股股东为401户，持股数为3,754,502股，占总股本的0.07%。请保荐机构和发行人律师核查并披露发行人内部职工持股以及非内部职工持股的自然人股东的形成过程和历史沿革，说明员工持股情况及演变过程是否合法合规，是否经过有关部门确认为合格股东，是否存在委托持股、信托持股或其他安排，是否存在纠纷或潜在纠纷，并就发行人内部职工持股是否符合《关于规范金融企业内部职工持股的通知》（财金【2010】97号）发表明确意见。</w:t>
      </w:r>
    </w:p>
    <w:p>
      <w:pPr>
        <w:pStyle w:val="19"/>
        <w:widowControl/>
        <w:numPr>
          <w:ilvl w:val="0"/>
          <w:numId w:val="1"/>
        </w:numPr>
        <w:adjustRightInd w:val="0"/>
        <w:snapToGrid w:val="0"/>
        <w:spacing w:line="480" w:lineRule="exact"/>
        <w:ind w:left="0" w:firstLine="560" w:firstLineChars="200"/>
        <w:rPr>
          <w:rFonts w:hint="eastAsia" w:ascii="宋体" w:hAnsi="宋体" w:eastAsia="宋体" w:cs="宋体"/>
          <w:bCs/>
          <w:sz w:val="28"/>
          <w:szCs w:val="28"/>
        </w:rPr>
      </w:pPr>
      <w:r>
        <w:rPr>
          <w:rFonts w:hint="eastAsia" w:ascii="宋体" w:hAnsi="宋体" w:eastAsia="宋体" w:cs="宋体"/>
          <w:bCs/>
          <w:sz w:val="28"/>
          <w:szCs w:val="28"/>
        </w:rPr>
        <w:t>请保荐机构、发行人律师核查说明发行人报告期是否进行过</w:t>
      </w:r>
      <w:r>
        <w:rPr>
          <w:rFonts w:hint="eastAsia" w:ascii="宋体" w:hAnsi="宋体" w:eastAsia="宋体" w:cs="宋体"/>
          <w:bCs/>
          <w:sz w:val="28"/>
          <w:szCs w:val="28"/>
          <w:highlight w:val="none"/>
        </w:rPr>
        <w:t>重大不良资产处置、剥离，或发生过重大银行案件</w:t>
      </w:r>
      <w:r>
        <w:rPr>
          <w:rFonts w:hint="eastAsia" w:ascii="宋体" w:hAnsi="宋体" w:eastAsia="宋体" w:cs="宋体"/>
          <w:bCs/>
          <w:sz w:val="28"/>
          <w:szCs w:val="28"/>
        </w:rPr>
        <w:t>。</w:t>
      </w:r>
    </w:p>
    <w:p>
      <w:pPr>
        <w:pStyle w:val="19"/>
        <w:widowControl/>
        <w:numPr>
          <w:ilvl w:val="0"/>
          <w:numId w:val="1"/>
        </w:numPr>
        <w:adjustRightInd w:val="0"/>
        <w:snapToGrid w:val="0"/>
        <w:spacing w:line="480" w:lineRule="exact"/>
        <w:ind w:left="0" w:firstLine="560" w:firstLineChars="200"/>
        <w:rPr>
          <w:rFonts w:hint="eastAsia" w:ascii="宋体" w:hAnsi="宋体" w:eastAsia="宋体" w:cs="宋体"/>
          <w:bCs/>
          <w:sz w:val="28"/>
          <w:szCs w:val="28"/>
        </w:rPr>
      </w:pPr>
      <w:r>
        <w:rPr>
          <w:rFonts w:hint="eastAsia" w:ascii="宋体" w:hAnsi="宋体" w:eastAsia="宋体" w:cs="宋体"/>
          <w:bCs/>
          <w:sz w:val="28"/>
          <w:szCs w:val="28"/>
        </w:rPr>
        <w:t>请保荐机构和发行人律师核查并披露（1）认定不存在同业竞争关系时，是否已经审慎核查并完整披露发行人控股股东、实际控制人及其近亲属直接或间接控制的全部关联企业；（2） 对照首发业务若干问答解答关于同业竞争的核查范围、判断原则等，分析说明并披露发行人与同业竞争事项核查范围内的关联方（尤其是银行业金融企业）是否可能与发行人构成利益冲突、输送或潜在同业竞争。</w:t>
      </w:r>
    </w:p>
    <w:p>
      <w:pPr>
        <w:pStyle w:val="19"/>
        <w:widowControl/>
        <w:numPr>
          <w:ilvl w:val="0"/>
          <w:numId w:val="1"/>
        </w:numPr>
        <w:adjustRightInd w:val="0"/>
        <w:snapToGrid w:val="0"/>
        <w:spacing w:line="480" w:lineRule="exact"/>
        <w:ind w:left="0" w:firstLine="560" w:firstLineChars="200"/>
        <w:rPr>
          <w:rFonts w:hint="eastAsia" w:ascii="宋体" w:hAnsi="宋体" w:eastAsia="宋体" w:cs="宋体"/>
          <w:bCs/>
          <w:sz w:val="28"/>
          <w:szCs w:val="28"/>
        </w:rPr>
      </w:pPr>
      <w:r>
        <w:rPr>
          <w:rFonts w:hint="eastAsia" w:ascii="宋体" w:hAnsi="宋体" w:eastAsia="宋体" w:cs="宋体"/>
          <w:bCs/>
          <w:sz w:val="28"/>
          <w:szCs w:val="28"/>
        </w:rPr>
        <w:t>请</w:t>
      </w:r>
      <w:r>
        <w:rPr>
          <w:rFonts w:hint="eastAsia" w:ascii="宋体" w:hAnsi="宋体" w:eastAsia="宋体" w:cs="宋体"/>
          <w:bCs/>
          <w:sz w:val="28"/>
          <w:szCs w:val="28"/>
          <w:lang w:eastAsia="zh-CN"/>
        </w:rPr>
        <w:t>发行人补充说明</w:t>
      </w:r>
      <w:r>
        <w:rPr>
          <w:rFonts w:hint="eastAsia" w:ascii="宋体" w:hAnsi="宋体" w:eastAsia="宋体" w:cs="宋体"/>
          <w:bCs/>
          <w:sz w:val="28"/>
          <w:szCs w:val="28"/>
        </w:rPr>
        <w:t>：（1）是否按照《企业会计准则》、《上市公司信息披露管理办法》、拟上市证券交易所颁布的业务规则中相关规定完整、准确地披露关联方关系及关联交易；（</w:t>
      </w:r>
      <w:r>
        <w:rPr>
          <w:rFonts w:hint="eastAsia" w:ascii="宋体" w:hAnsi="宋体" w:eastAsia="宋体" w:cs="宋体"/>
          <w:bCs/>
          <w:sz w:val="28"/>
          <w:szCs w:val="28"/>
          <w:lang w:eastAsia="zh-CN"/>
        </w:rPr>
        <w:t>2</w:t>
      </w:r>
      <w:r>
        <w:rPr>
          <w:rFonts w:hint="eastAsia" w:ascii="宋体" w:hAnsi="宋体" w:eastAsia="宋体" w:cs="宋体"/>
          <w:bCs/>
          <w:sz w:val="28"/>
          <w:szCs w:val="28"/>
        </w:rPr>
        <w:t>）报告期各期各类关联交易占同类交易的比例，并分析报告期各期变化的原因；（</w:t>
      </w:r>
      <w:r>
        <w:rPr>
          <w:rFonts w:hint="eastAsia" w:ascii="宋体" w:hAnsi="宋体" w:eastAsia="宋体" w:cs="宋体"/>
          <w:bCs/>
          <w:sz w:val="28"/>
          <w:szCs w:val="28"/>
          <w:lang w:eastAsia="zh-CN"/>
        </w:rPr>
        <w:t>3</w:t>
      </w:r>
      <w:r>
        <w:rPr>
          <w:rFonts w:hint="eastAsia" w:ascii="宋体" w:hAnsi="宋体" w:eastAsia="宋体" w:cs="宋体"/>
          <w:bCs/>
          <w:sz w:val="28"/>
          <w:szCs w:val="28"/>
        </w:rPr>
        <w:t>）报告期各期发行人与关联方交易是否符合发行人相关业务标准、是否履行相关程序、执行利率水平，并分析与同期非关联方交易是否存在差异；（</w:t>
      </w:r>
      <w:r>
        <w:rPr>
          <w:rFonts w:hint="eastAsia" w:ascii="宋体" w:hAnsi="宋体" w:eastAsia="宋体" w:cs="宋体"/>
          <w:bCs/>
          <w:sz w:val="28"/>
          <w:szCs w:val="28"/>
          <w:lang w:eastAsia="zh-CN"/>
        </w:rPr>
        <w:t>4</w:t>
      </w:r>
      <w:r>
        <w:rPr>
          <w:rFonts w:hint="eastAsia" w:ascii="宋体" w:hAnsi="宋体" w:eastAsia="宋体" w:cs="宋体"/>
          <w:bCs/>
          <w:sz w:val="28"/>
          <w:szCs w:val="28"/>
        </w:rPr>
        <w:t>）公司章程对关联交易决策程序的规定。已发生关联交易的决策过程是否与章程相符，是否履行了公司章程规定回避程序，定价是否遵循了市场原则，关联交易是否损害发行人及中小股东利益，关联股东或董事在审议相关交易时是否回避，以及独立董事和监事会成员是否发表不同意见等；（</w:t>
      </w:r>
      <w:r>
        <w:rPr>
          <w:rFonts w:hint="eastAsia" w:ascii="宋体" w:hAnsi="宋体" w:eastAsia="宋体" w:cs="宋体"/>
          <w:bCs/>
          <w:sz w:val="28"/>
          <w:szCs w:val="28"/>
          <w:lang w:eastAsia="zh-CN"/>
        </w:rPr>
        <w:t>5</w:t>
      </w:r>
      <w:r>
        <w:rPr>
          <w:rFonts w:hint="eastAsia" w:ascii="宋体" w:hAnsi="宋体" w:eastAsia="宋体" w:cs="宋体"/>
          <w:bCs/>
          <w:sz w:val="28"/>
          <w:szCs w:val="28"/>
        </w:rPr>
        <w:t>）公司与各关联方签订的且仍然有效的重大协议或合同，并对该等协议或合同期满后的处理方式作出说明。请保荐机构、发行人律师发表核查意见。</w:t>
      </w:r>
    </w:p>
    <w:p>
      <w:pPr>
        <w:pStyle w:val="19"/>
        <w:widowControl/>
        <w:numPr>
          <w:ilvl w:val="0"/>
          <w:numId w:val="1"/>
        </w:numPr>
        <w:adjustRightInd w:val="0"/>
        <w:snapToGrid w:val="0"/>
        <w:spacing w:line="480" w:lineRule="exact"/>
        <w:ind w:left="0" w:firstLine="560" w:firstLineChars="200"/>
        <w:rPr>
          <w:rFonts w:hint="eastAsia" w:ascii="宋体" w:hAnsi="宋体" w:eastAsia="宋体" w:cs="宋体"/>
          <w:bCs/>
          <w:sz w:val="28"/>
          <w:szCs w:val="28"/>
        </w:rPr>
      </w:pPr>
      <w:r>
        <w:rPr>
          <w:rFonts w:hint="eastAsia" w:ascii="宋体" w:hAnsi="宋体" w:eastAsia="宋体" w:cs="宋体"/>
          <w:b w:val="0"/>
          <w:bCs/>
          <w:sz w:val="28"/>
          <w:szCs w:val="28"/>
        </w:rPr>
        <w:t>发行人存在抵债资产未在法定期限内处置情形，不符合《银行抵债资产管理办法》的规定</w:t>
      </w:r>
      <w:r>
        <w:rPr>
          <w:rFonts w:hint="eastAsia" w:ascii="宋体" w:hAnsi="宋体" w:eastAsia="宋体" w:cs="宋体"/>
          <w:bCs/>
          <w:sz w:val="28"/>
          <w:szCs w:val="28"/>
        </w:rPr>
        <w:t>。就发行人存在的未在法定期限内处置的抵债资产</w:t>
      </w:r>
      <w:r>
        <w:rPr>
          <w:rFonts w:hint="eastAsia" w:ascii="宋体" w:hAnsi="宋体" w:eastAsia="宋体" w:cs="宋体"/>
          <w:bCs/>
          <w:sz w:val="28"/>
          <w:szCs w:val="28"/>
          <w:lang w:eastAsia="zh-CN"/>
        </w:rPr>
        <w:t>，</w:t>
      </w:r>
      <w:r>
        <w:rPr>
          <w:rFonts w:hint="eastAsia" w:ascii="宋体" w:hAnsi="宋体" w:eastAsia="宋体" w:cs="宋体"/>
          <w:bCs/>
          <w:sz w:val="28"/>
          <w:szCs w:val="28"/>
        </w:rPr>
        <w:t>请保荐机构、发行人律师说明并披露原因、进展情况、解决措施，并就前述情形是否构成重大违法发表明确意见。</w:t>
      </w:r>
    </w:p>
    <w:p>
      <w:pPr>
        <w:pStyle w:val="19"/>
        <w:widowControl/>
        <w:numPr>
          <w:ilvl w:val="0"/>
          <w:numId w:val="1"/>
        </w:numPr>
        <w:adjustRightInd w:val="0"/>
        <w:snapToGrid w:val="0"/>
        <w:spacing w:line="480" w:lineRule="exact"/>
        <w:ind w:left="0" w:firstLine="560" w:firstLineChars="200"/>
        <w:rPr>
          <w:rFonts w:hint="eastAsia" w:ascii="宋体" w:hAnsi="宋体" w:eastAsia="宋体" w:cs="宋体"/>
          <w:bCs/>
          <w:sz w:val="28"/>
          <w:szCs w:val="28"/>
        </w:rPr>
      </w:pPr>
      <w:r>
        <w:rPr>
          <w:rFonts w:hint="eastAsia" w:ascii="宋体" w:hAnsi="宋体" w:eastAsia="宋体" w:cs="宋体"/>
          <w:bCs/>
          <w:sz w:val="28"/>
          <w:szCs w:val="28"/>
        </w:rPr>
        <w:t>申报文件披露，发行人10余宗房产的土地使用权性质为划拨，部分房产尚未办理房地产权证，存在未取得权属证书的房屋，发行人30余宗房产处于“闲置”状态，同时公司存在租赁房产情形。请发行人补充披露：（1）分尚未办理房地产权证房屋和未能取得权属证书房屋情形，说明尚未取得房屋所有权证的具体原因，以及后续的处理状态，并说明未取得房屋所有权证对发行人未来经营成果的影响，是否影响发行人的持续经营能力，是否在风险因素中进行了充分披露；</w:t>
      </w:r>
      <w:r>
        <w:rPr>
          <w:rFonts w:hint="eastAsia" w:ascii="宋体" w:hAnsi="宋体" w:eastAsia="宋体" w:cs="宋体"/>
          <w:bCs/>
          <w:sz w:val="28"/>
          <w:szCs w:val="28"/>
          <w:lang w:eastAsia="zh-CN"/>
        </w:rPr>
        <w:t>“闲置”状态房产的基本情况，包括但不限于是否存在法律瑕疵，闲置原因，后续处理措施等。</w:t>
      </w:r>
      <w:r>
        <w:rPr>
          <w:rFonts w:hint="eastAsia" w:ascii="宋体" w:hAnsi="宋体" w:eastAsia="宋体" w:cs="宋体"/>
          <w:bCs/>
          <w:sz w:val="28"/>
          <w:szCs w:val="28"/>
        </w:rPr>
        <w:t>（2）划拨用地的用途、占公司生产经营用地的比例，是否属于发行人的主要生产经营场所，是否存在重大违法情形，是否对发行人生产经营造成重大不利影响；请结合《土地管理法》等相关法律法规的规定对公司生产经营用地的合法合规性、是否存在法律风险及补缴相关出让金的风险等作出说明；如补缴出让金，有何补偿措施和风险预案；（3）承租房屋的出租方是否拥有出租房产的权证、是否涉及集体土地，租赁房产面积占比，是否办理租赁备案手续，承租房产是否属于发行人的主要生产经营场所；报告期内，公司向关联方承租房产的租赁费用及其定价是否公允，是否存在关联方利益输送情况。请结合房产租赁合同的稳定性、租赁的持续性，租赁房产产权瑕疵等说明是否对发行人生产经营造成重大不利影响，是否影响发行人的资产完整性</w:t>
      </w:r>
      <w:r>
        <w:rPr>
          <w:rFonts w:hint="eastAsia" w:ascii="宋体" w:hAnsi="宋体" w:eastAsia="宋体" w:cs="宋体"/>
          <w:bCs/>
          <w:sz w:val="28"/>
          <w:szCs w:val="28"/>
          <w:lang w:eastAsia="zh-CN"/>
        </w:rPr>
        <w:t>；</w:t>
      </w:r>
      <w:r>
        <w:rPr>
          <w:rFonts w:ascii="仿宋" w:hAnsi="仿宋" w:eastAsia="仿宋"/>
          <w:bCs/>
          <w:sz w:val="28"/>
          <w:szCs w:val="28"/>
        </w:rPr>
        <w:t>（4）结合瑕疵</w:t>
      </w:r>
      <w:r>
        <w:rPr>
          <w:rFonts w:hint="eastAsia" w:ascii="仿宋" w:hAnsi="仿宋" w:eastAsia="仿宋"/>
          <w:bCs/>
          <w:sz w:val="28"/>
          <w:szCs w:val="28"/>
        </w:rPr>
        <w:t>房产、土地对发行人的作用、面积和面积占比以及使用上述土地或房产产生的收入、毛利、利润情况，评估其对于发行人的重要性，是否构成发行上市障碍；披露将来如因土地、房产相关问题被处罚的责任承担主体、相关拆迁报废费用、影响生产经营的损失、搬迁等相关费用及承担主体、有无下一步解决措施等，并对该等事项做重大风险提示</w:t>
      </w:r>
      <w:r>
        <w:rPr>
          <w:rFonts w:hint="eastAsia" w:ascii="仿宋" w:hAnsi="仿宋" w:eastAsia="仿宋"/>
          <w:bCs/>
          <w:sz w:val="28"/>
          <w:szCs w:val="28"/>
          <w:lang w:eastAsia="zh-CN"/>
        </w:rPr>
        <w:t>。</w:t>
      </w:r>
      <w:r>
        <w:rPr>
          <w:rFonts w:hint="eastAsia" w:ascii="宋体" w:hAnsi="宋体" w:eastAsia="宋体" w:cs="宋体"/>
          <w:bCs/>
          <w:sz w:val="28"/>
          <w:szCs w:val="28"/>
        </w:rPr>
        <w:t>请保荐机构、发行人律师核查并发表明确意见。</w:t>
      </w:r>
    </w:p>
    <w:p>
      <w:pPr>
        <w:pStyle w:val="19"/>
        <w:widowControl/>
        <w:numPr>
          <w:ilvl w:val="0"/>
          <w:numId w:val="1"/>
        </w:numPr>
        <w:adjustRightInd w:val="0"/>
        <w:snapToGrid w:val="0"/>
        <w:spacing w:line="480" w:lineRule="exact"/>
        <w:ind w:left="0" w:firstLine="560" w:firstLineChars="200"/>
        <w:rPr>
          <w:rFonts w:hint="eastAsia" w:ascii="宋体" w:hAnsi="宋体" w:eastAsia="宋体" w:cs="宋体"/>
          <w:bCs/>
          <w:sz w:val="28"/>
          <w:szCs w:val="28"/>
        </w:rPr>
      </w:pPr>
      <w:r>
        <w:rPr>
          <w:rFonts w:hint="eastAsia" w:ascii="宋体" w:hAnsi="宋体" w:eastAsia="宋体" w:cs="宋体"/>
          <w:bCs/>
          <w:sz w:val="28"/>
          <w:szCs w:val="28"/>
        </w:rPr>
        <w:t>请保荐机构、发行人律师结合处罚事由、处罚内容、整改情况、处罚机关的认定等分析报告期发行人行政处罚事项对发行人生产经营的影响及该等事项是否构成重大违法违规，并发表明确意见。2017年以来，行业主管部门发布一系列通知和监管意见，要求银行自查、整改。请保荐机构和发行人律师核查并说明发行人对上述通知、意见的落实情况，是否存在重大违法违规行为，并结合主管部门意见发表专项核查意见。</w:t>
      </w:r>
    </w:p>
    <w:p>
      <w:pPr>
        <w:pStyle w:val="19"/>
        <w:widowControl/>
        <w:numPr>
          <w:ilvl w:val="0"/>
          <w:numId w:val="1"/>
        </w:numPr>
        <w:adjustRightInd w:val="0"/>
        <w:snapToGrid w:val="0"/>
        <w:spacing w:line="480" w:lineRule="exact"/>
        <w:ind w:left="0" w:firstLine="560" w:firstLineChars="200"/>
        <w:rPr>
          <w:rFonts w:hint="eastAsia" w:ascii="宋体" w:hAnsi="宋体" w:eastAsia="宋体" w:cs="宋体"/>
          <w:bCs/>
          <w:sz w:val="28"/>
          <w:szCs w:val="28"/>
        </w:rPr>
      </w:pPr>
      <w:r>
        <w:rPr>
          <w:rFonts w:hint="eastAsia" w:ascii="宋体" w:hAnsi="宋体" w:eastAsia="宋体" w:cs="宋体"/>
          <w:bCs/>
          <w:sz w:val="28"/>
          <w:szCs w:val="28"/>
        </w:rPr>
        <w:t>招股书披露，发行人控股股东重庆国际信托涉及的尚未了结的重大诉讼或仲裁案件共有3笔。请发行人详细说明目前正在进行尚未了结的诉讼、仲裁案件（包括单笔争议标的金额（本金）在1,000万元以下的部分）情况，包括事由、进展及发行人拟采取的针对措施，是否会对发行人的经营及本次发行上市构成实质不利影响。请保荐机构、发行人律师核查并发表明确意见。</w:t>
      </w:r>
    </w:p>
    <w:p>
      <w:pPr>
        <w:pStyle w:val="19"/>
        <w:widowControl/>
        <w:numPr>
          <w:ilvl w:val="0"/>
          <w:numId w:val="1"/>
        </w:numPr>
        <w:adjustRightInd w:val="0"/>
        <w:snapToGrid w:val="0"/>
        <w:spacing w:line="480" w:lineRule="exact"/>
        <w:ind w:left="0" w:firstLine="560" w:firstLineChars="200"/>
        <w:rPr>
          <w:rFonts w:hint="eastAsia" w:ascii="宋体" w:hAnsi="宋体" w:eastAsia="宋体" w:cs="宋体"/>
          <w:bCs/>
          <w:sz w:val="28"/>
          <w:szCs w:val="28"/>
        </w:rPr>
      </w:pPr>
      <w:r>
        <w:rPr>
          <w:rFonts w:hint="eastAsia" w:ascii="宋体" w:hAnsi="宋体" w:eastAsia="宋体" w:cs="宋体"/>
          <w:bCs/>
          <w:sz w:val="28"/>
          <w:szCs w:val="28"/>
        </w:rPr>
        <w:t>招股书披露，报告期末，发行人作为原告/申请人且尚未了结的重大诉讼、仲裁案件，涉案金额较大。发行人作为第三人的重大诉讼案件涉案金额较大。发行人不存在作为被告的涉及标的金额在1,000万元以上的尚未终结的重大诉讼。请发行人（1）详细说明目前正在进行尚未了结的诉讼、仲裁案件（包括单笔争议标的金额（本金）在1,000万元以下的部分）情况，包括事由、进展及发行人拟采取的针对措施，是否会对发行人的经营及本次发行上市构成实质不利影响；（2）结合发行人的信贷资产等级划分的具体内部流程、信贷资产风险分类管理制度以及动态管理程序，说明和披露发行人对尚未了结的诉讼和仲裁案件涉及的款项涉及贷款五级分类的准确性，如存在诉讼和仲裁案件涉及的款项未分类为不良贷款的，请分析其合理性；（3）说明发行人对诉讼和仲裁案件涉及的款项是否采用更为谨慎的减值准备计提政策，如采取与一般贷款相同的减值准备计提政策，请分析其合理性。分析说明诉讼和仲裁案件涉及款项减值准备是否计提充分。请保荐机构、发行人律师、申报会计师说明对上述事项的核查情况和意见。</w:t>
      </w:r>
    </w:p>
    <w:p>
      <w:pPr>
        <w:pStyle w:val="19"/>
        <w:numPr>
          <w:ilvl w:val="0"/>
          <w:numId w:val="1"/>
        </w:numPr>
        <w:adjustRightInd w:val="0"/>
        <w:spacing w:line="480" w:lineRule="exact"/>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发行人报告期内存在</w:t>
      </w:r>
      <w:r>
        <w:rPr>
          <w:rFonts w:hint="eastAsia" w:ascii="宋体" w:hAnsi="宋体" w:eastAsia="宋体" w:cs="宋体"/>
          <w:bCs/>
          <w:sz w:val="28"/>
          <w:szCs w:val="28"/>
          <w:lang w:val="en-US" w:eastAsia="zh-CN"/>
        </w:rPr>
        <w:t>部分</w:t>
      </w:r>
      <w:r>
        <w:rPr>
          <w:rFonts w:hint="eastAsia" w:ascii="宋体" w:hAnsi="宋体" w:eastAsia="宋体" w:cs="宋体"/>
          <w:sz w:val="28"/>
          <w:szCs w:val="28"/>
          <w:lang w:val="en-US" w:eastAsia="zh-CN"/>
        </w:rPr>
        <w:t>年度监管指标低于指标标准或接近指标标准的情况。请发行人补充说明部分监管指标异常的原因，是否存在违反监管规定或内部管理制度，内部控制是否存在缺陷。请保荐机构、会计师出具核查意见。</w:t>
      </w:r>
    </w:p>
    <w:p>
      <w:pPr>
        <w:pStyle w:val="19"/>
        <w:numPr>
          <w:ilvl w:val="0"/>
          <w:numId w:val="1"/>
        </w:numPr>
        <w:adjustRightInd w:val="0"/>
        <w:spacing w:line="480" w:lineRule="exact"/>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发行人资金来源较为广泛。请发行人：（1）说明资本金的构成、金额及比例、资本充足率及变化情况，逐项分析资金来源的合规性、稳定性和可持续性；（2）说明报告期内核心负债比例、保证金比例、同业拆入比例；（3）说明主要（不限于前十大，下同）同业机构名称、拆入规模及比例、资金利率及实际使用情况；（4）说明主要理财业务表内核算、表外核算的规模及占比情况，保本理财产品和非保本理财产品的的金额、期限、具体合同条款内容、产品结构，是否单独管理、单独建账、单独核查，是否存在资金池，并逐一说明理财产品的嵌套、结构化安排；（5）补充说明净稳定资金比例、流动性覆盖率、流动性资产充足率、流动性匹配率、流动性比例及其他对投资者决策有用的流动性监测指标情况；（6）分类说明社会储蓄资金比例及资金利率。请保荐机构、会计师核查上述情况说明是否真实准确，说明核查过程与结果，并发表明确意见。</w:t>
      </w:r>
    </w:p>
    <w:p>
      <w:pPr>
        <w:pStyle w:val="19"/>
        <w:numPr>
          <w:ilvl w:val="0"/>
          <w:numId w:val="1"/>
        </w:numPr>
        <w:adjustRightInd w:val="0"/>
        <w:spacing w:line="480" w:lineRule="exact"/>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报告期内各期末（</w:t>
      </w:r>
      <w:r>
        <w:rPr>
          <w:rFonts w:hint="eastAsia" w:ascii="宋体" w:hAnsi="宋体" w:eastAsia="宋体" w:cs="宋体"/>
          <w:bCs/>
          <w:sz w:val="28"/>
          <w:szCs w:val="28"/>
          <w:lang w:val="en-US" w:eastAsia="zh-CN"/>
        </w:rPr>
        <w:t>2017</w:t>
      </w:r>
      <w:r>
        <w:rPr>
          <w:rFonts w:hint="eastAsia" w:ascii="宋体" w:hAnsi="宋体" w:eastAsia="宋体" w:cs="宋体"/>
          <w:sz w:val="28"/>
          <w:szCs w:val="28"/>
          <w:lang w:val="en-US" w:eastAsia="zh-CN"/>
        </w:rPr>
        <w:t>年年末至2019年年末），发行人发放贷款和垫款总额分别为438.48亿元、633.48亿元和834.36亿元。请发行人在招股书补充披露：（1）请披露贷款业务主要集中的行业现状、收益与风险特征等；结合房地产市场调控趋严，房地产业贷款的发放条件，需提供相应抵质押物的具体情况，补充说明发行人对房地产业的贷款占比较高的原因，房地产业贷款质量是否下降，对该类贷款计提的损失准备是否充分。（2）请按业务类别，披露发行人报告期内前十大客户的主要情况，说明超过相关监管指标标准的原因，是否受到监管处罚，是否说明内部控制存在缺陷。（3）请按业务类别，披露发行人报告期内产生不良资产的前十大客户的主要情况，并结合产生不良贷款企业所处行业的具体情况、不良贷款企业及其相关企业相互担保等，说明公司对相关行业或企业减值准备计提是否充分。（4）报告期内不良贷款率变化的原因，报告期内发行人不良贷款率与同行业公司存在明显差异的合理性，是否与当地金融机构存在明显差异及原因。（5）结合发行人贷款定价分布情况，说明公司不良资产拨备与定价分布之间的匹配关系，是否能够有效覆盖信用风险。（6）报告期内关注类资产迁徙率、次级类资产迁徙率变化，请披露出现上述情形的原因，是否说明公司报告期末不良资产划分标准不谨慎。（7）公司贷款风险分类判断依据和执行情况，贷款五级分类标准与同行业可比上市公司相比是否存在重大差异；报告期内不良贷款率变化的原因，按担保方式划分的各类贷款金额和占比变化的原因，贷款减值准备计提标准、方法和执行情况。（8）请发行人结合不良贷款实际发生的地区情况、行业情况，发行人贷款业务集中地区、行业情况，补充说明不良贷款率的准确性，发行人贷款损失准备是否计提充分，发行人相关信用风险揭示是否充分；逾期贷款的地区情况及变化原因，逾期贷款的行业情况及变化原因，逾期贷款未划分为不良贷款的原因。（9）报告期内公司转出和核销不良贷款的具体情况，是否符合相关规定及制度流程，并结合公司转出损益、受让方资信情况，说明是否利益输送。（10）结合银行监管部门检查情况，披露公司贷款业务存在的问题及具体原因，是否存在内部控制缺陷。请保荐机构和会计师核查上述情况，说明核查过程与核查结果，并发表意见。</w:t>
      </w:r>
    </w:p>
    <w:p>
      <w:pPr>
        <w:pStyle w:val="19"/>
        <w:numPr>
          <w:ilvl w:val="0"/>
          <w:numId w:val="1"/>
        </w:numPr>
        <w:adjustRightInd w:val="0"/>
        <w:spacing w:line="480" w:lineRule="exact"/>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请发行人说明：（1）主要贷款客户名称、金额及比例；（2）说明不良贷款报告期内已</w:t>
      </w:r>
      <w:r>
        <w:rPr>
          <w:rFonts w:hint="eastAsia" w:ascii="宋体" w:hAnsi="宋体" w:eastAsia="宋体" w:cs="宋体"/>
          <w:bCs/>
          <w:sz w:val="28"/>
          <w:szCs w:val="28"/>
          <w:lang w:val="en-US" w:eastAsia="zh-CN"/>
        </w:rPr>
        <w:t>完成</w:t>
      </w:r>
      <w:r>
        <w:rPr>
          <w:rFonts w:hint="eastAsia" w:ascii="宋体" w:hAnsi="宋体" w:eastAsia="宋体" w:cs="宋体"/>
          <w:sz w:val="28"/>
          <w:szCs w:val="28"/>
          <w:lang w:val="en-US" w:eastAsia="zh-CN"/>
        </w:rPr>
        <w:t>和计划进行重组、核销或出售的相关明细情况，包括交易对手名称、交易公允性、交易对手方与发行人签署回购协议内容或其他交易情况，不良资产划分是否严格按照监管规则和内部制度进行判断，是否存在不准确的情形；（2）按各层级分支机构列示不良率、不良偏离度（逾期90天贷款/不良贷款）、逾期贷款率，结合客户结构进一步分析前述指标偏离均值或同地区可比上市银行平均水平的原因及合理性；（3）按各层级分支机构列示报告期内借新还旧的金额、比例及续贷资金利率；（4）说明报告期内主要新增贷款客户的名称、成立时间、信用状况、实际经营规模与贷款金额的匹配情况；（5）按各层级分支机构列示报告期各期末不良贷款拨备覆盖率及与同地区可比上市银行的对比情况；（6）结合报告期各月重大不良贷款的还款日期和地区分布的异常情况，说明是否存在利用新增不实贷款客户进行虚减不良贷款规模的情形。请保荐机构和会计师核查上述情况，说明核查过程与核查结果，并发表意见。</w:t>
      </w:r>
    </w:p>
    <w:p>
      <w:pPr>
        <w:pStyle w:val="19"/>
        <w:numPr>
          <w:ilvl w:val="0"/>
          <w:numId w:val="1"/>
        </w:numPr>
        <w:adjustRightInd w:val="0"/>
        <w:spacing w:line="480" w:lineRule="exact"/>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报告期内各期末（2017年年末至2019年年末），发行人报告期各期末金融投资余额分别为1,027.56亿元、899.88亿元、782.04亿元。请发行人：（1）补充披露金融投资各项目的账面价值的具体确定方法，账面价值与公允价值的差异情况及原因，对发行人经营业绩的影响。（2）补充披露金融投资各报告期末资产及其底层资产的资产分级与风险状况，相关减值准备计提是否充分。（3）披露金融投资底层资产的行业分布，是否投资于房地产、“两高一剩”等特殊行业，相关风险是否充分披露。（4）说明同一类资产在不同会计科目中划分标准，是否存在变更的情形，相关会计核算是否符合会计准则的规定。请保荐机构和会计师核查上述情况并发表明确意见。</w:t>
      </w:r>
    </w:p>
    <w:p>
      <w:pPr>
        <w:pStyle w:val="19"/>
        <w:numPr>
          <w:ilvl w:val="0"/>
          <w:numId w:val="1"/>
        </w:numPr>
        <w:adjustRightInd w:val="0"/>
        <w:spacing w:line="480" w:lineRule="exact"/>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关于同业业务。请发行人：（1）披露各类同业投资的构成、金额、比例及其变动情况、期限结构；（2）说明同业投资对手方购买发行人产品具体情况，涉及风险银行的，需进一步披露同业投资减值准备的计提、相关投资收回、解决措施及对发行人的影响；（3）披露同业投资中是否存在“非标”产品及其风险状况，是否符合相关监管规定和要求；（4）说明同业业务的主要流程与风险管控制度，主要会计处理过程及是否符合企业会计准则的规定。请保荐机构、会计师核查上述情况说明是否真实准确，说明核查过程与结果，并发表明确意见。</w:t>
      </w:r>
    </w:p>
    <w:p>
      <w:pPr>
        <w:pStyle w:val="19"/>
        <w:numPr>
          <w:ilvl w:val="0"/>
          <w:numId w:val="1"/>
        </w:numPr>
        <w:adjustRightInd w:val="0"/>
        <w:spacing w:line="480" w:lineRule="exact"/>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关于理财业务。请发行人：（1）披露穿透报告期内主要理财投资业务的底层资产情况，说明其风险评级、期限结构、投资资金来源、持有期间、收益率、兑付承诺、减值准备、会计核算等；（2）披露报告期内通过借助通道方设立定向资管计划、有限合伙股权融资等模式开展业务情况；（3）披露底层资产运行出现重大不利、不及预期的情况及风险；（4）披露担保或抵押资产质量下降或不足的情况及风险；（5）披露资管新规发布后理财业务的核查、产品报备情况，过渡期安排。（6）说明理财业务的主要流程与风险管控制度，主要会计处理过程及是否符合企业会计准则的规定。请保荐机构、会计师核查上述情况说明是否真实准确，说明核查过程与结果，并发表明确意见。</w:t>
      </w:r>
    </w:p>
    <w:p>
      <w:pPr>
        <w:pStyle w:val="19"/>
        <w:numPr>
          <w:ilvl w:val="0"/>
          <w:numId w:val="1"/>
        </w:numPr>
        <w:adjustRightInd w:val="0"/>
        <w:spacing w:line="480" w:lineRule="exact"/>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关于表外业务。请发行人：（1）披露各类表外业务的发行方式、销售方式、客户资金来源、标的资产质量、有关风险报酬及各自承担的权利义务约定；（2）</w:t>
      </w:r>
      <w:r>
        <w:rPr>
          <w:rFonts w:hint="eastAsia" w:ascii="宋体" w:hAnsi="宋体" w:eastAsia="宋体" w:cs="宋体"/>
          <w:bCs/>
          <w:sz w:val="28"/>
          <w:szCs w:val="28"/>
          <w:lang w:val="en-US" w:eastAsia="zh-CN"/>
        </w:rPr>
        <w:t>说明</w:t>
      </w:r>
      <w:r>
        <w:rPr>
          <w:rFonts w:hint="eastAsia" w:ascii="宋体" w:hAnsi="宋体" w:eastAsia="宋体" w:cs="宋体"/>
          <w:sz w:val="28"/>
          <w:szCs w:val="28"/>
          <w:lang w:val="en-US" w:eastAsia="zh-CN"/>
        </w:rPr>
        <w:t>各类表外资产的运作模式、收益来源、收益情况、资产减值情况、杠杆情况、收费标准、违约可能性、影响金额及应对措施，并针对资产风险状况及损失计提作充分披露；（3）披露报告期内使用表内资产购买表外资产、将表内业务转表外业务发生的时间、金额、交易内容、交易对手方，是否存在利益输送。（4）披露表外业务相关主体或载体未纳入表内核算的依据，相关的风险敞口及其确定方法，会计核算是否符合企业会计准则的规定。请保荐机构和会计师核查上述情况，相关会计核算是否符合《企业会计准则》和行业监管规定，并对发行人表外业务是否存在应纳入表内核算而未纳入的情况发表明确意见。请保荐机构、会计师核查上述情况说明是否真实准确，说明核查过程与结果，并发表明确意见。</w:t>
      </w:r>
    </w:p>
    <w:p>
      <w:pPr>
        <w:pStyle w:val="19"/>
        <w:numPr>
          <w:ilvl w:val="0"/>
          <w:numId w:val="1"/>
        </w:numPr>
        <w:adjustRightInd w:val="0"/>
        <w:spacing w:line="480" w:lineRule="exact"/>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请发行人说明主要其他资产的风险状况，是否存在减值风险，是否计提足额减值准备，会计核算是否谨慎。</w:t>
      </w:r>
    </w:p>
    <w:p>
      <w:pPr>
        <w:pStyle w:val="19"/>
        <w:widowControl/>
        <w:numPr>
          <w:ilvl w:val="0"/>
          <w:numId w:val="1"/>
        </w:numPr>
        <w:adjustRightInd w:val="0"/>
        <w:snapToGrid w:val="0"/>
        <w:spacing w:line="480" w:lineRule="exact"/>
        <w:ind w:left="0" w:firstLine="560" w:firstLineChars="200"/>
        <w:rPr>
          <w:rFonts w:hint="eastAsia" w:ascii="宋体" w:hAnsi="宋体" w:eastAsia="宋体" w:cs="宋体"/>
          <w:bCs/>
          <w:sz w:val="28"/>
          <w:szCs w:val="28"/>
        </w:rPr>
      </w:pPr>
      <w:r>
        <w:rPr>
          <w:rFonts w:hint="eastAsia" w:ascii="宋体" w:hAnsi="宋体" w:eastAsia="宋体" w:cs="宋体"/>
          <w:sz w:val="28"/>
          <w:szCs w:val="28"/>
          <w:lang w:val="en-US" w:eastAsia="zh-CN"/>
        </w:rPr>
        <w:t>发行人报告期存在大额的关联交易。请发行人：（1）在招股说明书完整披露公司关联方关系。（2）针对金额较大的关联交易，请结合同类交易价格，说明关联交易的具体内容和交易价格公允性。（3）说明实际控制人直接或间接持有发行人股份比例、出资资金金额及来源，报告期末是否存在挪用发行人资金偿还大额负债的风险；（4）按照“实质重于形式”原则认定发行人的关联方，说明实际控制人控制的关联企业及其董事、监事、高管、核心员工或其他关联人员兼职的关联企业名称及基本情况；（5）说明发行人与关联企业的交易情况，结合关联企业与发行人主要客户的异常交易、关联企业与发行人拆入同业机构之间的重大交易或显失公平的交易等情况，说明是否存在通过关联交易非关联化输送利益或利润操纵的情形；（6）对照监管部门规定，说明各项业务管理架构、决策程序的相关内控制度是否已建立健全，并有效运行；（7）说明发行人股东和董事资格、董事会换届等公司治理是否存在不规范、不符合监管要求的情形、对发行人业务经营的影响以及整改情况。请保荐机构、律师、会计师说明核查过程、方法和结论，并对公司关联方披露是否全面、完整，是否存在未披露的关联关系或关联交易发表明确意见。</w:t>
      </w:r>
    </w:p>
    <w:p>
      <w:pPr>
        <w:pStyle w:val="21"/>
        <w:numPr>
          <w:ilvl w:val="0"/>
          <w:numId w:val="2"/>
        </w:numPr>
        <w:spacing w:before="0" w:line="480" w:lineRule="exact"/>
        <w:ind w:firstLine="562" w:firstLineChars="200"/>
        <w:jc w:val="both"/>
        <w:rPr>
          <w:rFonts w:hint="eastAsia" w:ascii="宋体" w:hAnsi="宋体" w:eastAsia="宋体" w:cs="宋体"/>
          <w:b/>
          <w:bCs w:val="0"/>
          <w:sz w:val="28"/>
          <w:szCs w:val="28"/>
        </w:rPr>
      </w:pPr>
      <w:r>
        <w:rPr>
          <w:rFonts w:hint="eastAsia" w:ascii="宋体" w:hAnsi="宋体" w:eastAsia="宋体" w:cs="宋体"/>
          <w:b/>
          <w:bCs w:val="0"/>
          <w:sz w:val="28"/>
          <w:szCs w:val="28"/>
        </w:rPr>
        <w:t>信息披露问题</w:t>
      </w:r>
    </w:p>
    <w:p>
      <w:pPr>
        <w:pStyle w:val="19"/>
        <w:widowControl/>
        <w:numPr>
          <w:ilvl w:val="0"/>
          <w:numId w:val="1"/>
        </w:numPr>
        <w:adjustRightInd w:val="0"/>
        <w:snapToGrid w:val="0"/>
        <w:spacing w:line="480" w:lineRule="exact"/>
        <w:ind w:left="0" w:firstLine="560" w:firstLineChars="200"/>
        <w:rPr>
          <w:rFonts w:hint="eastAsia" w:ascii="宋体" w:hAnsi="宋体" w:eastAsia="宋体" w:cs="宋体"/>
          <w:bCs/>
          <w:sz w:val="28"/>
          <w:szCs w:val="28"/>
        </w:rPr>
      </w:pPr>
      <w:r>
        <w:rPr>
          <w:rFonts w:hint="eastAsia" w:ascii="宋体" w:hAnsi="宋体" w:eastAsia="宋体" w:cs="宋体"/>
          <w:bCs/>
          <w:sz w:val="28"/>
          <w:szCs w:val="28"/>
        </w:rPr>
        <w:t>请在招股书中披露发行人拥有各项商标、域名截至目前的法律状态，是否存在被注销、终止等异常情况，是否存在商标权、域名权法律纠纷，商标权、域名权的取得和使用是否存在重大变化的不利影响，权利续期是否存在重大障碍。请保荐机构、发行人律师发表核查意见。</w:t>
      </w:r>
    </w:p>
    <w:p>
      <w:pPr>
        <w:pStyle w:val="19"/>
        <w:widowControl/>
        <w:numPr>
          <w:ilvl w:val="0"/>
          <w:numId w:val="1"/>
        </w:numPr>
        <w:adjustRightInd w:val="0"/>
        <w:snapToGrid w:val="0"/>
        <w:spacing w:line="480" w:lineRule="exact"/>
        <w:ind w:left="0" w:firstLine="560" w:firstLineChars="200"/>
        <w:rPr>
          <w:rFonts w:hint="eastAsia" w:ascii="宋体" w:hAnsi="宋体" w:eastAsia="宋体" w:cs="宋体"/>
          <w:bCs/>
          <w:sz w:val="28"/>
          <w:szCs w:val="28"/>
        </w:rPr>
      </w:pPr>
      <w:r>
        <w:rPr>
          <w:rFonts w:hint="eastAsia" w:ascii="宋体" w:hAnsi="宋体" w:eastAsia="宋体" w:cs="宋体"/>
          <w:bCs/>
          <w:sz w:val="28"/>
          <w:szCs w:val="28"/>
        </w:rPr>
        <w:t>报告期，发行人收到监管部门多项监管意见和行政处罚决定，上述意见和决定指出发行人多个方面存在问题，如违规投资用于支付土地出让金的信托计划、违反集中度控制规定问题、违规发放流动资金贷款、违规办理无真实贸易背景银行承兑汇票授信项下业务等。请发行人（1）逐项说明报告期历次监管意见和行政处罚涉及的问题、性质、金额及占同类业务比重、产生原因、整改情况以及是否取得监管部门认可；（2）说明历次收到监管意见和行政处罚后，发行人是否对相同或类似问题进行全面梳理、自查、整改；说明反复收到监管部门监管意见和行政处罚的原因，部分问题反复出现的原因，是否反映发行人内部控制存在重大缺陷。请保荐机构、发行人律师、申报会计师详细说明对以下事项的核查情况和核查意见：历次监管意见和行政处罚涉及问题的性质，截至首次提交申报材料审计截止日，上述问题整改情况以及是否到位；发行人对涉及的相同或类似问题是否已全面核查并整改到位；发行人针对监管意见、行政处罚涉及问题，在内控方面的整改措施；发行人反复收到监管部门监管意见和行政处罚的原因，部分问题反复出现的原因，是否反映发行人内部控制存在重大缺陷；首次提交申报材料审计截止日以来，发行人是否发生相同或类似问题，是否已排除或不存在重大风险隐患；发行人的财务内控在提交申报材料的审计截止日后是否能够持续符合规范性要求，能够合理保证公司运行效率、合法合规和财务报告的可靠性，不存在影响发行条件的情形。</w:t>
      </w:r>
    </w:p>
    <w:p>
      <w:pPr>
        <w:pStyle w:val="19"/>
        <w:widowControl/>
        <w:numPr>
          <w:ilvl w:val="0"/>
          <w:numId w:val="1"/>
        </w:numPr>
        <w:adjustRightInd w:val="0"/>
        <w:snapToGrid w:val="0"/>
        <w:spacing w:line="480" w:lineRule="exact"/>
        <w:ind w:left="0" w:firstLine="560" w:firstLineChars="200"/>
        <w:rPr>
          <w:rFonts w:hint="eastAsia" w:ascii="宋体" w:hAnsi="宋体" w:eastAsia="宋体" w:cs="宋体"/>
          <w:bCs/>
          <w:sz w:val="28"/>
          <w:szCs w:val="28"/>
        </w:rPr>
      </w:pPr>
      <w:r>
        <w:rPr>
          <w:rFonts w:hint="eastAsia" w:ascii="宋体" w:hAnsi="宋体" w:eastAsia="宋体" w:cs="宋体"/>
          <w:bCs/>
          <w:sz w:val="28"/>
          <w:szCs w:val="28"/>
        </w:rPr>
        <w:t>请发行人披露报告期发行或存续的非保本理财产品是否存在无法如期兑付的情况，如存在，说明解决过程、结果和后续影响；报告期是否存在刚性兑付的情况，如存在，分析说明未将上述理财产品纳入合并报表范围的恰当性。结合监管机构已出台关于商业银行经营资产管理业务的监管规定及其配套实施细则，分析发行人资产管理业务和资管产品是否合规。请保荐机构、发行人律师、申报会计师说明对上述事项的核查情况和意见。</w:t>
      </w:r>
    </w:p>
    <w:p>
      <w:pPr>
        <w:pStyle w:val="19"/>
        <w:widowControl/>
        <w:numPr>
          <w:ilvl w:val="0"/>
          <w:numId w:val="1"/>
        </w:numPr>
        <w:adjustRightInd w:val="0"/>
        <w:snapToGrid w:val="0"/>
        <w:spacing w:line="480" w:lineRule="exact"/>
        <w:ind w:left="0" w:firstLine="560" w:firstLineChars="200"/>
        <w:rPr>
          <w:rFonts w:hint="eastAsia" w:ascii="宋体" w:hAnsi="宋体" w:eastAsia="宋体" w:cs="宋体"/>
          <w:bCs/>
          <w:sz w:val="28"/>
          <w:szCs w:val="28"/>
        </w:rPr>
      </w:pPr>
      <w:r>
        <w:rPr>
          <w:rFonts w:hint="eastAsia" w:ascii="宋体" w:hAnsi="宋体" w:eastAsia="宋体" w:cs="宋体"/>
          <w:bCs/>
          <w:sz w:val="28"/>
          <w:szCs w:val="28"/>
        </w:rPr>
        <w:t>发行保荐工作报告披露，1998年2月16日，</w:t>
      </w:r>
      <w:r>
        <w:rPr>
          <w:rFonts w:hint="eastAsia" w:ascii="宋体" w:hAnsi="宋体" w:eastAsia="宋体" w:cs="宋体"/>
          <w:bCs/>
          <w:sz w:val="28"/>
          <w:szCs w:val="28"/>
          <w:lang w:eastAsia="zh-CN"/>
        </w:rPr>
        <w:t>公司</w:t>
      </w:r>
      <w:r>
        <w:rPr>
          <w:rFonts w:hint="eastAsia" w:ascii="宋体" w:hAnsi="宋体" w:eastAsia="宋体" w:cs="宋体"/>
          <w:bCs/>
          <w:sz w:val="28"/>
          <w:szCs w:val="28"/>
        </w:rPr>
        <w:t>向原万县市工商局申请登记注册、办理法人营业执照的过程中，由于当时的原因，在确定</w:t>
      </w:r>
      <w:r>
        <w:rPr>
          <w:rFonts w:hint="eastAsia" w:ascii="宋体" w:hAnsi="宋体" w:eastAsia="宋体" w:cs="宋体"/>
          <w:bCs/>
          <w:sz w:val="28"/>
          <w:szCs w:val="28"/>
          <w:lang w:eastAsia="zh-CN"/>
        </w:rPr>
        <w:t>公司</w:t>
      </w:r>
      <w:r>
        <w:rPr>
          <w:rFonts w:hint="eastAsia" w:ascii="宋体" w:hAnsi="宋体" w:eastAsia="宋体" w:cs="宋体"/>
          <w:bCs/>
          <w:sz w:val="28"/>
          <w:szCs w:val="28"/>
        </w:rPr>
        <w:t>经济性质栏目选择时，因没有股份有限公司备选项，只得选择了股份合作制，造成</w:t>
      </w:r>
      <w:r>
        <w:rPr>
          <w:rFonts w:hint="eastAsia" w:ascii="宋体" w:hAnsi="宋体" w:eastAsia="宋体" w:cs="宋体"/>
          <w:bCs/>
          <w:sz w:val="28"/>
          <w:szCs w:val="28"/>
          <w:lang w:eastAsia="zh-CN"/>
        </w:rPr>
        <w:t>公司</w:t>
      </w:r>
      <w:r>
        <w:rPr>
          <w:rFonts w:hint="eastAsia" w:ascii="宋体" w:hAnsi="宋体" w:eastAsia="宋体" w:cs="宋体"/>
          <w:bCs/>
          <w:sz w:val="28"/>
          <w:szCs w:val="28"/>
        </w:rPr>
        <w:t>营业执照的经济性质从登记注册之日起一直被登记为股份合作制，其定性与中国人民银行批复和万州市商业银行章程均不相符。请发行人补充披露将发行人设立伊始的企业性质表述为“股份有限公司”是否符合当时有效的《公司法》及《公司登记管理条例》</w:t>
      </w:r>
      <w:r>
        <w:rPr>
          <w:rFonts w:hint="eastAsia" w:ascii="宋体" w:hAnsi="宋体" w:eastAsia="宋体" w:cs="宋体"/>
          <w:bCs/>
          <w:sz w:val="28"/>
          <w:szCs w:val="28"/>
          <w:lang w:eastAsia="zh-CN"/>
        </w:rPr>
        <w:t>等</w:t>
      </w:r>
      <w:r>
        <w:rPr>
          <w:rFonts w:hint="eastAsia" w:ascii="宋体" w:hAnsi="宋体" w:eastAsia="宋体" w:cs="宋体"/>
          <w:bCs/>
          <w:sz w:val="28"/>
          <w:szCs w:val="28"/>
        </w:rPr>
        <w:t>规定，相关表述是否恰当。请保荐机构和发行人律师核查并发表明确意见。</w:t>
      </w:r>
    </w:p>
    <w:p>
      <w:pPr>
        <w:pStyle w:val="19"/>
        <w:widowControl/>
        <w:numPr>
          <w:ilvl w:val="0"/>
          <w:numId w:val="1"/>
        </w:numPr>
        <w:adjustRightInd w:val="0"/>
        <w:snapToGrid w:val="0"/>
        <w:spacing w:line="480" w:lineRule="exact"/>
        <w:ind w:left="0" w:firstLine="560" w:firstLineChars="200"/>
        <w:rPr>
          <w:rFonts w:hint="eastAsia" w:ascii="宋体" w:hAnsi="宋体" w:eastAsia="宋体" w:cs="宋体"/>
          <w:bCs/>
          <w:sz w:val="28"/>
          <w:szCs w:val="28"/>
        </w:rPr>
      </w:pPr>
      <w:r>
        <w:rPr>
          <w:rFonts w:hint="eastAsia" w:ascii="宋体" w:hAnsi="宋体" w:eastAsia="宋体" w:cs="宋体"/>
          <w:bCs/>
          <w:sz w:val="28"/>
          <w:szCs w:val="28"/>
        </w:rPr>
        <w:t>请发行人补充说明（1）是否存在欠缴社会保险费、住房公积金的具体情况，如存在，请说明形成的原因并分析欠缴部分对发行人财务指标的影响；如存在欠缴社会保险费、住房公积金的情形，请说明该情形是否构成重大违法行为及本次发行上市的实质性障碍，并请发行人提出明确的处理措施并予以披露；（2）报告期各期，劳务派遣员工的人数、占比、各项社会保险及公积金的缴纳情况以及发行人与其员工之间是否存在劳动合同纠纷的情况，说明发行人劳务派遣方式的用工制度是否符合国家有关规定。请保荐机构和发行人律师核查并发表明确意见。</w:t>
      </w:r>
    </w:p>
    <w:p>
      <w:pPr>
        <w:pStyle w:val="19"/>
        <w:widowControl/>
        <w:numPr>
          <w:ilvl w:val="0"/>
          <w:numId w:val="1"/>
        </w:numPr>
        <w:adjustRightInd w:val="0"/>
        <w:snapToGrid w:val="0"/>
        <w:spacing w:line="480" w:lineRule="exact"/>
        <w:ind w:left="0" w:firstLine="560" w:firstLineChars="200"/>
        <w:rPr>
          <w:rFonts w:hint="eastAsia" w:ascii="宋体" w:hAnsi="宋体" w:eastAsia="宋体" w:cs="宋体"/>
          <w:bCs/>
          <w:sz w:val="28"/>
          <w:szCs w:val="28"/>
        </w:rPr>
      </w:pPr>
      <w:r>
        <w:rPr>
          <w:rFonts w:hint="eastAsia" w:ascii="宋体" w:hAnsi="宋体" w:eastAsia="宋体" w:cs="宋体"/>
          <w:bCs/>
          <w:sz w:val="28"/>
          <w:szCs w:val="28"/>
        </w:rPr>
        <w:t>请保荐机构和发行人律师核查并补充披露：（1）报告期内在央行、银保监、外汇、工商、税务、社会保险公积金、劳动等方面是否存在违法违规行为，如果存在，是否属于重大违法违规行为；（2）请补充披露报告期内发行人历次检查和审计指出的不足情况以及公司相应的整改情况，特别是在贷款分类的准确性等方面，以及上述整改对公司内部控制的影响；（3）请结合目前的宏观调控政策、国际发展现状、银行业务特点等，针对重点风险领域，包括但不限于小微企业贷款、房地产贷款、“两高一剩”贷款、政府融资平台贷款、扶贫贷款、向涉农客户发放贷款、金融资产投资业务、理财业务、表外业务等进行核查，就重点风险领域业务是否合法合规发表意见，并就相关业务风险予以披露。</w:t>
      </w:r>
    </w:p>
    <w:p>
      <w:pPr>
        <w:pStyle w:val="19"/>
        <w:widowControl/>
        <w:numPr>
          <w:ilvl w:val="0"/>
          <w:numId w:val="1"/>
        </w:numPr>
        <w:adjustRightInd w:val="0"/>
        <w:snapToGrid w:val="0"/>
        <w:spacing w:line="480" w:lineRule="exact"/>
        <w:ind w:left="0" w:firstLine="560" w:firstLineChars="200"/>
        <w:rPr>
          <w:rFonts w:hint="eastAsia" w:ascii="宋体" w:hAnsi="宋体" w:eastAsia="宋体" w:cs="宋体"/>
          <w:bCs/>
          <w:sz w:val="28"/>
          <w:szCs w:val="28"/>
        </w:rPr>
      </w:pPr>
      <w:r>
        <w:rPr>
          <w:rFonts w:hint="eastAsia" w:ascii="宋体" w:hAnsi="宋体" w:eastAsia="宋体" w:cs="宋体"/>
          <w:bCs/>
          <w:sz w:val="28"/>
          <w:szCs w:val="28"/>
          <w:lang w:eastAsia="zh-CN"/>
        </w:rPr>
        <w:t>发行人公开披露的</w:t>
      </w:r>
      <w:r>
        <w:rPr>
          <w:rFonts w:hint="eastAsia" w:ascii="宋体" w:hAnsi="宋体" w:eastAsia="宋体" w:cs="宋体"/>
          <w:b w:val="0"/>
          <w:bCs/>
          <w:sz w:val="28"/>
          <w:szCs w:val="28"/>
        </w:rPr>
        <w:t>2019年年报关于分行业的贷款结构和招股书申报稿的</w:t>
      </w:r>
      <w:r>
        <w:rPr>
          <w:rFonts w:hint="eastAsia" w:ascii="宋体" w:hAnsi="宋体" w:eastAsia="宋体" w:cs="宋体"/>
          <w:b w:val="0"/>
          <w:bCs/>
          <w:sz w:val="28"/>
          <w:szCs w:val="28"/>
          <w:lang w:eastAsia="zh-CN"/>
        </w:rPr>
        <w:t>对应</w:t>
      </w:r>
      <w:r>
        <w:rPr>
          <w:rFonts w:hint="eastAsia" w:ascii="宋体" w:hAnsi="宋体" w:eastAsia="宋体" w:cs="宋体"/>
          <w:b w:val="0"/>
          <w:bCs/>
          <w:sz w:val="28"/>
          <w:szCs w:val="28"/>
        </w:rPr>
        <w:t>披露不一致</w:t>
      </w:r>
      <w:r>
        <w:rPr>
          <w:rFonts w:hint="eastAsia" w:ascii="宋体" w:hAnsi="宋体" w:eastAsia="宋体" w:cs="宋体"/>
          <w:b w:val="0"/>
          <w:bCs/>
          <w:sz w:val="28"/>
          <w:szCs w:val="28"/>
          <w:lang w:eastAsia="zh-CN"/>
        </w:rPr>
        <w:t>。</w:t>
      </w:r>
      <w:r>
        <w:rPr>
          <w:rFonts w:hint="eastAsia" w:ascii="宋体" w:hAnsi="宋体" w:eastAsia="宋体" w:cs="宋体"/>
          <w:bCs/>
          <w:sz w:val="28"/>
          <w:szCs w:val="28"/>
        </w:rPr>
        <w:t>请保荐机构、发行人律师、申报会计师核查发行人报告期历年年报等发行人公开资料和IPO申报招股书数据不一致情形以及原因，是否涉及虚假记载、误导性陈述或者重大遗漏</w:t>
      </w:r>
      <w:r>
        <w:rPr>
          <w:rFonts w:hint="eastAsia" w:ascii="宋体" w:hAnsi="宋体" w:eastAsia="宋体" w:cs="宋体"/>
          <w:bCs/>
          <w:sz w:val="28"/>
          <w:szCs w:val="28"/>
          <w:lang w:eastAsia="zh-CN"/>
        </w:rPr>
        <w:t>等</w:t>
      </w:r>
      <w:r>
        <w:rPr>
          <w:rFonts w:hint="eastAsia" w:ascii="宋体" w:hAnsi="宋体" w:eastAsia="宋体" w:cs="宋体"/>
          <w:bCs/>
          <w:sz w:val="28"/>
          <w:szCs w:val="28"/>
        </w:rPr>
        <w:t>情形，并请发表明确意见。</w:t>
      </w:r>
    </w:p>
    <w:p>
      <w:pPr>
        <w:pStyle w:val="19"/>
        <w:widowControl/>
        <w:numPr>
          <w:ilvl w:val="0"/>
          <w:numId w:val="1"/>
        </w:numPr>
        <w:adjustRightInd w:val="0"/>
        <w:snapToGrid w:val="0"/>
        <w:spacing w:line="480" w:lineRule="exact"/>
        <w:ind w:left="0" w:firstLine="560" w:firstLineChars="200"/>
        <w:rPr>
          <w:rFonts w:hint="eastAsia" w:ascii="宋体" w:hAnsi="宋体" w:eastAsia="宋体" w:cs="宋体"/>
          <w:bCs/>
          <w:sz w:val="28"/>
          <w:szCs w:val="28"/>
        </w:rPr>
      </w:pPr>
      <w:r>
        <w:rPr>
          <w:rFonts w:hint="eastAsia" w:ascii="宋体" w:hAnsi="宋体" w:eastAsia="宋体" w:cs="宋体"/>
          <w:bCs/>
          <w:sz w:val="28"/>
          <w:szCs w:val="28"/>
        </w:rPr>
        <w:t>请保荐机构和发行人律师核查并补充披露：（1）发行人董事、监事、高管、核心技术人员是否存在竞业禁止协议或利益冲突等事项；结合发行人最近三年董事、高级管理人员的变化情况，说明是否构成重大变化；（2）发行人董事、监事、高管人员任职是否符合公司法、中组部以及教育部关于党政领导干部在企业兼职（任职）问题的相关规定以及适用法律法规的规定；（3）请按照招股书准则披露发行人董监高及核心技术人员最近一年从发行人及其关联企业领取收入的情况。</w:t>
      </w:r>
    </w:p>
    <w:p>
      <w:pPr>
        <w:pStyle w:val="19"/>
        <w:widowControl/>
        <w:numPr>
          <w:ilvl w:val="0"/>
          <w:numId w:val="1"/>
        </w:numPr>
        <w:adjustRightInd w:val="0"/>
        <w:snapToGrid w:val="0"/>
        <w:spacing w:line="480" w:lineRule="exact"/>
        <w:ind w:left="0" w:firstLine="560" w:firstLineChars="200"/>
        <w:rPr>
          <w:rFonts w:hint="eastAsia" w:ascii="宋体" w:hAnsi="宋体" w:eastAsia="宋体" w:cs="宋体"/>
          <w:bCs/>
          <w:sz w:val="28"/>
          <w:szCs w:val="28"/>
        </w:rPr>
      </w:pPr>
      <w:r>
        <w:rPr>
          <w:rFonts w:hint="eastAsia" w:ascii="宋体" w:hAnsi="宋体" w:eastAsia="宋体" w:cs="宋体"/>
          <w:bCs/>
          <w:sz w:val="28"/>
          <w:szCs w:val="28"/>
        </w:rPr>
        <w:t>请保荐机构、律师核查（1）发行人、控股股东、实际控制人与其他股东是否签署对赌协议，是否存在以发行人为对赌对象的相关条款或违反法律法规禁止性规定的其他情形，是否存在触发对赌协议生效的情形，发行人、控股股东及实际控制人是否存在应履行未履行的义务，发行人股权是否清晰；（2）发行人股东中是否存在私募投资基金；私募基金及其管理人是否按《私募投资基金监督管理暂行办法》及《私募投资基金管理人登记和基金备案办法（试行）》等相关法律法规规定履行登记备案程序以及是否存在契约基金、信托计划、资产管理计划等三类股东，并发表专项核查意见；（3）发行人及其子公司的税收优惠政策</w:t>
      </w:r>
      <w:r>
        <w:rPr>
          <w:rFonts w:hint="eastAsia" w:ascii="宋体" w:hAnsi="宋体" w:eastAsia="宋体" w:cs="宋体"/>
          <w:bCs/>
          <w:sz w:val="28"/>
          <w:szCs w:val="28"/>
          <w:lang w:eastAsia="zh-CN"/>
        </w:rPr>
        <w:t>（如有）</w:t>
      </w:r>
      <w:r>
        <w:rPr>
          <w:rFonts w:hint="eastAsia" w:ascii="宋体" w:hAnsi="宋体" w:eastAsia="宋体" w:cs="宋体"/>
          <w:bCs/>
          <w:sz w:val="28"/>
          <w:szCs w:val="28"/>
        </w:rPr>
        <w:t>是否具有可持续性，发行人的经营成果对税收优惠是否存在重大依赖。</w:t>
      </w:r>
    </w:p>
    <w:p>
      <w:pPr>
        <w:pStyle w:val="19"/>
        <w:widowControl/>
        <w:numPr>
          <w:ilvl w:val="0"/>
          <w:numId w:val="1"/>
        </w:numPr>
        <w:adjustRightInd w:val="0"/>
        <w:snapToGrid w:val="0"/>
        <w:spacing w:line="480" w:lineRule="exact"/>
        <w:ind w:left="0" w:firstLine="560" w:firstLineChars="200"/>
        <w:rPr>
          <w:rFonts w:hint="eastAsia" w:ascii="宋体" w:hAnsi="宋体" w:eastAsia="宋体" w:cs="宋体"/>
          <w:bCs/>
          <w:sz w:val="28"/>
          <w:szCs w:val="28"/>
        </w:rPr>
      </w:pPr>
      <w:r>
        <w:rPr>
          <w:rFonts w:hint="eastAsia" w:ascii="宋体" w:hAnsi="宋体" w:eastAsia="宋体" w:cs="宋体"/>
          <w:bCs/>
          <w:sz w:val="28"/>
          <w:szCs w:val="28"/>
        </w:rPr>
        <w:t>请进一步披露各期向地方政府融资平台发放贷款情况，包括是否正常收回、各期末逾期金额和比例、是否形成不良贷款及其处置情况、处置损益。请保荐机构核查相关风险披露是否充分。</w:t>
      </w:r>
    </w:p>
    <w:p>
      <w:pPr>
        <w:pStyle w:val="19"/>
        <w:widowControl/>
        <w:numPr>
          <w:ilvl w:val="0"/>
          <w:numId w:val="1"/>
        </w:numPr>
        <w:adjustRightInd w:val="0"/>
        <w:snapToGrid w:val="0"/>
        <w:spacing w:line="480" w:lineRule="exact"/>
        <w:ind w:left="0" w:firstLine="560" w:firstLineChars="200"/>
        <w:rPr>
          <w:rFonts w:hint="eastAsia" w:ascii="宋体" w:hAnsi="宋体" w:eastAsia="宋体" w:cs="宋体"/>
          <w:bCs/>
          <w:sz w:val="28"/>
          <w:szCs w:val="28"/>
        </w:rPr>
      </w:pPr>
      <w:r>
        <w:rPr>
          <w:rFonts w:hint="eastAsia" w:ascii="宋体" w:hAnsi="宋体" w:eastAsia="宋体" w:cs="宋体"/>
          <w:bCs/>
          <w:sz w:val="28"/>
          <w:szCs w:val="28"/>
        </w:rPr>
        <w:t>请保荐机构和发行人律师核查发行人报告期内风险监管核心指标是否符合银行业监管部门的相关规定，报告期内监管评级、风险监管核心指标的变动情况及变动原因。</w:t>
      </w:r>
    </w:p>
    <w:p>
      <w:pPr>
        <w:pStyle w:val="19"/>
        <w:widowControl/>
        <w:numPr>
          <w:ilvl w:val="0"/>
          <w:numId w:val="1"/>
        </w:numPr>
        <w:adjustRightInd w:val="0"/>
        <w:snapToGrid w:val="0"/>
        <w:spacing w:line="480" w:lineRule="exact"/>
        <w:ind w:left="0" w:firstLine="560" w:firstLineChars="200"/>
        <w:rPr>
          <w:rFonts w:hint="eastAsia" w:ascii="宋体" w:hAnsi="宋体" w:eastAsia="宋体" w:cs="宋体"/>
          <w:bCs/>
          <w:sz w:val="28"/>
          <w:szCs w:val="28"/>
        </w:rPr>
      </w:pPr>
      <w:r>
        <w:rPr>
          <w:rFonts w:hint="eastAsia" w:ascii="宋体" w:hAnsi="宋体" w:eastAsia="宋体" w:cs="宋体"/>
          <w:bCs/>
          <w:sz w:val="28"/>
          <w:szCs w:val="28"/>
        </w:rPr>
        <w:t>招股书披露，发行人主要在重庆市经营。请发行人补充披露（1）重庆市各行业GDP、利润规模情况与发行人在各行业贷款规模的对比，并说明发行人业务集中度与当地GDP是否匹配；（2）请对比披露报告期同地区银行的同类贷款利率、存款利率情况及常见存贷款政策，并说明存在的差异及合理性；（3）请结合报告期员工及外包人员情况、营业网点数量、业务规模、物业及设备等，补充说明人员、业务、费用的匹配关系及合理性。请保荐机构、</w:t>
      </w:r>
      <w:r>
        <w:rPr>
          <w:rFonts w:hint="eastAsia" w:ascii="宋体" w:hAnsi="宋体" w:eastAsia="宋体" w:cs="宋体"/>
          <w:bCs/>
          <w:sz w:val="28"/>
          <w:szCs w:val="28"/>
          <w:lang w:eastAsia="zh-CN"/>
        </w:rPr>
        <w:t>发行人律师、申报</w:t>
      </w:r>
      <w:r>
        <w:rPr>
          <w:rFonts w:hint="eastAsia" w:ascii="宋体" w:hAnsi="宋体" w:eastAsia="宋体" w:cs="宋体"/>
          <w:bCs/>
          <w:sz w:val="28"/>
          <w:szCs w:val="28"/>
        </w:rPr>
        <w:t>会计师核查并发表明确意见。</w:t>
      </w:r>
    </w:p>
    <w:p>
      <w:pPr>
        <w:pStyle w:val="19"/>
        <w:widowControl/>
        <w:numPr>
          <w:ilvl w:val="0"/>
          <w:numId w:val="1"/>
        </w:numPr>
        <w:adjustRightInd w:val="0"/>
        <w:snapToGrid w:val="0"/>
        <w:spacing w:line="480" w:lineRule="exact"/>
        <w:ind w:left="0" w:firstLine="560" w:firstLineChars="200"/>
        <w:rPr>
          <w:rFonts w:hint="eastAsia" w:ascii="宋体" w:hAnsi="宋体" w:eastAsia="宋体" w:cs="宋体"/>
          <w:bCs/>
          <w:sz w:val="28"/>
          <w:szCs w:val="28"/>
        </w:rPr>
      </w:pPr>
      <w:r>
        <w:rPr>
          <w:rFonts w:hint="eastAsia" w:ascii="宋体" w:hAnsi="宋体" w:eastAsia="宋体" w:cs="宋体"/>
          <w:bCs/>
          <w:sz w:val="28"/>
          <w:szCs w:val="28"/>
        </w:rPr>
        <w:t>招股书披露，</w:t>
      </w:r>
      <w:r>
        <w:rPr>
          <w:rFonts w:hint="eastAsia" w:ascii="宋体" w:hAnsi="宋体" w:eastAsia="宋体" w:cs="宋体"/>
          <w:bCs/>
          <w:sz w:val="28"/>
          <w:szCs w:val="28"/>
          <w:lang w:eastAsia="zh-CN"/>
        </w:rPr>
        <w:t>公司</w:t>
      </w:r>
      <w:r>
        <w:rPr>
          <w:rFonts w:hint="eastAsia" w:ascii="宋体" w:hAnsi="宋体" w:eastAsia="宋体" w:cs="宋体"/>
          <w:bCs/>
          <w:sz w:val="28"/>
          <w:szCs w:val="28"/>
        </w:rPr>
        <w:t>无控股子公司，但存在参股城市商业银行资金清算中心、重庆钢铁情形。请保荐机构和发行人律师对发行人参股上述公司是否符合法律法规规定发表明确意见。</w:t>
      </w:r>
    </w:p>
    <w:p>
      <w:pPr>
        <w:pStyle w:val="19"/>
        <w:numPr>
          <w:ilvl w:val="0"/>
          <w:numId w:val="1"/>
        </w:numPr>
        <w:adjustRightInd w:val="0"/>
        <w:spacing w:line="480" w:lineRule="exact"/>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请发行人补充说明银监会《监管意见书》的出具情况，主要内容，发行人对相关问题的规范或说明情况。请保荐机构核查并发表意见。</w:t>
      </w:r>
    </w:p>
    <w:p>
      <w:pPr>
        <w:pStyle w:val="19"/>
        <w:numPr>
          <w:ilvl w:val="0"/>
          <w:numId w:val="1"/>
        </w:numPr>
        <w:adjustRightInd w:val="0"/>
        <w:spacing w:line="480" w:lineRule="exact"/>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请发行人补充说明报告期内监管部门对公司审查指出的不足情况以及公司相应的整改情况，特别是在贷款分类的准确性等方面，以及上述整改对公司内部控制的影响情况。</w:t>
      </w:r>
    </w:p>
    <w:p>
      <w:pPr>
        <w:pStyle w:val="19"/>
        <w:numPr>
          <w:ilvl w:val="0"/>
          <w:numId w:val="1"/>
        </w:numPr>
        <w:adjustRightInd w:val="0"/>
        <w:spacing w:line="480" w:lineRule="exact"/>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请发行人补充说明执行银监会、人民银行近期主要监管政策情况，如MPA、资管新规、</w:t>
      </w:r>
      <w:r>
        <w:rPr>
          <w:rFonts w:hint="eastAsia" w:ascii="宋体" w:hAnsi="宋体" w:eastAsia="宋体" w:cs="宋体"/>
          <w:bCs/>
          <w:sz w:val="28"/>
          <w:szCs w:val="28"/>
          <w:lang w:val="en-US" w:eastAsia="zh-CN"/>
        </w:rPr>
        <w:t>理财</w:t>
      </w:r>
      <w:r>
        <w:rPr>
          <w:rFonts w:hint="eastAsia" w:ascii="宋体" w:hAnsi="宋体" w:eastAsia="宋体" w:cs="宋体"/>
          <w:sz w:val="28"/>
          <w:szCs w:val="28"/>
          <w:lang w:val="en-US" w:eastAsia="zh-CN"/>
        </w:rPr>
        <w:t>新规等，披露对发行人的影响、公司业务开展和合规的相关风险。请保荐机构核查并发表意见。</w:t>
      </w:r>
    </w:p>
    <w:p>
      <w:pPr>
        <w:pStyle w:val="19"/>
        <w:numPr>
          <w:ilvl w:val="0"/>
          <w:numId w:val="1"/>
        </w:numPr>
        <w:adjustRightInd w:val="0"/>
        <w:spacing w:line="480" w:lineRule="exact"/>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请保荐机构对照《</w:t>
      </w:r>
      <w:r>
        <w:rPr>
          <w:rFonts w:hint="eastAsia" w:ascii="宋体" w:hAnsi="宋体" w:eastAsia="宋体" w:cs="宋体"/>
          <w:bCs/>
          <w:sz w:val="28"/>
          <w:szCs w:val="28"/>
          <w:lang w:val="en-US" w:eastAsia="zh-CN"/>
        </w:rPr>
        <w:t>发行</w:t>
      </w:r>
      <w:r>
        <w:rPr>
          <w:rFonts w:hint="eastAsia" w:ascii="宋体" w:hAnsi="宋体" w:eastAsia="宋体" w:cs="宋体"/>
          <w:sz w:val="28"/>
          <w:szCs w:val="28"/>
          <w:lang w:val="en-US" w:eastAsia="zh-CN"/>
        </w:rPr>
        <w:t>监管问答——中小商业银行发行上市审核》（2015年5月29日发布）的相关要求，逐项说明发行人的相关情况及原因，保荐机构对相关情况的核查情况，说明核查方式、核查过程、取得的核查结果的核查结论。</w:t>
      </w:r>
    </w:p>
    <w:p>
      <w:pPr>
        <w:pStyle w:val="19"/>
        <w:numPr>
          <w:ilvl w:val="0"/>
          <w:numId w:val="1"/>
        </w:numPr>
        <w:adjustRightInd w:val="0"/>
        <w:spacing w:line="480" w:lineRule="exact"/>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请保荐机构对照《公开发行证券的公司信息披露编报规则第26号——商业银行信息披露</w:t>
      </w:r>
      <w:r>
        <w:rPr>
          <w:rFonts w:hint="eastAsia" w:ascii="宋体" w:hAnsi="宋体" w:eastAsia="宋体" w:cs="宋体"/>
          <w:bCs/>
          <w:sz w:val="28"/>
          <w:szCs w:val="28"/>
          <w:lang w:val="en-US" w:eastAsia="zh-CN"/>
        </w:rPr>
        <w:t>特别</w:t>
      </w:r>
      <w:r>
        <w:rPr>
          <w:rFonts w:hint="eastAsia" w:ascii="宋体" w:hAnsi="宋体" w:eastAsia="宋体" w:cs="宋体"/>
          <w:sz w:val="28"/>
          <w:szCs w:val="28"/>
          <w:lang w:val="en-US" w:eastAsia="zh-CN"/>
        </w:rPr>
        <w:t>规定（2014年修订）》（证监会公告[2014]3号）的相关要求，逐项说明发行人对相关信息披露要求的落实情况。</w:t>
      </w:r>
    </w:p>
    <w:p>
      <w:pPr>
        <w:pStyle w:val="19"/>
        <w:numPr>
          <w:ilvl w:val="0"/>
          <w:numId w:val="1"/>
        </w:numPr>
        <w:adjustRightInd w:val="0"/>
        <w:spacing w:line="480" w:lineRule="exact"/>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请在招股说明书“管理层讨论与分析”中：（1）对比已上市银行结合各个生息资产、付息负债分别占总生息资产和总付息负债的比例、平均收益率、平均成本率、贷款结构及存款结构等情况说明发行人净利差和净利息收益率与同行业上市银行是否存在明显差异及其原因。（2）对比公司成本费用率与同行业公司的差异，说明原因并披露风险。请保荐机构及会计师对上述事项进行核查并发表明确意见。</w:t>
      </w:r>
    </w:p>
    <w:p>
      <w:pPr>
        <w:pStyle w:val="19"/>
        <w:numPr>
          <w:ilvl w:val="0"/>
          <w:numId w:val="1"/>
        </w:numPr>
        <w:adjustRightInd w:val="0"/>
        <w:spacing w:line="480" w:lineRule="exact"/>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请在招股说明书中披露：报告期内诉讼业务的具体情况，包括表内业务和表外业务；或有事项的处理是否符合企业会计准则的规定，是否存在应计预计负债而未计提的情形。</w:t>
      </w:r>
    </w:p>
    <w:p>
      <w:pPr>
        <w:pStyle w:val="19"/>
        <w:numPr>
          <w:ilvl w:val="0"/>
          <w:numId w:val="1"/>
        </w:numPr>
        <w:adjustRightInd w:val="0"/>
        <w:spacing w:line="480" w:lineRule="exact"/>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请在招股说明书中补充披露：（1）公司员工薪酬制度、各级别、各类岗位员工收入</w:t>
      </w:r>
      <w:r>
        <w:rPr>
          <w:rFonts w:hint="eastAsia" w:ascii="宋体" w:hAnsi="宋体" w:eastAsia="宋体" w:cs="宋体"/>
          <w:bCs/>
          <w:sz w:val="28"/>
          <w:szCs w:val="28"/>
          <w:lang w:val="en-US" w:eastAsia="zh-CN"/>
        </w:rPr>
        <w:t>水平</w:t>
      </w:r>
      <w:r>
        <w:rPr>
          <w:rFonts w:hint="eastAsia" w:ascii="宋体" w:hAnsi="宋体" w:eastAsia="宋体" w:cs="宋体"/>
          <w:sz w:val="28"/>
          <w:szCs w:val="28"/>
          <w:lang w:val="en-US" w:eastAsia="zh-CN"/>
        </w:rPr>
        <w:t>、大致范围及与当地平均工资水平比较情况，公司未来薪酬制度及水平变化趋势。（2）结合员工数量变化、劳务派遣用工调整等，披露职工薪酬核算与相关科目变动情况的匹配性。</w:t>
      </w:r>
    </w:p>
    <w:p>
      <w:pPr>
        <w:pStyle w:val="19"/>
        <w:numPr>
          <w:ilvl w:val="0"/>
          <w:numId w:val="1"/>
        </w:numPr>
        <w:adjustRightInd w:val="0"/>
        <w:spacing w:line="480" w:lineRule="exact"/>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请发行人严格按照《企业会计准则》、《上市公司信息披露管理办法》及证券交易所颁布的业务规则中相关规定完整、准确的披露关联方关系及交易。</w:t>
      </w:r>
    </w:p>
    <w:p>
      <w:pPr>
        <w:pStyle w:val="19"/>
        <w:widowControl w:val="0"/>
        <w:numPr>
          <w:ilvl w:val="0"/>
          <w:numId w:val="1"/>
        </w:numPr>
        <w:adjustRightInd w:val="0"/>
        <w:snapToGrid/>
        <w:spacing w:line="480" w:lineRule="exact"/>
        <w:ind w:left="0" w:firstLine="560" w:firstLineChars="200"/>
        <w:rPr>
          <w:rFonts w:hint="eastAsia" w:ascii="宋体" w:hAnsi="宋体" w:eastAsia="宋体" w:cs="宋体"/>
          <w:bCs/>
          <w:sz w:val="28"/>
          <w:szCs w:val="28"/>
        </w:rPr>
      </w:pPr>
      <w:r>
        <w:rPr>
          <w:rFonts w:hint="eastAsia" w:ascii="宋体" w:hAnsi="宋体" w:eastAsia="宋体" w:cs="宋体"/>
          <w:sz w:val="28"/>
          <w:szCs w:val="28"/>
          <w:lang w:val="en-US" w:eastAsia="zh-CN"/>
        </w:rPr>
        <w:t>请发行人在《招股说明书》第二节“概览”之“利润表主要数据”中补充披露扣除非经常性损益前后归属于母公司股东的净利润。</w:t>
      </w:r>
    </w:p>
    <w:p>
      <w:pPr>
        <w:pStyle w:val="21"/>
        <w:spacing w:before="0" w:line="480" w:lineRule="exact"/>
        <w:ind w:firstLine="562" w:firstLineChars="200"/>
        <w:jc w:val="both"/>
        <w:rPr>
          <w:rFonts w:hint="eastAsia" w:ascii="宋体" w:hAnsi="宋体" w:eastAsia="宋体" w:cs="宋体"/>
          <w:b/>
          <w:bCs w:val="0"/>
          <w:sz w:val="28"/>
          <w:szCs w:val="28"/>
        </w:rPr>
      </w:pPr>
      <w:r>
        <w:rPr>
          <w:rFonts w:hint="eastAsia" w:ascii="宋体" w:hAnsi="宋体" w:eastAsia="宋体" w:cs="宋体"/>
          <w:b/>
          <w:bCs w:val="0"/>
          <w:sz w:val="28"/>
          <w:szCs w:val="28"/>
        </w:rPr>
        <w:t>三、其他问题</w:t>
      </w:r>
    </w:p>
    <w:p>
      <w:pPr>
        <w:pStyle w:val="19"/>
        <w:widowControl w:val="0"/>
        <w:numPr>
          <w:ilvl w:val="0"/>
          <w:numId w:val="1"/>
        </w:numPr>
        <w:adjustRightInd w:val="0"/>
        <w:snapToGrid/>
        <w:spacing w:line="480" w:lineRule="exact"/>
        <w:ind w:firstLine="560" w:firstLineChars="200"/>
        <w:rPr>
          <w:rFonts w:hint="eastAsia" w:ascii="宋体" w:hAnsi="宋体" w:eastAsia="宋体" w:cs="宋体"/>
          <w:sz w:val="28"/>
          <w:szCs w:val="28"/>
        </w:rPr>
      </w:pPr>
      <w:r>
        <w:rPr>
          <w:rFonts w:hint="eastAsia" w:ascii="宋体" w:hAnsi="宋体" w:eastAsia="宋体" w:cs="宋体"/>
          <w:sz w:val="28"/>
          <w:szCs w:val="28"/>
        </w:rPr>
        <w:t>请发行人详细说明申报财务报表对原始财务报表的调整情况，包括差异的内容、原因，相关会计差错更正是否符合《企业会计准则》规定。请保荐机构和会计师核查并发表意见。</w:t>
      </w:r>
    </w:p>
    <w:p>
      <w:pPr>
        <w:pStyle w:val="19"/>
        <w:widowControl w:val="0"/>
        <w:numPr>
          <w:ilvl w:val="0"/>
          <w:numId w:val="1"/>
        </w:numPr>
        <w:adjustRightInd w:val="0"/>
        <w:snapToGrid/>
        <w:spacing w:line="480" w:lineRule="exact"/>
        <w:ind w:firstLine="560" w:firstLineChars="200"/>
        <w:rPr>
          <w:rFonts w:hint="eastAsia" w:ascii="宋体" w:hAnsi="宋体" w:eastAsia="宋体" w:cs="宋体"/>
          <w:sz w:val="28"/>
          <w:szCs w:val="28"/>
        </w:rPr>
      </w:pPr>
      <w:r>
        <w:rPr>
          <w:rFonts w:hint="eastAsia" w:ascii="宋体" w:hAnsi="宋体" w:eastAsia="宋体" w:cs="宋体"/>
          <w:sz w:val="28"/>
          <w:szCs w:val="28"/>
        </w:rPr>
        <w:t>请发行人说明财务报表项目比较数据变动幅度达30%以上的情况及原因是否已恰当披露。请保荐机构、会计师发表核查意见。</w:t>
      </w:r>
    </w:p>
    <w:p>
      <w:pPr>
        <w:pStyle w:val="19"/>
        <w:widowControl w:val="0"/>
        <w:numPr>
          <w:ilvl w:val="0"/>
          <w:numId w:val="1"/>
        </w:numPr>
        <w:adjustRightInd w:val="0"/>
        <w:snapToGrid/>
        <w:spacing w:line="480" w:lineRule="exact"/>
        <w:ind w:firstLine="560" w:firstLineChars="200"/>
        <w:rPr>
          <w:rFonts w:hint="eastAsia" w:ascii="宋体" w:hAnsi="宋体" w:eastAsia="宋体" w:cs="宋体"/>
          <w:sz w:val="28"/>
          <w:szCs w:val="28"/>
        </w:rPr>
      </w:pPr>
      <w:r>
        <w:rPr>
          <w:rFonts w:hint="eastAsia" w:ascii="宋体" w:hAnsi="宋体" w:eastAsia="宋体" w:cs="宋体"/>
          <w:sz w:val="28"/>
          <w:szCs w:val="28"/>
        </w:rPr>
        <w:t>请发行人及相关中介机构对照《关于进一步提高首次公开发行股票公司财务信息披露质量有关问题的意见》（证监会公告[2012]14号）的要求，逐项说明有关财务问题及信息披露事项的解决过程和落实情况。</w:t>
      </w:r>
    </w:p>
    <w:p>
      <w:pPr>
        <w:pStyle w:val="19"/>
        <w:widowControl w:val="0"/>
        <w:numPr>
          <w:ilvl w:val="0"/>
          <w:numId w:val="1"/>
        </w:numPr>
        <w:adjustRightInd w:val="0"/>
        <w:snapToGrid/>
        <w:spacing w:line="480" w:lineRule="exact"/>
        <w:ind w:firstLine="560" w:firstLineChars="200"/>
        <w:rPr>
          <w:rFonts w:hint="eastAsia" w:ascii="宋体" w:hAnsi="宋体" w:eastAsia="宋体" w:cs="宋体"/>
          <w:sz w:val="28"/>
          <w:szCs w:val="28"/>
        </w:rPr>
      </w:pPr>
      <w:r>
        <w:rPr>
          <w:rFonts w:hint="eastAsia" w:ascii="宋体" w:hAnsi="宋体" w:eastAsia="宋体" w:cs="宋体"/>
          <w:sz w:val="28"/>
          <w:szCs w:val="28"/>
        </w:rPr>
        <w:t>请保荐机构、会计师说明公司财务部门人员与公司董监高、控股股东及实际控制人（如为个人）是否具有亲属关系，如有，是否会影响财务工作独立性。请保荐机构、会计师核查财务相关内部控制设计和执行的有效性。</w:t>
      </w:r>
    </w:p>
    <w:p>
      <w:pPr>
        <w:pStyle w:val="19"/>
        <w:widowControl w:val="0"/>
        <w:numPr>
          <w:ilvl w:val="0"/>
          <w:numId w:val="1"/>
        </w:numPr>
        <w:adjustRightInd w:val="0"/>
        <w:snapToGrid/>
        <w:spacing w:line="480" w:lineRule="exact"/>
        <w:ind w:firstLine="560" w:firstLineChars="200"/>
        <w:rPr>
          <w:rFonts w:hint="eastAsia" w:ascii="宋体" w:hAnsi="宋体" w:eastAsia="宋体" w:cs="宋体"/>
          <w:sz w:val="28"/>
          <w:szCs w:val="28"/>
        </w:rPr>
      </w:pPr>
      <w:r>
        <w:rPr>
          <w:rFonts w:hint="eastAsia" w:ascii="宋体" w:hAnsi="宋体" w:eastAsia="宋体" w:cs="宋体"/>
          <w:sz w:val="28"/>
          <w:szCs w:val="28"/>
        </w:rPr>
        <w:t>请保荐机构和会计师复核发行人每股收益、每股净资产财务指标的计算情况，列示计算公式和计算过程。</w:t>
      </w:r>
    </w:p>
    <w:p>
      <w:pPr>
        <w:widowControl/>
        <w:spacing w:line="480" w:lineRule="exact"/>
        <w:jc w:val="left"/>
        <w:rPr>
          <w:rFonts w:hint="eastAsia" w:ascii="宋体" w:hAnsi="宋体" w:eastAsia="宋体" w:cs="宋体"/>
          <w:bCs/>
          <w:sz w:val="28"/>
          <w:szCs w:val="28"/>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0F3C52" w:usb2="00000016" w:usb3="00000000" w:csb0="0004001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仿宋">
    <w:altName w:val="宋体"/>
    <w:panose1 w:val="02010609060101010101"/>
    <w:charset w:val="86"/>
    <w:family w:val="modern"/>
    <w:pitch w:val="default"/>
    <w:sig w:usb0="00000000" w:usb1="00000000" w:usb2="00000016" w:usb3="00000000" w:csb0="00040001" w:csb1="00000000"/>
  </w:font>
  <w:font w:name="等线">
    <w:altName w:val="微软雅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91963600"/>
      <w:docPartObj>
        <w:docPartGallery w:val="autotext"/>
      </w:docPartObj>
    </w:sdtPr>
    <w:sdtContent>
      <w:sdt>
        <w:sdtPr>
          <w:id w:val="1728636285"/>
          <w:docPartObj>
            <w:docPartGallery w:val="autotext"/>
          </w:docPartObj>
        </w:sdtPr>
        <w:sdtContent>
          <w:p>
            <w:pPr>
              <w:pStyle w:val="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C047D1"/>
    <w:multiLevelType w:val="singleLevel"/>
    <w:tmpl w:val="93C047D1"/>
    <w:lvl w:ilvl="0" w:tentative="0">
      <w:start w:val="2"/>
      <w:numFmt w:val="chineseCounting"/>
      <w:suff w:val="nothing"/>
      <w:lvlText w:val="%1、"/>
      <w:lvlJc w:val="left"/>
      <w:rPr>
        <w:rFonts w:hint="eastAsia"/>
      </w:rPr>
    </w:lvl>
  </w:abstractNum>
  <w:abstractNum w:abstractNumId="1">
    <w:nsid w:val="3CEA1E10"/>
    <w:multiLevelType w:val="multilevel"/>
    <w:tmpl w:val="3CEA1E10"/>
    <w:lvl w:ilvl="0" w:tentative="0">
      <w:start w:val="1"/>
      <w:numFmt w:val="decimal"/>
      <w:suff w:val="nothing"/>
      <w:lvlText w:val="%1、"/>
      <w:lvlJc w:val="left"/>
      <w:pPr>
        <w:ind w:left="0" w:firstLine="0"/>
      </w:pPr>
      <w:rPr>
        <w:rFonts w:hint="default" w:ascii="Times New Roman" w:hAnsi="Times New Roman" w:eastAsia="宋体"/>
        <w:b w:val="0"/>
        <w:i w:val="0"/>
        <w:sz w:val="28"/>
      </w:rPr>
    </w:lvl>
    <w:lvl w:ilvl="1" w:tentative="0">
      <w:start w:val="2"/>
      <w:numFmt w:val="japaneseCounting"/>
      <w:lvlText w:val="%2、"/>
      <w:lvlJc w:val="left"/>
      <w:pPr>
        <w:ind w:left="1140" w:hanging="720"/>
      </w:pPr>
      <w:rPr>
        <w:rFonts w:hint="default"/>
      </w:rPr>
    </w:lvl>
    <w:lvl w:ilvl="2" w:tentative="0">
      <w:start w:val="1"/>
      <w:numFmt w:val="decimal"/>
      <w:lvlText w:val="%3、"/>
      <w:lvlJc w:val="left"/>
      <w:pPr>
        <w:ind w:left="1560" w:hanging="720"/>
      </w:pPr>
      <w:rPr>
        <w:rFonts w:hint="default"/>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79C"/>
    <w:rsid w:val="0000117E"/>
    <w:rsid w:val="00001EFA"/>
    <w:rsid w:val="00002435"/>
    <w:rsid w:val="00004F06"/>
    <w:rsid w:val="00010996"/>
    <w:rsid w:val="0001144A"/>
    <w:rsid w:val="0001725E"/>
    <w:rsid w:val="00021718"/>
    <w:rsid w:val="00022BAA"/>
    <w:rsid w:val="00026B4D"/>
    <w:rsid w:val="00027CD6"/>
    <w:rsid w:val="000303A8"/>
    <w:rsid w:val="00031353"/>
    <w:rsid w:val="000330C7"/>
    <w:rsid w:val="000344FE"/>
    <w:rsid w:val="000360DD"/>
    <w:rsid w:val="00040087"/>
    <w:rsid w:val="0004134F"/>
    <w:rsid w:val="000414E7"/>
    <w:rsid w:val="00042B22"/>
    <w:rsid w:val="0004639A"/>
    <w:rsid w:val="00050746"/>
    <w:rsid w:val="000524CF"/>
    <w:rsid w:val="00055D37"/>
    <w:rsid w:val="000575D6"/>
    <w:rsid w:val="00057986"/>
    <w:rsid w:val="00060557"/>
    <w:rsid w:val="00065F4C"/>
    <w:rsid w:val="0007269B"/>
    <w:rsid w:val="00083030"/>
    <w:rsid w:val="000854E2"/>
    <w:rsid w:val="00087A27"/>
    <w:rsid w:val="0009057F"/>
    <w:rsid w:val="0009349B"/>
    <w:rsid w:val="00093736"/>
    <w:rsid w:val="000A257A"/>
    <w:rsid w:val="000A317F"/>
    <w:rsid w:val="000A3FED"/>
    <w:rsid w:val="000B134F"/>
    <w:rsid w:val="000B289F"/>
    <w:rsid w:val="000B3CBF"/>
    <w:rsid w:val="000B51C2"/>
    <w:rsid w:val="000B66F5"/>
    <w:rsid w:val="000B6ED3"/>
    <w:rsid w:val="000C4E64"/>
    <w:rsid w:val="000C6325"/>
    <w:rsid w:val="000C70B9"/>
    <w:rsid w:val="000D0197"/>
    <w:rsid w:val="000D1333"/>
    <w:rsid w:val="000D28BE"/>
    <w:rsid w:val="000D2EBF"/>
    <w:rsid w:val="000D3828"/>
    <w:rsid w:val="000D3BBF"/>
    <w:rsid w:val="000D3DE9"/>
    <w:rsid w:val="000D453E"/>
    <w:rsid w:val="000D49A0"/>
    <w:rsid w:val="000D5C0C"/>
    <w:rsid w:val="000D61E2"/>
    <w:rsid w:val="000D6E4C"/>
    <w:rsid w:val="000E08FE"/>
    <w:rsid w:val="000E1B61"/>
    <w:rsid w:val="000E5F68"/>
    <w:rsid w:val="000E7BCF"/>
    <w:rsid w:val="000F0BCB"/>
    <w:rsid w:val="000F2F38"/>
    <w:rsid w:val="000F2FAD"/>
    <w:rsid w:val="000F502B"/>
    <w:rsid w:val="00101149"/>
    <w:rsid w:val="00101A47"/>
    <w:rsid w:val="00104180"/>
    <w:rsid w:val="001048F5"/>
    <w:rsid w:val="001068A7"/>
    <w:rsid w:val="00110EB4"/>
    <w:rsid w:val="00113042"/>
    <w:rsid w:val="00113078"/>
    <w:rsid w:val="001143DC"/>
    <w:rsid w:val="00115207"/>
    <w:rsid w:val="00116379"/>
    <w:rsid w:val="0011641E"/>
    <w:rsid w:val="00116486"/>
    <w:rsid w:val="00117F31"/>
    <w:rsid w:val="00120056"/>
    <w:rsid w:val="00120740"/>
    <w:rsid w:val="00121309"/>
    <w:rsid w:val="001217A8"/>
    <w:rsid w:val="00121FA8"/>
    <w:rsid w:val="00123316"/>
    <w:rsid w:val="00124C65"/>
    <w:rsid w:val="00125E00"/>
    <w:rsid w:val="001266B1"/>
    <w:rsid w:val="001319AE"/>
    <w:rsid w:val="00135BB2"/>
    <w:rsid w:val="00137E43"/>
    <w:rsid w:val="00137E4E"/>
    <w:rsid w:val="001407F6"/>
    <w:rsid w:val="001432C8"/>
    <w:rsid w:val="00143806"/>
    <w:rsid w:val="001438BB"/>
    <w:rsid w:val="00146E9C"/>
    <w:rsid w:val="00151DE0"/>
    <w:rsid w:val="001542E0"/>
    <w:rsid w:val="00154E27"/>
    <w:rsid w:val="001559B7"/>
    <w:rsid w:val="00156983"/>
    <w:rsid w:val="00156BD3"/>
    <w:rsid w:val="00160B75"/>
    <w:rsid w:val="00160F9B"/>
    <w:rsid w:val="0016382A"/>
    <w:rsid w:val="00165776"/>
    <w:rsid w:val="00166E7C"/>
    <w:rsid w:val="001678A9"/>
    <w:rsid w:val="00171667"/>
    <w:rsid w:val="00174D21"/>
    <w:rsid w:val="00175085"/>
    <w:rsid w:val="00177F59"/>
    <w:rsid w:val="00180831"/>
    <w:rsid w:val="00182799"/>
    <w:rsid w:val="00182C1B"/>
    <w:rsid w:val="00185FA1"/>
    <w:rsid w:val="001874BD"/>
    <w:rsid w:val="001929D9"/>
    <w:rsid w:val="0019395A"/>
    <w:rsid w:val="001948DA"/>
    <w:rsid w:val="001A0866"/>
    <w:rsid w:val="001A0C10"/>
    <w:rsid w:val="001A0D75"/>
    <w:rsid w:val="001A29DA"/>
    <w:rsid w:val="001A4667"/>
    <w:rsid w:val="001A63D2"/>
    <w:rsid w:val="001B1D53"/>
    <w:rsid w:val="001B3E42"/>
    <w:rsid w:val="001B554E"/>
    <w:rsid w:val="001B7554"/>
    <w:rsid w:val="001C07EA"/>
    <w:rsid w:val="001C0DCD"/>
    <w:rsid w:val="001C237A"/>
    <w:rsid w:val="001C3BB1"/>
    <w:rsid w:val="001C5BD7"/>
    <w:rsid w:val="001C6427"/>
    <w:rsid w:val="001D0017"/>
    <w:rsid w:val="001D1E77"/>
    <w:rsid w:val="001D4088"/>
    <w:rsid w:val="001D46D0"/>
    <w:rsid w:val="001D759D"/>
    <w:rsid w:val="001E03B2"/>
    <w:rsid w:val="001E05D1"/>
    <w:rsid w:val="001E1325"/>
    <w:rsid w:val="001E1A67"/>
    <w:rsid w:val="001E1A8E"/>
    <w:rsid w:val="001E2348"/>
    <w:rsid w:val="001E2859"/>
    <w:rsid w:val="001E39EB"/>
    <w:rsid w:val="001E7D7B"/>
    <w:rsid w:val="001F0D7E"/>
    <w:rsid w:val="001F1CDD"/>
    <w:rsid w:val="001F228D"/>
    <w:rsid w:val="001F2AFB"/>
    <w:rsid w:val="001F4904"/>
    <w:rsid w:val="001F4C76"/>
    <w:rsid w:val="001F5492"/>
    <w:rsid w:val="001F7FCD"/>
    <w:rsid w:val="00200471"/>
    <w:rsid w:val="00202597"/>
    <w:rsid w:val="00203B5D"/>
    <w:rsid w:val="002043D7"/>
    <w:rsid w:val="00205861"/>
    <w:rsid w:val="00206C6B"/>
    <w:rsid w:val="00206FA7"/>
    <w:rsid w:val="0021099B"/>
    <w:rsid w:val="00210AC6"/>
    <w:rsid w:val="00210E55"/>
    <w:rsid w:val="00212A02"/>
    <w:rsid w:val="00221819"/>
    <w:rsid w:val="002230E9"/>
    <w:rsid w:val="002255C5"/>
    <w:rsid w:val="00230AD2"/>
    <w:rsid w:val="00232DD1"/>
    <w:rsid w:val="0023471E"/>
    <w:rsid w:val="002350C3"/>
    <w:rsid w:val="00236819"/>
    <w:rsid w:val="00236982"/>
    <w:rsid w:val="00236999"/>
    <w:rsid w:val="00240A61"/>
    <w:rsid w:val="00243F45"/>
    <w:rsid w:val="0024451A"/>
    <w:rsid w:val="00245690"/>
    <w:rsid w:val="0025040D"/>
    <w:rsid w:val="0025444A"/>
    <w:rsid w:val="0025559A"/>
    <w:rsid w:val="002568AD"/>
    <w:rsid w:val="00257394"/>
    <w:rsid w:val="0026498C"/>
    <w:rsid w:val="00264C68"/>
    <w:rsid w:val="00270614"/>
    <w:rsid w:val="00270E93"/>
    <w:rsid w:val="002738C2"/>
    <w:rsid w:val="00274537"/>
    <w:rsid w:val="00274F37"/>
    <w:rsid w:val="0027624D"/>
    <w:rsid w:val="00276D34"/>
    <w:rsid w:val="00277CEE"/>
    <w:rsid w:val="00282B06"/>
    <w:rsid w:val="002835F3"/>
    <w:rsid w:val="00285BBF"/>
    <w:rsid w:val="00286064"/>
    <w:rsid w:val="00292133"/>
    <w:rsid w:val="00292285"/>
    <w:rsid w:val="00292A5D"/>
    <w:rsid w:val="00292C64"/>
    <w:rsid w:val="00295280"/>
    <w:rsid w:val="00297A0C"/>
    <w:rsid w:val="002A5406"/>
    <w:rsid w:val="002B1072"/>
    <w:rsid w:val="002B1AA5"/>
    <w:rsid w:val="002B2CF2"/>
    <w:rsid w:val="002B319B"/>
    <w:rsid w:val="002B5B9E"/>
    <w:rsid w:val="002B6274"/>
    <w:rsid w:val="002B75A5"/>
    <w:rsid w:val="002B7F0A"/>
    <w:rsid w:val="002C27E7"/>
    <w:rsid w:val="002C37E2"/>
    <w:rsid w:val="002C3F74"/>
    <w:rsid w:val="002C441B"/>
    <w:rsid w:val="002C4500"/>
    <w:rsid w:val="002C66D8"/>
    <w:rsid w:val="002D075D"/>
    <w:rsid w:val="002D419F"/>
    <w:rsid w:val="002D50A0"/>
    <w:rsid w:val="002D5D24"/>
    <w:rsid w:val="002D7376"/>
    <w:rsid w:val="002D74CF"/>
    <w:rsid w:val="002E15AD"/>
    <w:rsid w:val="002E42F3"/>
    <w:rsid w:val="002F2318"/>
    <w:rsid w:val="002F2A5D"/>
    <w:rsid w:val="002F3369"/>
    <w:rsid w:val="002F3573"/>
    <w:rsid w:val="002F3585"/>
    <w:rsid w:val="002F365F"/>
    <w:rsid w:val="002F3FC5"/>
    <w:rsid w:val="002F4319"/>
    <w:rsid w:val="002F47E8"/>
    <w:rsid w:val="002F7657"/>
    <w:rsid w:val="0030306A"/>
    <w:rsid w:val="00304D5B"/>
    <w:rsid w:val="00304EDD"/>
    <w:rsid w:val="00307366"/>
    <w:rsid w:val="00310CB3"/>
    <w:rsid w:val="003162FB"/>
    <w:rsid w:val="00317877"/>
    <w:rsid w:val="00317E60"/>
    <w:rsid w:val="00320838"/>
    <w:rsid w:val="00322424"/>
    <w:rsid w:val="00323554"/>
    <w:rsid w:val="00324208"/>
    <w:rsid w:val="00331CE7"/>
    <w:rsid w:val="0033256D"/>
    <w:rsid w:val="00332F50"/>
    <w:rsid w:val="00332F6E"/>
    <w:rsid w:val="00340E85"/>
    <w:rsid w:val="00340EC5"/>
    <w:rsid w:val="00342A91"/>
    <w:rsid w:val="003446DA"/>
    <w:rsid w:val="00346A44"/>
    <w:rsid w:val="0034724A"/>
    <w:rsid w:val="00351447"/>
    <w:rsid w:val="003515E8"/>
    <w:rsid w:val="003515F6"/>
    <w:rsid w:val="003531AF"/>
    <w:rsid w:val="00353BB0"/>
    <w:rsid w:val="00354ABF"/>
    <w:rsid w:val="00355222"/>
    <w:rsid w:val="00355C7A"/>
    <w:rsid w:val="00355CAA"/>
    <w:rsid w:val="00357573"/>
    <w:rsid w:val="00357873"/>
    <w:rsid w:val="00362283"/>
    <w:rsid w:val="00363ADD"/>
    <w:rsid w:val="0036479B"/>
    <w:rsid w:val="003649E5"/>
    <w:rsid w:val="00364DDC"/>
    <w:rsid w:val="003659AB"/>
    <w:rsid w:val="00366C9F"/>
    <w:rsid w:val="003779C0"/>
    <w:rsid w:val="0038125C"/>
    <w:rsid w:val="00381866"/>
    <w:rsid w:val="0038717D"/>
    <w:rsid w:val="0039016F"/>
    <w:rsid w:val="003960D5"/>
    <w:rsid w:val="0039684F"/>
    <w:rsid w:val="003A2E21"/>
    <w:rsid w:val="003A526E"/>
    <w:rsid w:val="003B0927"/>
    <w:rsid w:val="003B0D75"/>
    <w:rsid w:val="003B1056"/>
    <w:rsid w:val="003B2C31"/>
    <w:rsid w:val="003B3DAB"/>
    <w:rsid w:val="003B6787"/>
    <w:rsid w:val="003C0D0B"/>
    <w:rsid w:val="003C0F48"/>
    <w:rsid w:val="003C245A"/>
    <w:rsid w:val="003C2579"/>
    <w:rsid w:val="003C4265"/>
    <w:rsid w:val="003C5961"/>
    <w:rsid w:val="003C794D"/>
    <w:rsid w:val="003D0007"/>
    <w:rsid w:val="003D2855"/>
    <w:rsid w:val="003D4AEE"/>
    <w:rsid w:val="003D54B8"/>
    <w:rsid w:val="003E15C2"/>
    <w:rsid w:val="003E32FB"/>
    <w:rsid w:val="003E390F"/>
    <w:rsid w:val="003E5AAE"/>
    <w:rsid w:val="003E6772"/>
    <w:rsid w:val="003E7E5F"/>
    <w:rsid w:val="003F3548"/>
    <w:rsid w:val="003F3B7B"/>
    <w:rsid w:val="003F49FD"/>
    <w:rsid w:val="003F6A81"/>
    <w:rsid w:val="004013C5"/>
    <w:rsid w:val="00401AD9"/>
    <w:rsid w:val="00402AA6"/>
    <w:rsid w:val="00402C70"/>
    <w:rsid w:val="00403BA7"/>
    <w:rsid w:val="004059CC"/>
    <w:rsid w:val="00406B3F"/>
    <w:rsid w:val="004116B3"/>
    <w:rsid w:val="0041197B"/>
    <w:rsid w:val="00421354"/>
    <w:rsid w:val="004225C1"/>
    <w:rsid w:val="00422DE5"/>
    <w:rsid w:val="00432114"/>
    <w:rsid w:val="00433A80"/>
    <w:rsid w:val="00444F41"/>
    <w:rsid w:val="00445218"/>
    <w:rsid w:val="004459A4"/>
    <w:rsid w:val="00445E32"/>
    <w:rsid w:val="00446702"/>
    <w:rsid w:val="0044734C"/>
    <w:rsid w:val="00447EC4"/>
    <w:rsid w:val="00452593"/>
    <w:rsid w:val="004541CF"/>
    <w:rsid w:val="00454845"/>
    <w:rsid w:val="00454FD1"/>
    <w:rsid w:val="0045517A"/>
    <w:rsid w:val="00455891"/>
    <w:rsid w:val="00457090"/>
    <w:rsid w:val="00460512"/>
    <w:rsid w:val="00463585"/>
    <w:rsid w:val="00463A58"/>
    <w:rsid w:val="00463A70"/>
    <w:rsid w:val="00463C5D"/>
    <w:rsid w:val="00463F69"/>
    <w:rsid w:val="00464093"/>
    <w:rsid w:val="0046776C"/>
    <w:rsid w:val="00470FC5"/>
    <w:rsid w:val="004729AB"/>
    <w:rsid w:val="00475165"/>
    <w:rsid w:val="00475A64"/>
    <w:rsid w:val="0048457B"/>
    <w:rsid w:val="00486C6E"/>
    <w:rsid w:val="00492CDE"/>
    <w:rsid w:val="004956F5"/>
    <w:rsid w:val="00495D75"/>
    <w:rsid w:val="004A24F1"/>
    <w:rsid w:val="004A2E38"/>
    <w:rsid w:val="004A677D"/>
    <w:rsid w:val="004A7ADA"/>
    <w:rsid w:val="004B4505"/>
    <w:rsid w:val="004C063B"/>
    <w:rsid w:val="004C167D"/>
    <w:rsid w:val="004C24A7"/>
    <w:rsid w:val="004C2C4C"/>
    <w:rsid w:val="004C37EB"/>
    <w:rsid w:val="004C5A8E"/>
    <w:rsid w:val="004C6FAF"/>
    <w:rsid w:val="004D08C9"/>
    <w:rsid w:val="004D4910"/>
    <w:rsid w:val="004D5468"/>
    <w:rsid w:val="004D7E2D"/>
    <w:rsid w:val="004E141B"/>
    <w:rsid w:val="004E1B2D"/>
    <w:rsid w:val="004E1CF4"/>
    <w:rsid w:val="004E20D0"/>
    <w:rsid w:val="004E3341"/>
    <w:rsid w:val="004E4D6C"/>
    <w:rsid w:val="004E6D89"/>
    <w:rsid w:val="004F0A55"/>
    <w:rsid w:val="004F1910"/>
    <w:rsid w:val="004F5C15"/>
    <w:rsid w:val="004F60B8"/>
    <w:rsid w:val="004F6C1F"/>
    <w:rsid w:val="005009F7"/>
    <w:rsid w:val="00500D9E"/>
    <w:rsid w:val="005031B9"/>
    <w:rsid w:val="00504CB8"/>
    <w:rsid w:val="00505570"/>
    <w:rsid w:val="00506AFB"/>
    <w:rsid w:val="00506B3B"/>
    <w:rsid w:val="0051179B"/>
    <w:rsid w:val="005140DF"/>
    <w:rsid w:val="00514237"/>
    <w:rsid w:val="005144D1"/>
    <w:rsid w:val="00516456"/>
    <w:rsid w:val="0052536C"/>
    <w:rsid w:val="005261A3"/>
    <w:rsid w:val="005271AC"/>
    <w:rsid w:val="005277C2"/>
    <w:rsid w:val="00531FA3"/>
    <w:rsid w:val="00532198"/>
    <w:rsid w:val="005323EF"/>
    <w:rsid w:val="00534926"/>
    <w:rsid w:val="00536F44"/>
    <w:rsid w:val="005407E4"/>
    <w:rsid w:val="00541D84"/>
    <w:rsid w:val="00541E08"/>
    <w:rsid w:val="00543708"/>
    <w:rsid w:val="0054370F"/>
    <w:rsid w:val="00545CF2"/>
    <w:rsid w:val="00546526"/>
    <w:rsid w:val="00547998"/>
    <w:rsid w:val="0055272E"/>
    <w:rsid w:val="00554338"/>
    <w:rsid w:val="00554AEC"/>
    <w:rsid w:val="005567F1"/>
    <w:rsid w:val="0056316B"/>
    <w:rsid w:val="00572BFE"/>
    <w:rsid w:val="005754D2"/>
    <w:rsid w:val="00575B99"/>
    <w:rsid w:val="005771D3"/>
    <w:rsid w:val="00577940"/>
    <w:rsid w:val="00577BC0"/>
    <w:rsid w:val="005810C1"/>
    <w:rsid w:val="005816E7"/>
    <w:rsid w:val="00581DAA"/>
    <w:rsid w:val="00585FBD"/>
    <w:rsid w:val="00587E49"/>
    <w:rsid w:val="005903AA"/>
    <w:rsid w:val="005910C8"/>
    <w:rsid w:val="005926A8"/>
    <w:rsid w:val="00594826"/>
    <w:rsid w:val="005A1A91"/>
    <w:rsid w:val="005A1F31"/>
    <w:rsid w:val="005A322B"/>
    <w:rsid w:val="005A38D3"/>
    <w:rsid w:val="005A3F27"/>
    <w:rsid w:val="005A45B8"/>
    <w:rsid w:val="005A6ACC"/>
    <w:rsid w:val="005A7A0C"/>
    <w:rsid w:val="005B0637"/>
    <w:rsid w:val="005B06FA"/>
    <w:rsid w:val="005B2F38"/>
    <w:rsid w:val="005B5143"/>
    <w:rsid w:val="005B5A2F"/>
    <w:rsid w:val="005C1B99"/>
    <w:rsid w:val="005C2EEF"/>
    <w:rsid w:val="005C3F2F"/>
    <w:rsid w:val="005C5003"/>
    <w:rsid w:val="005D01B6"/>
    <w:rsid w:val="005D059A"/>
    <w:rsid w:val="005D3E44"/>
    <w:rsid w:val="005D4E26"/>
    <w:rsid w:val="005D6594"/>
    <w:rsid w:val="005D7F1F"/>
    <w:rsid w:val="005E0526"/>
    <w:rsid w:val="005E1C0F"/>
    <w:rsid w:val="005E3859"/>
    <w:rsid w:val="005E6F1E"/>
    <w:rsid w:val="005E6F6B"/>
    <w:rsid w:val="005F36E6"/>
    <w:rsid w:val="005F5351"/>
    <w:rsid w:val="005F6801"/>
    <w:rsid w:val="005F683C"/>
    <w:rsid w:val="006021E0"/>
    <w:rsid w:val="00604ABD"/>
    <w:rsid w:val="00606F88"/>
    <w:rsid w:val="006076AE"/>
    <w:rsid w:val="00614E59"/>
    <w:rsid w:val="006155BE"/>
    <w:rsid w:val="00621651"/>
    <w:rsid w:val="006311C6"/>
    <w:rsid w:val="00631639"/>
    <w:rsid w:val="00632BF4"/>
    <w:rsid w:val="006332FF"/>
    <w:rsid w:val="00633487"/>
    <w:rsid w:val="006337A1"/>
    <w:rsid w:val="0063422C"/>
    <w:rsid w:val="0063446E"/>
    <w:rsid w:val="0063737F"/>
    <w:rsid w:val="00640E50"/>
    <w:rsid w:val="00641E6F"/>
    <w:rsid w:val="0064350F"/>
    <w:rsid w:val="00643BE8"/>
    <w:rsid w:val="006445B8"/>
    <w:rsid w:val="00644B92"/>
    <w:rsid w:val="00646527"/>
    <w:rsid w:val="00646EC2"/>
    <w:rsid w:val="00646F8B"/>
    <w:rsid w:val="00647C0E"/>
    <w:rsid w:val="0065027D"/>
    <w:rsid w:val="006515D6"/>
    <w:rsid w:val="00652931"/>
    <w:rsid w:val="0065330D"/>
    <w:rsid w:val="00654058"/>
    <w:rsid w:val="00656391"/>
    <w:rsid w:val="0065714C"/>
    <w:rsid w:val="006625BA"/>
    <w:rsid w:val="0066480D"/>
    <w:rsid w:val="00667D36"/>
    <w:rsid w:val="0067025D"/>
    <w:rsid w:val="006710E3"/>
    <w:rsid w:val="00671BC3"/>
    <w:rsid w:val="00672A05"/>
    <w:rsid w:val="0067486D"/>
    <w:rsid w:val="00675396"/>
    <w:rsid w:val="00675FE8"/>
    <w:rsid w:val="00680015"/>
    <w:rsid w:val="00680397"/>
    <w:rsid w:val="006828F4"/>
    <w:rsid w:val="00684292"/>
    <w:rsid w:val="0069398F"/>
    <w:rsid w:val="00695292"/>
    <w:rsid w:val="006955F1"/>
    <w:rsid w:val="00695D16"/>
    <w:rsid w:val="0069659F"/>
    <w:rsid w:val="00696BF5"/>
    <w:rsid w:val="006972A6"/>
    <w:rsid w:val="006A0872"/>
    <w:rsid w:val="006A282A"/>
    <w:rsid w:val="006A4F84"/>
    <w:rsid w:val="006A621E"/>
    <w:rsid w:val="006A6710"/>
    <w:rsid w:val="006A6C39"/>
    <w:rsid w:val="006B18EE"/>
    <w:rsid w:val="006B21DE"/>
    <w:rsid w:val="006B3E10"/>
    <w:rsid w:val="006B77A3"/>
    <w:rsid w:val="006B79A7"/>
    <w:rsid w:val="006B7F1A"/>
    <w:rsid w:val="006C1667"/>
    <w:rsid w:val="006C186F"/>
    <w:rsid w:val="006C2666"/>
    <w:rsid w:val="006C3770"/>
    <w:rsid w:val="006C4447"/>
    <w:rsid w:val="006C4CE0"/>
    <w:rsid w:val="006C64BB"/>
    <w:rsid w:val="006D405D"/>
    <w:rsid w:val="006E115F"/>
    <w:rsid w:val="006E18A1"/>
    <w:rsid w:val="006E3030"/>
    <w:rsid w:val="006E3766"/>
    <w:rsid w:val="006E45DB"/>
    <w:rsid w:val="006E7D49"/>
    <w:rsid w:val="006F0E36"/>
    <w:rsid w:val="006F16B7"/>
    <w:rsid w:val="006F2178"/>
    <w:rsid w:val="006F2281"/>
    <w:rsid w:val="006F2C43"/>
    <w:rsid w:val="006F4D8C"/>
    <w:rsid w:val="006F6141"/>
    <w:rsid w:val="00700B2E"/>
    <w:rsid w:val="0070227E"/>
    <w:rsid w:val="007024A7"/>
    <w:rsid w:val="00704B42"/>
    <w:rsid w:val="00706FAE"/>
    <w:rsid w:val="0071126E"/>
    <w:rsid w:val="007120B4"/>
    <w:rsid w:val="00714B5B"/>
    <w:rsid w:val="00717379"/>
    <w:rsid w:val="00720CA7"/>
    <w:rsid w:val="00720EAF"/>
    <w:rsid w:val="00723B28"/>
    <w:rsid w:val="007246EA"/>
    <w:rsid w:val="00724F36"/>
    <w:rsid w:val="00724FAB"/>
    <w:rsid w:val="00727413"/>
    <w:rsid w:val="0072766E"/>
    <w:rsid w:val="00731D96"/>
    <w:rsid w:val="00731FE1"/>
    <w:rsid w:val="00735B36"/>
    <w:rsid w:val="00745EC9"/>
    <w:rsid w:val="00753A8C"/>
    <w:rsid w:val="00753C27"/>
    <w:rsid w:val="00754E67"/>
    <w:rsid w:val="0076151A"/>
    <w:rsid w:val="00762EEA"/>
    <w:rsid w:val="00764B05"/>
    <w:rsid w:val="00766F34"/>
    <w:rsid w:val="0076730D"/>
    <w:rsid w:val="00772E3F"/>
    <w:rsid w:val="00773947"/>
    <w:rsid w:val="007745FE"/>
    <w:rsid w:val="007746F2"/>
    <w:rsid w:val="00774976"/>
    <w:rsid w:val="0077511E"/>
    <w:rsid w:val="00780086"/>
    <w:rsid w:val="0078408B"/>
    <w:rsid w:val="00784347"/>
    <w:rsid w:val="00786002"/>
    <w:rsid w:val="00786582"/>
    <w:rsid w:val="007875DA"/>
    <w:rsid w:val="00790142"/>
    <w:rsid w:val="0079173B"/>
    <w:rsid w:val="00791873"/>
    <w:rsid w:val="007925E7"/>
    <w:rsid w:val="00792FED"/>
    <w:rsid w:val="00793828"/>
    <w:rsid w:val="00794670"/>
    <w:rsid w:val="0079684F"/>
    <w:rsid w:val="0079735F"/>
    <w:rsid w:val="007A1BF8"/>
    <w:rsid w:val="007A1ED4"/>
    <w:rsid w:val="007A288D"/>
    <w:rsid w:val="007A28EB"/>
    <w:rsid w:val="007A313E"/>
    <w:rsid w:val="007A658B"/>
    <w:rsid w:val="007A682D"/>
    <w:rsid w:val="007A6CEA"/>
    <w:rsid w:val="007B1954"/>
    <w:rsid w:val="007B468A"/>
    <w:rsid w:val="007B56EA"/>
    <w:rsid w:val="007B60BD"/>
    <w:rsid w:val="007B6589"/>
    <w:rsid w:val="007B7443"/>
    <w:rsid w:val="007B7C59"/>
    <w:rsid w:val="007C0138"/>
    <w:rsid w:val="007C27A0"/>
    <w:rsid w:val="007C573F"/>
    <w:rsid w:val="007C5C4B"/>
    <w:rsid w:val="007C7885"/>
    <w:rsid w:val="007D007D"/>
    <w:rsid w:val="007D1F90"/>
    <w:rsid w:val="007D4DAE"/>
    <w:rsid w:val="007D5184"/>
    <w:rsid w:val="007E246A"/>
    <w:rsid w:val="007E3DC2"/>
    <w:rsid w:val="007E5470"/>
    <w:rsid w:val="007E54C6"/>
    <w:rsid w:val="007E5DF1"/>
    <w:rsid w:val="007E7453"/>
    <w:rsid w:val="007E788D"/>
    <w:rsid w:val="007F11A2"/>
    <w:rsid w:val="007F2CCB"/>
    <w:rsid w:val="007F434D"/>
    <w:rsid w:val="007F52EE"/>
    <w:rsid w:val="007F7B9E"/>
    <w:rsid w:val="00800CEF"/>
    <w:rsid w:val="008015A2"/>
    <w:rsid w:val="00802016"/>
    <w:rsid w:val="008037BA"/>
    <w:rsid w:val="00806598"/>
    <w:rsid w:val="00810C4C"/>
    <w:rsid w:val="00811661"/>
    <w:rsid w:val="00811E82"/>
    <w:rsid w:val="008126FD"/>
    <w:rsid w:val="00812DFA"/>
    <w:rsid w:val="008147A4"/>
    <w:rsid w:val="00815249"/>
    <w:rsid w:val="008157DE"/>
    <w:rsid w:val="008200BF"/>
    <w:rsid w:val="00820FB9"/>
    <w:rsid w:val="00821D1B"/>
    <w:rsid w:val="00824138"/>
    <w:rsid w:val="008261FA"/>
    <w:rsid w:val="00826526"/>
    <w:rsid w:val="00830B1B"/>
    <w:rsid w:val="00831291"/>
    <w:rsid w:val="00831BBF"/>
    <w:rsid w:val="0083521D"/>
    <w:rsid w:val="008369CB"/>
    <w:rsid w:val="00840013"/>
    <w:rsid w:val="00841F64"/>
    <w:rsid w:val="008436D0"/>
    <w:rsid w:val="008458BB"/>
    <w:rsid w:val="00846D46"/>
    <w:rsid w:val="008512A6"/>
    <w:rsid w:val="00851579"/>
    <w:rsid w:val="00853DCD"/>
    <w:rsid w:val="008547F0"/>
    <w:rsid w:val="008563F6"/>
    <w:rsid w:val="008654D6"/>
    <w:rsid w:val="008666FB"/>
    <w:rsid w:val="008705AE"/>
    <w:rsid w:val="00871D79"/>
    <w:rsid w:val="00872F77"/>
    <w:rsid w:val="00874B4E"/>
    <w:rsid w:val="0087772E"/>
    <w:rsid w:val="00880E62"/>
    <w:rsid w:val="0088117A"/>
    <w:rsid w:val="0088267C"/>
    <w:rsid w:val="00882FA2"/>
    <w:rsid w:val="0088474E"/>
    <w:rsid w:val="00890159"/>
    <w:rsid w:val="00896653"/>
    <w:rsid w:val="00897EA7"/>
    <w:rsid w:val="008A00DF"/>
    <w:rsid w:val="008A16CE"/>
    <w:rsid w:val="008A189F"/>
    <w:rsid w:val="008A4E41"/>
    <w:rsid w:val="008A6559"/>
    <w:rsid w:val="008A67D5"/>
    <w:rsid w:val="008A67E1"/>
    <w:rsid w:val="008B0B6D"/>
    <w:rsid w:val="008B2002"/>
    <w:rsid w:val="008B5C20"/>
    <w:rsid w:val="008B5F99"/>
    <w:rsid w:val="008B78C3"/>
    <w:rsid w:val="008C3EB0"/>
    <w:rsid w:val="008C53B2"/>
    <w:rsid w:val="008C5D04"/>
    <w:rsid w:val="008D0538"/>
    <w:rsid w:val="008D076C"/>
    <w:rsid w:val="008D0CB0"/>
    <w:rsid w:val="008D2A37"/>
    <w:rsid w:val="008D4B81"/>
    <w:rsid w:val="008D5590"/>
    <w:rsid w:val="008D5BA6"/>
    <w:rsid w:val="008D5F53"/>
    <w:rsid w:val="008D74C9"/>
    <w:rsid w:val="008E10F7"/>
    <w:rsid w:val="008E296E"/>
    <w:rsid w:val="008E2AE1"/>
    <w:rsid w:val="008E632A"/>
    <w:rsid w:val="008F1C09"/>
    <w:rsid w:val="008F1E0A"/>
    <w:rsid w:val="008F2AF1"/>
    <w:rsid w:val="008F41E0"/>
    <w:rsid w:val="008F606B"/>
    <w:rsid w:val="008F6532"/>
    <w:rsid w:val="0090120F"/>
    <w:rsid w:val="00904684"/>
    <w:rsid w:val="0090726C"/>
    <w:rsid w:val="009075C5"/>
    <w:rsid w:val="0092138C"/>
    <w:rsid w:val="0092285D"/>
    <w:rsid w:val="00922BA8"/>
    <w:rsid w:val="0092376B"/>
    <w:rsid w:val="00926C2A"/>
    <w:rsid w:val="00927AE0"/>
    <w:rsid w:val="00927D13"/>
    <w:rsid w:val="0093206A"/>
    <w:rsid w:val="00933D0E"/>
    <w:rsid w:val="00934F63"/>
    <w:rsid w:val="00935FD5"/>
    <w:rsid w:val="0093651C"/>
    <w:rsid w:val="00937A14"/>
    <w:rsid w:val="00941C6F"/>
    <w:rsid w:val="0094681C"/>
    <w:rsid w:val="00947660"/>
    <w:rsid w:val="00950073"/>
    <w:rsid w:val="009501D4"/>
    <w:rsid w:val="009518ED"/>
    <w:rsid w:val="00951B17"/>
    <w:rsid w:val="0095405A"/>
    <w:rsid w:val="0095521D"/>
    <w:rsid w:val="009572E8"/>
    <w:rsid w:val="00971C4A"/>
    <w:rsid w:val="00972E50"/>
    <w:rsid w:val="0097304F"/>
    <w:rsid w:val="0097462C"/>
    <w:rsid w:val="009766FF"/>
    <w:rsid w:val="00980376"/>
    <w:rsid w:val="009808D9"/>
    <w:rsid w:val="00982202"/>
    <w:rsid w:val="009902C5"/>
    <w:rsid w:val="009939D4"/>
    <w:rsid w:val="00997FC0"/>
    <w:rsid w:val="009A373D"/>
    <w:rsid w:val="009A4379"/>
    <w:rsid w:val="009A4C1B"/>
    <w:rsid w:val="009A6F5C"/>
    <w:rsid w:val="009B2CA4"/>
    <w:rsid w:val="009B4D48"/>
    <w:rsid w:val="009B5606"/>
    <w:rsid w:val="009B6082"/>
    <w:rsid w:val="009B728B"/>
    <w:rsid w:val="009C1CB8"/>
    <w:rsid w:val="009C1E8F"/>
    <w:rsid w:val="009D01C2"/>
    <w:rsid w:val="009D4F39"/>
    <w:rsid w:val="009D7323"/>
    <w:rsid w:val="009E133C"/>
    <w:rsid w:val="009E1E31"/>
    <w:rsid w:val="009E2C93"/>
    <w:rsid w:val="009E7347"/>
    <w:rsid w:val="009F4639"/>
    <w:rsid w:val="009F5980"/>
    <w:rsid w:val="009F6CEF"/>
    <w:rsid w:val="009F6FF1"/>
    <w:rsid w:val="00A0027D"/>
    <w:rsid w:val="00A00386"/>
    <w:rsid w:val="00A005A9"/>
    <w:rsid w:val="00A04CCC"/>
    <w:rsid w:val="00A0503D"/>
    <w:rsid w:val="00A058AC"/>
    <w:rsid w:val="00A058FE"/>
    <w:rsid w:val="00A05D4A"/>
    <w:rsid w:val="00A06F58"/>
    <w:rsid w:val="00A07210"/>
    <w:rsid w:val="00A10373"/>
    <w:rsid w:val="00A112FB"/>
    <w:rsid w:val="00A114AD"/>
    <w:rsid w:val="00A11D79"/>
    <w:rsid w:val="00A144CA"/>
    <w:rsid w:val="00A14E4C"/>
    <w:rsid w:val="00A15255"/>
    <w:rsid w:val="00A15BB2"/>
    <w:rsid w:val="00A1751F"/>
    <w:rsid w:val="00A21403"/>
    <w:rsid w:val="00A22D25"/>
    <w:rsid w:val="00A23F54"/>
    <w:rsid w:val="00A241FF"/>
    <w:rsid w:val="00A247B7"/>
    <w:rsid w:val="00A24B12"/>
    <w:rsid w:val="00A266ED"/>
    <w:rsid w:val="00A276F4"/>
    <w:rsid w:val="00A2784E"/>
    <w:rsid w:val="00A27CE5"/>
    <w:rsid w:val="00A30D00"/>
    <w:rsid w:val="00A329E1"/>
    <w:rsid w:val="00A32BEA"/>
    <w:rsid w:val="00A36D2D"/>
    <w:rsid w:val="00A404CB"/>
    <w:rsid w:val="00A40D13"/>
    <w:rsid w:val="00A43862"/>
    <w:rsid w:val="00A470D2"/>
    <w:rsid w:val="00A476DC"/>
    <w:rsid w:val="00A478C9"/>
    <w:rsid w:val="00A47FAA"/>
    <w:rsid w:val="00A55DB7"/>
    <w:rsid w:val="00A55E1E"/>
    <w:rsid w:val="00A60A2A"/>
    <w:rsid w:val="00A639AF"/>
    <w:rsid w:val="00A641E9"/>
    <w:rsid w:val="00A75082"/>
    <w:rsid w:val="00A768F5"/>
    <w:rsid w:val="00A7715B"/>
    <w:rsid w:val="00A80878"/>
    <w:rsid w:val="00A85C8D"/>
    <w:rsid w:val="00A909A8"/>
    <w:rsid w:val="00A91667"/>
    <w:rsid w:val="00A92F49"/>
    <w:rsid w:val="00A9490A"/>
    <w:rsid w:val="00A94BE6"/>
    <w:rsid w:val="00A9522C"/>
    <w:rsid w:val="00AA3453"/>
    <w:rsid w:val="00AA6AF3"/>
    <w:rsid w:val="00AB1155"/>
    <w:rsid w:val="00AB19B8"/>
    <w:rsid w:val="00AB1ACD"/>
    <w:rsid w:val="00AB319C"/>
    <w:rsid w:val="00AB4E88"/>
    <w:rsid w:val="00AB4F32"/>
    <w:rsid w:val="00AB57EF"/>
    <w:rsid w:val="00AB65D9"/>
    <w:rsid w:val="00AB6D43"/>
    <w:rsid w:val="00AB7B25"/>
    <w:rsid w:val="00AC251D"/>
    <w:rsid w:val="00AC4FE8"/>
    <w:rsid w:val="00AC59DD"/>
    <w:rsid w:val="00AC6B94"/>
    <w:rsid w:val="00AD0524"/>
    <w:rsid w:val="00AD05E9"/>
    <w:rsid w:val="00AD148B"/>
    <w:rsid w:val="00AD2519"/>
    <w:rsid w:val="00AD2C9C"/>
    <w:rsid w:val="00AD41D1"/>
    <w:rsid w:val="00AD4384"/>
    <w:rsid w:val="00AD43C7"/>
    <w:rsid w:val="00AD67A7"/>
    <w:rsid w:val="00AE15B6"/>
    <w:rsid w:val="00AE3313"/>
    <w:rsid w:val="00AE3B86"/>
    <w:rsid w:val="00AE3B9F"/>
    <w:rsid w:val="00AE3F2E"/>
    <w:rsid w:val="00AE48B2"/>
    <w:rsid w:val="00AE4DEC"/>
    <w:rsid w:val="00AE5798"/>
    <w:rsid w:val="00AE778E"/>
    <w:rsid w:val="00AE7D49"/>
    <w:rsid w:val="00AE7DE4"/>
    <w:rsid w:val="00AE7FE0"/>
    <w:rsid w:val="00AF1B31"/>
    <w:rsid w:val="00AF4B66"/>
    <w:rsid w:val="00AF4E0D"/>
    <w:rsid w:val="00AF6330"/>
    <w:rsid w:val="00B0091E"/>
    <w:rsid w:val="00B00A26"/>
    <w:rsid w:val="00B024E2"/>
    <w:rsid w:val="00B13856"/>
    <w:rsid w:val="00B25C41"/>
    <w:rsid w:val="00B276D1"/>
    <w:rsid w:val="00B3076F"/>
    <w:rsid w:val="00B32333"/>
    <w:rsid w:val="00B3403E"/>
    <w:rsid w:val="00B356FA"/>
    <w:rsid w:val="00B35BB8"/>
    <w:rsid w:val="00B3636D"/>
    <w:rsid w:val="00B37065"/>
    <w:rsid w:val="00B40639"/>
    <w:rsid w:val="00B41E62"/>
    <w:rsid w:val="00B42329"/>
    <w:rsid w:val="00B425F5"/>
    <w:rsid w:val="00B43729"/>
    <w:rsid w:val="00B439AE"/>
    <w:rsid w:val="00B43D9A"/>
    <w:rsid w:val="00B44527"/>
    <w:rsid w:val="00B4573D"/>
    <w:rsid w:val="00B50154"/>
    <w:rsid w:val="00B53155"/>
    <w:rsid w:val="00B57253"/>
    <w:rsid w:val="00B61147"/>
    <w:rsid w:val="00B63256"/>
    <w:rsid w:val="00B70973"/>
    <w:rsid w:val="00B72F87"/>
    <w:rsid w:val="00B80265"/>
    <w:rsid w:val="00B85049"/>
    <w:rsid w:val="00B90C30"/>
    <w:rsid w:val="00B9147B"/>
    <w:rsid w:val="00B91827"/>
    <w:rsid w:val="00B93762"/>
    <w:rsid w:val="00B951C9"/>
    <w:rsid w:val="00B95488"/>
    <w:rsid w:val="00B958EA"/>
    <w:rsid w:val="00BA19FC"/>
    <w:rsid w:val="00BA4A56"/>
    <w:rsid w:val="00BA626D"/>
    <w:rsid w:val="00BA7268"/>
    <w:rsid w:val="00BA7535"/>
    <w:rsid w:val="00BB21A0"/>
    <w:rsid w:val="00BB2627"/>
    <w:rsid w:val="00BB4C6A"/>
    <w:rsid w:val="00BB6370"/>
    <w:rsid w:val="00BB6E62"/>
    <w:rsid w:val="00BB72B3"/>
    <w:rsid w:val="00BC1398"/>
    <w:rsid w:val="00BC2E43"/>
    <w:rsid w:val="00BC40EC"/>
    <w:rsid w:val="00BC6E7D"/>
    <w:rsid w:val="00BC7C65"/>
    <w:rsid w:val="00BD0C9B"/>
    <w:rsid w:val="00BD0F65"/>
    <w:rsid w:val="00BD204F"/>
    <w:rsid w:val="00BE22A9"/>
    <w:rsid w:val="00BE37FA"/>
    <w:rsid w:val="00BE498D"/>
    <w:rsid w:val="00BF070C"/>
    <w:rsid w:val="00BF41D6"/>
    <w:rsid w:val="00BF7355"/>
    <w:rsid w:val="00BF7B3F"/>
    <w:rsid w:val="00C01E66"/>
    <w:rsid w:val="00C0264F"/>
    <w:rsid w:val="00C03025"/>
    <w:rsid w:val="00C03CF5"/>
    <w:rsid w:val="00C06617"/>
    <w:rsid w:val="00C072FF"/>
    <w:rsid w:val="00C12945"/>
    <w:rsid w:val="00C14153"/>
    <w:rsid w:val="00C15B9E"/>
    <w:rsid w:val="00C17229"/>
    <w:rsid w:val="00C17DA6"/>
    <w:rsid w:val="00C20CB4"/>
    <w:rsid w:val="00C2219E"/>
    <w:rsid w:val="00C221B4"/>
    <w:rsid w:val="00C25692"/>
    <w:rsid w:val="00C27D3A"/>
    <w:rsid w:val="00C30587"/>
    <w:rsid w:val="00C3192C"/>
    <w:rsid w:val="00C32765"/>
    <w:rsid w:val="00C3484A"/>
    <w:rsid w:val="00C357CB"/>
    <w:rsid w:val="00C35DF0"/>
    <w:rsid w:val="00C37807"/>
    <w:rsid w:val="00C40FDE"/>
    <w:rsid w:val="00C443CE"/>
    <w:rsid w:val="00C50892"/>
    <w:rsid w:val="00C515BA"/>
    <w:rsid w:val="00C519D8"/>
    <w:rsid w:val="00C51DB8"/>
    <w:rsid w:val="00C5512A"/>
    <w:rsid w:val="00C57485"/>
    <w:rsid w:val="00C57EA9"/>
    <w:rsid w:val="00C6133B"/>
    <w:rsid w:val="00C615E3"/>
    <w:rsid w:val="00C62216"/>
    <w:rsid w:val="00C629CE"/>
    <w:rsid w:val="00C63F03"/>
    <w:rsid w:val="00C6574F"/>
    <w:rsid w:val="00C6594D"/>
    <w:rsid w:val="00C65C83"/>
    <w:rsid w:val="00C701C2"/>
    <w:rsid w:val="00C72280"/>
    <w:rsid w:val="00C752F6"/>
    <w:rsid w:val="00C759B0"/>
    <w:rsid w:val="00C7664F"/>
    <w:rsid w:val="00C778B4"/>
    <w:rsid w:val="00C77C29"/>
    <w:rsid w:val="00C82F4E"/>
    <w:rsid w:val="00C8443F"/>
    <w:rsid w:val="00C84DCA"/>
    <w:rsid w:val="00C86658"/>
    <w:rsid w:val="00C9031A"/>
    <w:rsid w:val="00C90F4A"/>
    <w:rsid w:val="00C92E35"/>
    <w:rsid w:val="00C94567"/>
    <w:rsid w:val="00C94DB4"/>
    <w:rsid w:val="00C94E82"/>
    <w:rsid w:val="00C95F58"/>
    <w:rsid w:val="00CA6216"/>
    <w:rsid w:val="00CB0A77"/>
    <w:rsid w:val="00CB2D9B"/>
    <w:rsid w:val="00CB4702"/>
    <w:rsid w:val="00CB58C4"/>
    <w:rsid w:val="00CC152D"/>
    <w:rsid w:val="00CC1695"/>
    <w:rsid w:val="00CC3830"/>
    <w:rsid w:val="00CC4F50"/>
    <w:rsid w:val="00CC5A0A"/>
    <w:rsid w:val="00CC5FE1"/>
    <w:rsid w:val="00CC611F"/>
    <w:rsid w:val="00CD30A5"/>
    <w:rsid w:val="00CD3C2F"/>
    <w:rsid w:val="00CD40F0"/>
    <w:rsid w:val="00CD51F0"/>
    <w:rsid w:val="00CD56A1"/>
    <w:rsid w:val="00CD56AC"/>
    <w:rsid w:val="00CD5E41"/>
    <w:rsid w:val="00CD684D"/>
    <w:rsid w:val="00CE161B"/>
    <w:rsid w:val="00CE42A2"/>
    <w:rsid w:val="00CE4918"/>
    <w:rsid w:val="00CE7533"/>
    <w:rsid w:val="00CE76B6"/>
    <w:rsid w:val="00CF0081"/>
    <w:rsid w:val="00CF186C"/>
    <w:rsid w:val="00CF5205"/>
    <w:rsid w:val="00CF5E28"/>
    <w:rsid w:val="00CF7BBA"/>
    <w:rsid w:val="00D01593"/>
    <w:rsid w:val="00D0198A"/>
    <w:rsid w:val="00D01B56"/>
    <w:rsid w:val="00D0217E"/>
    <w:rsid w:val="00D0261A"/>
    <w:rsid w:val="00D02A94"/>
    <w:rsid w:val="00D031ED"/>
    <w:rsid w:val="00D04451"/>
    <w:rsid w:val="00D10317"/>
    <w:rsid w:val="00D12788"/>
    <w:rsid w:val="00D16104"/>
    <w:rsid w:val="00D21C8D"/>
    <w:rsid w:val="00D27797"/>
    <w:rsid w:val="00D304E8"/>
    <w:rsid w:val="00D30575"/>
    <w:rsid w:val="00D30FF0"/>
    <w:rsid w:val="00D3107B"/>
    <w:rsid w:val="00D36FFE"/>
    <w:rsid w:val="00D37C4C"/>
    <w:rsid w:val="00D42317"/>
    <w:rsid w:val="00D42C7F"/>
    <w:rsid w:val="00D42CDE"/>
    <w:rsid w:val="00D43712"/>
    <w:rsid w:val="00D47407"/>
    <w:rsid w:val="00D4766E"/>
    <w:rsid w:val="00D47DD7"/>
    <w:rsid w:val="00D53358"/>
    <w:rsid w:val="00D57BB9"/>
    <w:rsid w:val="00D61CA2"/>
    <w:rsid w:val="00D62E40"/>
    <w:rsid w:val="00D679D6"/>
    <w:rsid w:val="00D703E1"/>
    <w:rsid w:val="00D70C5D"/>
    <w:rsid w:val="00D72786"/>
    <w:rsid w:val="00D72797"/>
    <w:rsid w:val="00D75253"/>
    <w:rsid w:val="00D75751"/>
    <w:rsid w:val="00D7720C"/>
    <w:rsid w:val="00D80342"/>
    <w:rsid w:val="00D81582"/>
    <w:rsid w:val="00D816B3"/>
    <w:rsid w:val="00D8265D"/>
    <w:rsid w:val="00D8474C"/>
    <w:rsid w:val="00D85BBE"/>
    <w:rsid w:val="00D9341B"/>
    <w:rsid w:val="00D93958"/>
    <w:rsid w:val="00D94587"/>
    <w:rsid w:val="00D94CEE"/>
    <w:rsid w:val="00D95090"/>
    <w:rsid w:val="00D96B14"/>
    <w:rsid w:val="00DA063F"/>
    <w:rsid w:val="00DA2791"/>
    <w:rsid w:val="00DA2D3A"/>
    <w:rsid w:val="00DA58C4"/>
    <w:rsid w:val="00DB0274"/>
    <w:rsid w:val="00DB0C77"/>
    <w:rsid w:val="00DB71C0"/>
    <w:rsid w:val="00DC02DA"/>
    <w:rsid w:val="00DC181A"/>
    <w:rsid w:val="00DC4035"/>
    <w:rsid w:val="00DC4D1E"/>
    <w:rsid w:val="00DC5000"/>
    <w:rsid w:val="00DC5F5E"/>
    <w:rsid w:val="00DC698E"/>
    <w:rsid w:val="00DD0346"/>
    <w:rsid w:val="00DD09C5"/>
    <w:rsid w:val="00DD3028"/>
    <w:rsid w:val="00DD3E4A"/>
    <w:rsid w:val="00DD41D6"/>
    <w:rsid w:val="00DD45A5"/>
    <w:rsid w:val="00DD4861"/>
    <w:rsid w:val="00DD499D"/>
    <w:rsid w:val="00DD59F0"/>
    <w:rsid w:val="00DD779C"/>
    <w:rsid w:val="00DE0D92"/>
    <w:rsid w:val="00DE252D"/>
    <w:rsid w:val="00DE3B5E"/>
    <w:rsid w:val="00DE4C62"/>
    <w:rsid w:val="00DE5642"/>
    <w:rsid w:val="00DF0125"/>
    <w:rsid w:val="00DF1EF7"/>
    <w:rsid w:val="00DF3BFA"/>
    <w:rsid w:val="00DF6D1E"/>
    <w:rsid w:val="00E01298"/>
    <w:rsid w:val="00E0353B"/>
    <w:rsid w:val="00E0620D"/>
    <w:rsid w:val="00E07266"/>
    <w:rsid w:val="00E127CF"/>
    <w:rsid w:val="00E14897"/>
    <w:rsid w:val="00E14A1E"/>
    <w:rsid w:val="00E229C9"/>
    <w:rsid w:val="00E24486"/>
    <w:rsid w:val="00E249C6"/>
    <w:rsid w:val="00E25CD5"/>
    <w:rsid w:val="00E25E4E"/>
    <w:rsid w:val="00E25EE4"/>
    <w:rsid w:val="00E26E87"/>
    <w:rsid w:val="00E3066C"/>
    <w:rsid w:val="00E317EE"/>
    <w:rsid w:val="00E328F9"/>
    <w:rsid w:val="00E34CDB"/>
    <w:rsid w:val="00E403D6"/>
    <w:rsid w:val="00E41592"/>
    <w:rsid w:val="00E436DD"/>
    <w:rsid w:val="00E43B40"/>
    <w:rsid w:val="00E4428D"/>
    <w:rsid w:val="00E4482C"/>
    <w:rsid w:val="00E45F08"/>
    <w:rsid w:val="00E47510"/>
    <w:rsid w:val="00E507FF"/>
    <w:rsid w:val="00E50BCE"/>
    <w:rsid w:val="00E52151"/>
    <w:rsid w:val="00E522F5"/>
    <w:rsid w:val="00E548B0"/>
    <w:rsid w:val="00E54A6C"/>
    <w:rsid w:val="00E565E0"/>
    <w:rsid w:val="00E567B2"/>
    <w:rsid w:val="00E56C70"/>
    <w:rsid w:val="00E622AC"/>
    <w:rsid w:val="00E649D5"/>
    <w:rsid w:val="00E6665A"/>
    <w:rsid w:val="00E72555"/>
    <w:rsid w:val="00E74831"/>
    <w:rsid w:val="00E776B2"/>
    <w:rsid w:val="00E80E1E"/>
    <w:rsid w:val="00E817A5"/>
    <w:rsid w:val="00E83181"/>
    <w:rsid w:val="00E868AD"/>
    <w:rsid w:val="00E9084A"/>
    <w:rsid w:val="00E91C81"/>
    <w:rsid w:val="00E94506"/>
    <w:rsid w:val="00E94AF8"/>
    <w:rsid w:val="00E95E94"/>
    <w:rsid w:val="00E97B47"/>
    <w:rsid w:val="00EA0BDF"/>
    <w:rsid w:val="00EA2482"/>
    <w:rsid w:val="00EA5B16"/>
    <w:rsid w:val="00EA6C3C"/>
    <w:rsid w:val="00EA7EBF"/>
    <w:rsid w:val="00EB3187"/>
    <w:rsid w:val="00EB3404"/>
    <w:rsid w:val="00EB3735"/>
    <w:rsid w:val="00EB3E0D"/>
    <w:rsid w:val="00EB57E9"/>
    <w:rsid w:val="00EB6B18"/>
    <w:rsid w:val="00EC0046"/>
    <w:rsid w:val="00EC0EA0"/>
    <w:rsid w:val="00EC1799"/>
    <w:rsid w:val="00EC36D8"/>
    <w:rsid w:val="00EC429C"/>
    <w:rsid w:val="00EC501C"/>
    <w:rsid w:val="00EC6A18"/>
    <w:rsid w:val="00ED0990"/>
    <w:rsid w:val="00ED33D9"/>
    <w:rsid w:val="00ED44C7"/>
    <w:rsid w:val="00ED4D9B"/>
    <w:rsid w:val="00ED5038"/>
    <w:rsid w:val="00EE0282"/>
    <w:rsid w:val="00EE0308"/>
    <w:rsid w:val="00EE04C0"/>
    <w:rsid w:val="00EE14AF"/>
    <w:rsid w:val="00EE6A57"/>
    <w:rsid w:val="00EF1B9A"/>
    <w:rsid w:val="00EF2A7C"/>
    <w:rsid w:val="00EF37B4"/>
    <w:rsid w:val="00EF4327"/>
    <w:rsid w:val="00EF5278"/>
    <w:rsid w:val="00F0305F"/>
    <w:rsid w:val="00F0543B"/>
    <w:rsid w:val="00F07A4E"/>
    <w:rsid w:val="00F10368"/>
    <w:rsid w:val="00F10534"/>
    <w:rsid w:val="00F12B61"/>
    <w:rsid w:val="00F14585"/>
    <w:rsid w:val="00F1484C"/>
    <w:rsid w:val="00F1506D"/>
    <w:rsid w:val="00F203B7"/>
    <w:rsid w:val="00F23AC1"/>
    <w:rsid w:val="00F26173"/>
    <w:rsid w:val="00F26EE6"/>
    <w:rsid w:val="00F30EC2"/>
    <w:rsid w:val="00F37C01"/>
    <w:rsid w:val="00F4010C"/>
    <w:rsid w:val="00F439C5"/>
    <w:rsid w:val="00F46D69"/>
    <w:rsid w:val="00F50337"/>
    <w:rsid w:val="00F52808"/>
    <w:rsid w:val="00F53D69"/>
    <w:rsid w:val="00F6013B"/>
    <w:rsid w:val="00F61034"/>
    <w:rsid w:val="00F62119"/>
    <w:rsid w:val="00F62A62"/>
    <w:rsid w:val="00F648ED"/>
    <w:rsid w:val="00F67FD9"/>
    <w:rsid w:val="00F7111A"/>
    <w:rsid w:val="00F71CB4"/>
    <w:rsid w:val="00F721BC"/>
    <w:rsid w:val="00F7287B"/>
    <w:rsid w:val="00F739BC"/>
    <w:rsid w:val="00F77F86"/>
    <w:rsid w:val="00F8169C"/>
    <w:rsid w:val="00F81C7F"/>
    <w:rsid w:val="00F821DD"/>
    <w:rsid w:val="00F83A9F"/>
    <w:rsid w:val="00F83AF8"/>
    <w:rsid w:val="00F938F7"/>
    <w:rsid w:val="00F945F9"/>
    <w:rsid w:val="00F96ED9"/>
    <w:rsid w:val="00F97AC0"/>
    <w:rsid w:val="00F97DF6"/>
    <w:rsid w:val="00FA3146"/>
    <w:rsid w:val="00FA5451"/>
    <w:rsid w:val="00FA571A"/>
    <w:rsid w:val="00FA7A2A"/>
    <w:rsid w:val="00FB0BFE"/>
    <w:rsid w:val="00FB276A"/>
    <w:rsid w:val="00FB2893"/>
    <w:rsid w:val="00FB6D56"/>
    <w:rsid w:val="00FD13D9"/>
    <w:rsid w:val="00FD1C32"/>
    <w:rsid w:val="00FD1F41"/>
    <w:rsid w:val="00FD393B"/>
    <w:rsid w:val="00FD7A9F"/>
    <w:rsid w:val="00FE008F"/>
    <w:rsid w:val="00FE2501"/>
    <w:rsid w:val="00FE409E"/>
    <w:rsid w:val="00FF047A"/>
    <w:rsid w:val="00FF159F"/>
    <w:rsid w:val="00FF1722"/>
    <w:rsid w:val="00FF2FDF"/>
    <w:rsid w:val="00FF3065"/>
    <w:rsid w:val="00FF4A09"/>
    <w:rsid w:val="00FF6073"/>
    <w:rsid w:val="039305F0"/>
    <w:rsid w:val="03CA7FE4"/>
    <w:rsid w:val="05F83FEE"/>
    <w:rsid w:val="082E6E1D"/>
    <w:rsid w:val="0E832F0E"/>
    <w:rsid w:val="116A5C59"/>
    <w:rsid w:val="11802E1A"/>
    <w:rsid w:val="162B342C"/>
    <w:rsid w:val="164935B7"/>
    <w:rsid w:val="1A3256DD"/>
    <w:rsid w:val="1B18414A"/>
    <w:rsid w:val="1C743AFD"/>
    <w:rsid w:val="20AD2E95"/>
    <w:rsid w:val="220528C8"/>
    <w:rsid w:val="263F0E3D"/>
    <w:rsid w:val="28957F7F"/>
    <w:rsid w:val="29DE6BFA"/>
    <w:rsid w:val="2D267F17"/>
    <w:rsid w:val="2D4D247E"/>
    <w:rsid w:val="35EB3C6E"/>
    <w:rsid w:val="36E96E45"/>
    <w:rsid w:val="36F310FB"/>
    <w:rsid w:val="37D445B1"/>
    <w:rsid w:val="39B80134"/>
    <w:rsid w:val="3AA94BCA"/>
    <w:rsid w:val="3E0069E4"/>
    <w:rsid w:val="3F341CA0"/>
    <w:rsid w:val="400C54B7"/>
    <w:rsid w:val="408D4A7E"/>
    <w:rsid w:val="41E34221"/>
    <w:rsid w:val="42EE3BFC"/>
    <w:rsid w:val="44CA4F58"/>
    <w:rsid w:val="47083894"/>
    <w:rsid w:val="48C448DF"/>
    <w:rsid w:val="49D01E4F"/>
    <w:rsid w:val="4AF23C39"/>
    <w:rsid w:val="4BDB78AF"/>
    <w:rsid w:val="535E059E"/>
    <w:rsid w:val="56D341CB"/>
    <w:rsid w:val="571609D7"/>
    <w:rsid w:val="572D37EB"/>
    <w:rsid w:val="5A77096D"/>
    <w:rsid w:val="5B2E348F"/>
    <w:rsid w:val="5E3652FF"/>
    <w:rsid w:val="5E7701A8"/>
    <w:rsid w:val="60A26B32"/>
    <w:rsid w:val="60DA1935"/>
    <w:rsid w:val="628732CE"/>
    <w:rsid w:val="62E44048"/>
    <w:rsid w:val="643C448D"/>
    <w:rsid w:val="65565214"/>
    <w:rsid w:val="6571067F"/>
    <w:rsid w:val="68450249"/>
    <w:rsid w:val="6A9172E5"/>
    <w:rsid w:val="6BF113EB"/>
    <w:rsid w:val="6C1420B3"/>
    <w:rsid w:val="6CBB610E"/>
    <w:rsid w:val="6CD97BC7"/>
    <w:rsid w:val="702618DB"/>
    <w:rsid w:val="70DA38E4"/>
    <w:rsid w:val="711A7022"/>
    <w:rsid w:val="72E44388"/>
    <w:rsid w:val="74772910"/>
    <w:rsid w:val="77B762D8"/>
    <w:rsid w:val="7B490C8D"/>
    <w:rsid w:val="7CB4380E"/>
    <w:rsid w:val="7CF33BCC"/>
    <w:rsid w:val="7FA63F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nhideWhenUsed="0" w:uiPriority="9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0" w:semiHidden="0" w:name="footnote reference"/>
    <w:lsdException w:qFormat="1" w:unhideWhenUsed="0"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semiHidden/>
    <w:unhideWhenUsed/>
    <w:qFormat/>
    <w:uiPriority w:val="9"/>
    <w:pPr>
      <w:keepNext/>
      <w:keepLines/>
      <w:spacing w:before="260" w:after="260" w:line="416" w:lineRule="auto"/>
      <w:outlineLvl w:val="2"/>
    </w:pPr>
    <w:rPr>
      <w:b/>
      <w:bCs/>
      <w:sz w:val="32"/>
      <w:szCs w:val="32"/>
    </w:rPr>
  </w:style>
  <w:style w:type="paragraph" w:styleId="5">
    <w:name w:val="heading 7"/>
    <w:basedOn w:val="1"/>
    <w:next w:val="1"/>
    <w:link w:val="26"/>
    <w:qFormat/>
    <w:uiPriority w:val="99"/>
    <w:pPr>
      <w:keepNext/>
      <w:keepLines/>
      <w:spacing w:before="240" w:after="64" w:line="320" w:lineRule="auto"/>
      <w:outlineLvl w:val="6"/>
    </w:pPr>
    <w:rPr>
      <w:rFonts w:ascii="Times New Roman" w:hAnsi="Times New Roman" w:eastAsia="宋体" w:cs="Times New Roman"/>
      <w:b/>
      <w:bCs/>
      <w:kern w:val="0"/>
      <w:sz w:val="24"/>
      <w:szCs w:val="24"/>
      <w:lang w:val="zh-CN" w:eastAsia="zh-CN"/>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6">
    <w:name w:val="annotation subject"/>
    <w:basedOn w:val="7"/>
    <w:next w:val="7"/>
    <w:link w:val="30"/>
    <w:semiHidden/>
    <w:unhideWhenUsed/>
    <w:qFormat/>
    <w:uiPriority w:val="99"/>
    <w:rPr>
      <w:b/>
      <w:bCs/>
      <w:szCs w:val="22"/>
    </w:rPr>
  </w:style>
  <w:style w:type="paragraph" w:styleId="7">
    <w:name w:val="annotation text"/>
    <w:basedOn w:val="1"/>
    <w:link w:val="23"/>
    <w:unhideWhenUsed/>
    <w:qFormat/>
    <w:uiPriority w:val="0"/>
    <w:pPr>
      <w:jc w:val="left"/>
    </w:pPr>
    <w:rPr>
      <w:szCs w:val="24"/>
    </w:rPr>
  </w:style>
  <w:style w:type="paragraph" w:styleId="8">
    <w:name w:val="Balloon Text"/>
    <w:basedOn w:val="1"/>
    <w:link w:val="22"/>
    <w:semiHidden/>
    <w:unhideWhenUsed/>
    <w:qFormat/>
    <w:uiPriority w:val="99"/>
    <w:rPr>
      <w:sz w:val="18"/>
      <w:szCs w:val="18"/>
    </w:rPr>
  </w:style>
  <w:style w:type="paragraph" w:styleId="9">
    <w:name w:val="footer"/>
    <w:basedOn w:val="1"/>
    <w:link w:val="18"/>
    <w:unhideWhenUsed/>
    <w:qFormat/>
    <w:uiPriority w:val="99"/>
    <w:pPr>
      <w:tabs>
        <w:tab w:val="center" w:pos="4153"/>
        <w:tab w:val="right" w:pos="8306"/>
      </w:tabs>
      <w:snapToGrid w:val="0"/>
      <w:jc w:val="left"/>
    </w:pPr>
    <w:rPr>
      <w:sz w:val="18"/>
      <w:szCs w:val="18"/>
    </w:rPr>
  </w:style>
  <w:style w:type="paragraph" w:styleId="10">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Normal (Web)"/>
    <w:basedOn w:val="2"/>
    <w:next w:val="1"/>
    <w:unhideWhenUsed/>
    <w:qFormat/>
    <w:uiPriority w:val="0"/>
    <w:pPr>
      <w:widowControl/>
      <w:shd w:val="clear" w:color="auto" w:fill="FFFFFF"/>
      <w:adjustRightInd w:val="0"/>
      <w:snapToGrid w:val="0"/>
      <w:spacing w:before="0" w:after="0" w:line="360" w:lineRule="auto"/>
      <w:jc w:val="center"/>
      <w:outlineLvl w:val="9"/>
    </w:pPr>
    <w:rPr>
      <w:rFonts w:ascii="Times New Roman" w:hAnsi="Times New Roman" w:eastAsia="宋体" w:cs="Times New Roman"/>
      <w:b w:val="0"/>
      <w:kern w:val="0"/>
      <w:sz w:val="20"/>
      <w:szCs w:val="21"/>
      <w:lang w:val="zh-CN" w:eastAsia="zh-CN"/>
    </w:rPr>
  </w:style>
  <w:style w:type="character" w:styleId="13">
    <w:name w:val="Hyperlink"/>
    <w:basedOn w:val="12"/>
    <w:semiHidden/>
    <w:unhideWhenUsed/>
    <w:qFormat/>
    <w:uiPriority w:val="99"/>
    <w:rPr>
      <w:color w:val="0000FF"/>
      <w:u w:val="single"/>
    </w:rPr>
  </w:style>
  <w:style w:type="character" w:styleId="14">
    <w:name w:val="annotation reference"/>
    <w:qFormat/>
    <w:uiPriority w:val="99"/>
    <w:rPr>
      <w:sz w:val="21"/>
      <w:szCs w:val="21"/>
    </w:rPr>
  </w:style>
  <w:style w:type="character" w:styleId="15">
    <w:name w:val="footnote reference"/>
    <w:unhideWhenUsed/>
    <w:qFormat/>
    <w:uiPriority w:val="0"/>
    <w:rPr>
      <w:vertAlign w:val="superscript"/>
    </w:rPr>
  </w:style>
  <w:style w:type="character" w:customStyle="1" w:styleId="17">
    <w:name w:val="页眉 字符"/>
    <w:basedOn w:val="12"/>
    <w:link w:val="10"/>
    <w:qFormat/>
    <w:uiPriority w:val="99"/>
    <w:rPr>
      <w:sz w:val="18"/>
      <w:szCs w:val="18"/>
    </w:rPr>
  </w:style>
  <w:style w:type="character" w:customStyle="1" w:styleId="18">
    <w:name w:val="页脚 字符"/>
    <w:basedOn w:val="12"/>
    <w:link w:val="9"/>
    <w:qFormat/>
    <w:uiPriority w:val="99"/>
    <w:rPr>
      <w:sz w:val="18"/>
      <w:szCs w:val="18"/>
    </w:rPr>
  </w:style>
  <w:style w:type="paragraph" w:styleId="19">
    <w:name w:val="List Paragraph"/>
    <w:basedOn w:val="1"/>
    <w:qFormat/>
    <w:uiPriority w:val="34"/>
    <w:pPr>
      <w:ind w:firstLine="420" w:firstLineChars="200"/>
    </w:pPr>
  </w:style>
  <w:style w:type="character" w:customStyle="1" w:styleId="20">
    <w:name w:val="招股书正文 Char"/>
    <w:link w:val="21"/>
    <w:qFormat/>
    <w:locked/>
    <w:uiPriority w:val="0"/>
    <w:rPr>
      <w:sz w:val="24"/>
      <w:szCs w:val="24"/>
    </w:rPr>
  </w:style>
  <w:style w:type="paragraph" w:customStyle="1" w:styleId="21">
    <w:name w:val="招股书正文"/>
    <w:link w:val="20"/>
    <w:qFormat/>
    <w:uiPriority w:val="0"/>
    <w:pPr>
      <w:widowControl w:val="0"/>
      <w:overflowPunct w:val="0"/>
      <w:autoSpaceDE w:val="0"/>
      <w:autoSpaceDN w:val="0"/>
      <w:adjustRightInd w:val="0"/>
      <w:snapToGrid w:val="0"/>
      <w:spacing w:before="120" w:line="360" w:lineRule="auto"/>
      <w:ind w:firstLine="480" w:firstLineChars="200"/>
    </w:pPr>
    <w:rPr>
      <w:rFonts w:asciiTheme="minorHAnsi" w:hAnsiTheme="minorHAnsi" w:eastAsiaTheme="minorEastAsia" w:cstheme="minorBidi"/>
      <w:kern w:val="2"/>
      <w:sz w:val="24"/>
      <w:szCs w:val="24"/>
      <w:lang w:val="en-US" w:eastAsia="zh-CN" w:bidi="ar-SA"/>
    </w:rPr>
  </w:style>
  <w:style w:type="character" w:customStyle="1" w:styleId="22">
    <w:name w:val="批注框文本 字符"/>
    <w:basedOn w:val="12"/>
    <w:link w:val="8"/>
    <w:semiHidden/>
    <w:qFormat/>
    <w:uiPriority w:val="99"/>
    <w:rPr>
      <w:sz w:val="18"/>
      <w:szCs w:val="18"/>
    </w:rPr>
  </w:style>
  <w:style w:type="character" w:customStyle="1" w:styleId="23">
    <w:name w:val="批注文字 字符1"/>
    <w:link w:val="7"/>
    <w:qFormat/>
    <w:locked/>
    <w:uiPriority w:val="99"/>
    <w:rPr>
      <w:szCs w:val="24"/>
    </w:rPr>
  </w:style>
  <w:style w:type="character" w:customStyle="1" w:styleId="24">
    <w:name w:val="批注文字 字符"/>
    <w:basedOn w:val="12"/>
    <w:qFormat/>
    <w:uiPriority w:val="0"/>
  </w:style>
  <w:style w:type="character" w:customStyle="1" w:styleId="25">
    <w:name w:val="标题 7 字符"/>
    <w:basedOn w:val="12"/>
    <w:semiHidden/>
    <w:qFormat/>
    <w:uiPriority w:val="9"/>
    <w:rPr>
      <w:b/>
      <w:bCs/>
      <w:sz w:val="24"/>
      <w:szCs w:val="24"/>
    </w:rPr>
  </w:style>
  <w:style w:type="character" w:customStyle="1" w:styleId="26">
    <w:name w:val="标题 7 字符1"/>
    <w:link w:val="5"/>
    <w:qFormat/>
    <w:locked/>
    <w:uiPriority w:val="99"/>
    <w:rPr>
      <w:rFonts w:ascii="Times New Roman" w:hAnsi="Times New Roman" w:eastAsia="宋体" w:cs="Times New Roman"/>
      <w:b/>
      <w:bCs/>
      <w:kern w:val="0"/>
      <w:sz w:val="24"/>
      <w:szCs w:val="24"/>
      <w:lang w:val="zh-CN" w:eastAsia="zh-CN"/>
    </w:rPr>
  </w:style>
  <w:style w:type="character" w:customStyle="1" w:styleId="27">
    <w:name w:val="标题 2 字符"/>
    <w:basedOn w:val="12"/>
    <w:link w:val="3"/>
    <w:semiHidden/>
    <w:qFormat/>
    <w:uiPriority w:val="9"/>
    <w:rPr>
      <w:rFonts w:asciiTheme="majorHAnsi" w:hAnsiTheme="majorHAnsi" w:eastAsiaTheme="majorEastAsia" w:cstheme="majorBidi"/>
      <w:b/>
      <w:bCs/>
      <w:sz w:val="32"/>
      <w:szCs w:val="32"/>
    </w:rPr>
  </w:style>
  <w:style w:type="character" w:customStyle="1" w:styleId="28">
    <w:name w:val="标题 3 字符"/>
    <w:basedOn w:val="12"/>
    <w:link w:val="4"/>
    <w:semiHidden/>
    <w:qFormat/>
    <w:uiPriority w:val="9"/>
    <w:rPr>
      <w:b/>
      <w:bCs/>
      <w:sz w:val="32"/>
      <w:szCs w:val="32"/>
    </w:rPr>
  </w:style>
  <w:style w:type="character" w:customStyle="1" w:styleId="29">
    <w:name w:val="标题 1 字符"/>
    <w:basedOn w:val="12"/>
    <w:link w:val="2"/>
    <w:qFormat/>
    <w:uiPriority w:val="9"/>
    <w:rPr>
      <w:b/>
      <w:bCs/>
      <w:kern w:val="44"/>
      <w:sz w:val="44"/>
      <w:szCs w:val="44"/>
    </w:rPr>
  </w:style>
  <w:style w:type="character" w:customStyle="1" w:styleId="30">
    <w:name w:val="批注主题 字符"/>
    <w:basedOn w:val="23"/>
    <w:link w:val="6"/>
    <w:semiHidden/>
    <w:qFormat/>
    <w:uiPriority w:val="99"/>
    <w:rPr>
      <w:b/>
      <w:bCs/>
      <w:szCs w:val="24"/>
    </w:rPr>
  </w:style>
  <w:style w:type="paragraph" w:customStyle="1" w:styleId="31">
    <w:name w:val="Revision"/>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32">
    <w:name w:val="B5: 正文（1）①"/>
    <w:basedOn w:val="1"/>
    <w:qFormat/>
    <w:uiPriority w:val="99"/>
    <w:pPr>
      <w:snapToGrid w:val="0"/>
      <w:spacing w:before="50" w:beforeLines="50" w:line="360" w:lineRule="auto"/>
      <w:ind w:firstLine="200" w:firstLineChars="200"/>
    </w:pPr>
    <w:rPr>
      <w:rFonts w:ascii="Times New Roman" w:hAnsi="Times New Roman" w:eastAsia="宋体" w:cs="Times New Roman"/>
      <w:sz w:val="24"/>
      <w:szCs w:val="24"/>
      <w:lang w:val="zh-CN"/>
    </w:rPr>
  </w:style>
  <w:style w:type="paragraph" w:customStyle="1" w:styleId="33">
    <w:name w:val="B7:单位"/>
    <w:basedOn w:val="1"/>
    <w:qFormat/>
    <w:uiPriority w:val="0"/>
    <w:pPr>
      <w:keepNext/>
      <w:snapToGrid w:val="0"/>
      <w:spacing w:before="50" w:beforeLines="50"/>
      <w:jc w:val="right"/>
    </w:pPr>
    <w:rPr>
      <w:rFonts w:ascii="Times New Roman" w:hAnsi="Times New Roman" w:eastAsia="宋体" w:cs="Times New Roman"/>
      <w:szCs w:val="24"/>
      <w:lang w:val="zh-CN"/>
    </w:rPr>
  </w:style>
  <w:style w:type="paragraph" w:customStyle="1" w:styleId="34">
    <w:name w:val="B4: 1、"/>
    <w:basedOn w:val="1"/>
    <w:qFormat/>
    <w:uiPriority w:val="0"/>
    <w:pPr>
      <w:keepNext/>
      <w:keepLines/>
      <w:snapToGrid w:val="0"/>
      <w:spacing w:before="50" w:beforeLines="50" w:line="360" w:lineRule="auto"/>
      <w:ind w:firstLine="200" w:firstLineChars="200"/>
      <w:outlineLvl w:val="3"/>
    </w:pPr>
    <w:rPr>
      <w:rFonts w:ascii="Times New Roman" w:hAnsi="Times New Roman" w:eastAsia="宋体" w:cs="Times New Roman"/>
      <w:b/>
      <w:sz w:val="24"/>
      <w:szCs w:val="24"/>
      <w:lang w:val="zh-CN"/>
    </w:rPr>
  </w:style>
  <w:style w:type="paragraph" w:customStyle="1" w:styleId="35">
    <w:name w:val="B3: (一)"/>
    <w:basedOn w:val="1"/>
    <w:qFormat/>
    <w:uiPriority w:val="0"/>
    <w:pPr>
      <w:keepNext/>
      <w:keepLines/>
      <w:snapToGrid w:val="0"/>
      <w:spacing w:before="50" w:beforeLines="50" w:line="360" w:lineRule="auto"/>
      <w:outlineLvl w:val="2"/>
    </w:pPr>
    <w:rPr>
      <w:rFonts w:ascii="Times New Roman" w:hAnsi="Times New Roman" w:eastAsia="宋体" w:cs="Times New Roman"/>
      <w:b/>
      <w:sz w:val="24"/>
      <w:szCs w:val="24"/>
      <w:lang w:val="zh-CN"/>
    </w:rPr>
  </w:style>
  <w:style w:type="paragraph" w:customStyle="1" w:styleId="36">
    <w:name w:val="005正文"/>
    <w:basedOn w:val="1"/>
    <w:link w:val="37"/>
    <w:qFormat/>
    <w:uiPriority w:val="0"/>
    <w:pPr>
      <w:spacing w:before="50" w:beforeLines="50" w:line="360" w:lineRule="auto"/>
      <w:ind w:firstLine="200" w:firstLineChars="200"/>
    </w:pPr>
    <w:rPr>
      <w:rFonts w:ascii="Times New Roman" w:hAnsi="Times New Roman" w:eastAsia="宋体" w:cs="Times New Roman"/>
      <w:sz w:val="24"/>
    </w:rPr>
  </w:style>
  <w:style w:type="character" w:customStyle="1" w:styleId="37">
    <w:name w:val="005正文 Char"/>
    <w:link w:val="36"/>
    <w:qFormat/>
    <w:uiPriority w:val="0"/>
    <w:rPr>
      <w:rFonts w:ascii="Times New Roman" w:hAnsi="Times New Roman" w:eastAsia="宋体" w:cs="Times New Roman"/>
      <w:sz w:val="24"/>
    </w:rPr>
  </w:style>
  <w:style w:type="paragraph" w:customStyle="1" w:styleId="38">
    <w:name w:val="009单位"/>
    <w:basedOn w:val="36"/>
    <w:qFormat/>
    <w:uiPriority w:val="0"/>
    <w:pPr>
      <w:keepNext/>
      <w:spacing w:before="0" w:beforeLines="0" w:line="240" w:lineRule="auto"/>
      <w:ind w:firstLine="0" w:firstLineChars="0"/>
      <w:jc w:val="right"/>
    </w:pPr>
    <w:rPr>
      <w:sz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FC5ABA-4D9A-4853-BE31-F771F0DB5A58}">
  <ds:schemaRefs/>
</ds:datastoreItem>
</file>

<file path=docProps/app.xml><?xml version="1.0" encoding="utf-8"?>
<Properties xmlns="http://schemas.openxmlformats.org/officeDocument/2006/extended-properties" xmlns:vt="http://schemas.openxmlformats.org/officeDocument/2006/docPropsVTypes">
  <Template>Normal</Template>
  <Pages>26</Pages>
  <Words>2725</Words>
  <Characters>15534</Characters>
  <Lines>129</Lines>
  <Paragraphs>36</Paragraphs>
  <TotalTime>21</TotalTime>
  <ScaleCrop>false</ScaleCrop>
  <LinksUpToDate>false</LinksUpToDate>
  <CharactersWithSpaces>18223</CharactersWithSpaces>
  <Application>WPS Office_10.8.2.7090_F1E327BC-269C-435d-A152-05C5408002CA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2020-08-03T10:22:00Z</dcterms:created>
  <dc:creator>高伟</dc:creator>
  <cp:lastModifiedBy>张晋</cp:lastModifiedBy>
  <dcterms:modified xsi:type="dcterms:W3CDTF">2020-12-04T09:30:52Z</dcterms:modified>
  <dc:title>【非财务信息审核概要】</dc:title>
  <cp:revision>160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