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0"/>
        <w:jc w:val="both"/>
      </w:pPr>
    </w:p>
    <w:p>
      <w:pPr>
        <w:spacing w:before="0" w:after="80"/>
        <w:jc w:val="center"/>
      </w:pPr>
      <w:r>
        <w:rPr>
          <w:rFonts w:ascii="Times New Roman" w:hAnsi="Times New Roman" w:cs="Times New Roman"/>
          <w:rFonts w:ascii="Times New Roman" w:hAnsi="Times New Roman"/>
          <w:b/>
          <w:i w:val="0"/>
          <w:color w:val="1F497D"/>
          <w:sz w:val="40"/>
        </w:rPr>
        <w:t>Quantifying Climate Risk &amp; Pricing Adequacy in SEA</w:t>
      </w:r>
    </w:p>
    <w:p>
      <w:pPr>
        <w:spacing w:before="0" w:after="600"/>
        <w:jc w:val="center"/>
      </w:pPr>
      <w:r>
        <w:rPr>
          <w:rFonts w:ascii="Times New Roman" w:hAnsi="Times New Roman" w:cs="Times New Roman"/>
          <w:rFonts w:ascii="Times New Roman" w:hAnsi="Times New Roman"/>
          <w:b/>
          <w:i w:val="0"/>
          <w:sz w:val="28"/>
        </w:rPr>
        <w:t>Documentation</w:t>
      </w:r>
    </w:p>
    <w:p>
      <w:pPr>
        <w:spacing w:before="0" w:after="320"/>
        <w:jc w:val="center"/>
      </w:pPr>
      <w:r>
        <w:rPr>
          <w:rFonts w:ascii="Times New Roman" w:hAnsi="Times New Roman" w:cs="Times New Roman"/>
          <w:rFonts w:ascii="Times New Roman" w:hAnsi="Times New Roman"/>
          <w:b/>
          <w:i w:val="0"/>
          <w:sz w:val="26"/>
        </w:rPr>
        <w:t>Team: Numbers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Email</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Khe Jia Kang</w:t>
            </w:r>
          </w:p>
        </w:tc>
        <w:tc>
          <w:tcPr>
            <w:tcW w:type="dxa" w:w="5043"/>
          </w:tcPr>
          <w:p>
            <w:pPr>
              <w:spacing w:after="20" w:before="20"/>
              <w:jc w:val="center"/>
            </w:pPr>
            <w:r>
              <w:rPr>
                <w:rFonts w:ascii="Times New Roman" w:hAnsi="Times New Roman" w:cs="Times New Roman"/>
                <w:rFonts w:ascii="Times New Roman" w:hAnsi="Times New Roman"/>
                <w:b w:val="0"/>
                <w:i w:val="0"/>
                <w:sz w:val="24"/>
              </w:rPr>
              <w:t>jiakangkhe@gmail.com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Lean Wen Jie</w:t>
            </w:r>
          </w:p>
        </w:tc>
        <w:tc>
          <w:tcPr>
            <w:tcW w:type="dxa" w:w="5043"/>
          </w:tcPr>
          <w:p>
            <w:pPr>
              <w:spacing w:after="20" w:before="20"/>
              <w:jc w:val="center"/>
            </w:pPr>
            <w:r>
              <w:rPr>
                <w:rFonts w:ascii="Times New Roman" w:hAnsi="Times New Roman" w:cs="Times New Roman"/>
                <w:rFonts w:ascii="Times New Roman" w:hAnsi="Times New Roman"/>
                <w:b w:val="0"/>
                <w:i w:val="0"/>
                <w:sz w:val="24"/>
              </w:rPr>
              <w:t>jetlean0707@gmail.com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Lee Jing Xuan</w:t>
            </w:r>
          </w:p>
        </w:tc>
        <w:tc>
          <w:tcPr>
            <w:tcW w:type="dxa" w:w="5043"/>
          </w:tcPr>
          <w:p>
            <w:pPr>
              <w:spacing w:after="20" w:before="20"/>
              <w:jc w:val="center"/>
            </w:pPr>
            <w:r>
              <w:rPr>
                <w:rFonts w:ascii="Times New Roman" w:hAnsi="Times New Roman" w:cs="Times New Roman"/>
                <w:rFonts w:ascii="Times New Roman" w:hAnsi="Times New Roman"/>
                <w:b w:val="0"/>
                <w:i w:val="0"/>
                <w:sz w:val="24"/>
              </w:rPr>
              <w:t>jingx349@gmail.com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Lau Hiap Meng</w:t>
            </w:r>
          </w:p>
        </w:tc>
        <w:tc>
          <w:tcPr>
            <w:tcW w:type="dxa" w:w="5043"/>
          </w:tcPr>
          <w:p>
            <w:pPr>
              <w:spacing w:after="20" w:before="20"/>
              <w:jc w:val="center"/>
            </w:pPr>
            <w:r>
              <w:rPr>
                <w:rFonts w:ascii="Times New Roman" w:hAnsi="Times New Roman" w:cs="Times New Roman"/>
                <w:rFonts w:ascii="Times New Roman" w:hAnsi="Times New Roman"/>
                <w:b w:val="0"/>
                <w:i w:val="0"/>
                <w:sz w:val="24"/>
              </w:rPr>
              <w:t>hiapmenglau@gmail.com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Felicia Sia Xin Rou</w:t>
            </w:r>
          </w:p>
        </w:tc>
        <w:tc>
          <w:tcPr>
            <w:tcW w:type="dxa" w:w="5043"/>
          </w:tcPr>
          <w:p>
            <w:pPr>
              <w:spacing w:after="20" w:before="20"/>
              <w:jc w:val="center"/>
            </w:pPr>
            <w:r>
              <w:rPr>
                <w:rFonts w:ascii="Times New Roman" w:hAnsi="Times New Roman" w:cs="Times New Roman"/>
                <w:rFonts w:ascii="Times New Roman" w:hAnsi="Times New Roman"/>
                <w:b w:val="0"/>
                <w:i w:val="0"/>
                <w:sz w:val="24"/>
              </w:rPr>
              <w:t>flc.066734@gmail.com</w:t>
            </w:r>
          </w:p>
        </w:tc>
      </w:tr>
    </w:tbl>
    <w:p>
      <w:pPr>
        <w:spacing w:before="0" w:after="160"/>
        <w:jc w:val="both"/>
      </w:pPr>
    </w:p>
    <w:p>
      <w:pPr>
        <w:spacing w:before="0" w:after="40"/>
        <w:jc w:val="center"/>
      </w:pPr>
      <w:r>
        <w:rPr>
          <w:rFonts w:ascii="Times New Roman" w:hAnsi="Times New Roman" w:cs="Times New Roman"/>
          <w:rFonts w:ascii="Times New Roman" w:hAnsi="Times New Roman"/>
          <w:b w:val="0"/>
          <w:i/>
          <w:sz w:val="22"/>
        </w:rPr>
        <w:t>MASA Hackathon 2026  ·  Hannover Re  ·  Universiti Malaya</w:t>
      </w:r>
    </w:p>
    <w:p>
      <w:r>
        <w:br w:type="page"/>
      </w:r>
    </w:p>
    <w:p>
      <w:pPr>
        <w:spacing w:before="100" w:after="40"/>
        <w:jc w:val="left"/>
      </w:pPr>
      <w:r>
        <w:rPr>
          <w:rFonts w:ascii="Times New Roman" w:hAnsi="Times New Roman" w:cs="Times New Roman"/>
          <w:rFonts w:ascii="Times New Roman" w:hAnsi="Times New Roman"/>
          <w:b/>
          <w:i w:val="0"/>
          <w:color w:val="1F497D"/>
          <w:sz w:val="26"/>
        </w:rPr>
        <w:t>Declaration of Originality &amp; Compliance</w:t>
      </w:r>
    </w:p>
    <w:p>
      <w:pPr>
        <w:spacing w:before="0" w:after="80"/>
        <w:jc w:val="both"/>
      </w:pPr>
      <w:r>
        <w:rPr>
          <w:rFonts w:ascii="Times New Roman" w:hAnsi="Times New Roman" w:cs="Times New Roman"/>
          <w:rFonts w:ascii="Times New Roman" w:hAnsi="Times New Roman"/>
          <w:b w:val="0"/>
          <w:i w:val="0"/>
          <w:sz w:val="24"/>
        </w:rPr>
        <w:t>To: The Organizing Committee, MASA Hackathon 2026</w:t>
      </w:r>
    </w:p>
    <w:p>
      <w:pPr>
        <w:spacing w:before="60" w:after="20"/>
        <w:jc w:val="left"/>
      </w:pPr>
      <w:r>
        <w:rPr>
          <w:rFonts w:ascii="Times New Roman" w:hAnsi="Times New Roman" w:cs="Times New Roman"/>
          <w:rFonts w:ascii="Times New Roman" w:hAnsi="Times New Roman"/>
          <w:b/>
          <w:i w:val="0"/>
          <w:color w:val="1F497D"/>
          <w:sz w:val="24"/>
        </w:rPr>
        <w:t>1. Statement of Originality</w:t>
      </w:r>
    </w:p>
    <w:p>
      <w:pPr>
        <w:spacing w:before="0" w:after="40"/>
        <w:jc w:val="both"/>
      </w:pPr>
      <w:r>
        <w:rPr>
          <w:rFonts w:ascii="Times New Roman" w:hAnsi="Times New Roman" w:cs="Times New Roman"/>
          <w:rFonts w:ascii="Times New Roman" w:hAnsi="Times New Roman"/>
          <w:b w:val="0"/>
          <w:i w:val="0"/>
          <w:sz w:val="24"/>
        </w:rPr>
        <w:t>We, the undersigned members of "Numbers", declare that this submission for the MASA Hackathon 2026 is our original work. The conceptual framework, methodology, and code were developed solely by our team. The synthesis of regime break detection with extreme value theory, and the BNM-CCPT-anchored pass-through rate matrix for treaty repricing, constitutes an original actuarial contribution that does not infringe any third-party intellectual property rights.</w:t>
      </w:r>
    </w:p>
    <w:p>
      <w:pPr>
        <w:spacing w:before="60" w:after="20"/>
        <w:jc w:val="left"/>
      </w:pPr>
      <w:r>
        <w:rPr>
          <w:rFonts w:ascii="Times New Roman" w:hAnsi="Times New Roman" w:cs="Times New Roman"/>
          <w:rFonts w:ascii="Times New Roman" w:hAnsi="Times New Roman"/>
          <w:b/>
          <w:i w:val="0"/>
          <w:color w:val="1F497D"/>
          <w:sz w:val="24"/>
        </w:rPr>
        <w:t>2. Compliance</w:t>
      </w:r>
    </w:p>
    <w:p>
      <w:pPr>
        <w:spacing w:before="0" w:after="40"/>
        <w:jc w:val="both"/>
      </w:pPr>
      <w:r>
        <w:rPr>
          <w:rFonts w:ascii="Times New Roman" w:hAnsi="Times New Roman" w:cs="Times New Roman"/>
          <w:rFonts w:ascii="Times New Roman" w:hAnsi="Times New Roman"/>
          <w:b w:val="0"/>
          <w:i w:val="0"/>
          <w:sz w:val="24"/>
        </w:rPr>
        <w:t>We confirm full compliance with all rules, eligibility requirements, data usage restrictions, and submission deadlines of the MASA Hackathon 2026.</w:t>
      </w:r>
    </w:p>
    <w:p>
      <w:pPr>
        <w:spacing w:before="60" w:after="20"/>
        <w:jc w:val="left"/>
      </w:pPr>
      <w:r>
        <w:rPr>
          <w:rFonts w:ascii="Times New Roman" w:hAnsi="Times New Roman" w:cs="Times New Roman"/>
          <w:rFonts w:ascii="Times New Roman" w:hAnsi="Times New Roman"/>
          <w:b/>
          <w:i w:val="0"/>
          <w:color w:val="1F497D"/>
          <w:sz w:val="24"/>
        </w:rPr>
        <w:t>3. AI &amp; External Resource Disclosure</w:t>
      </w:r>
    </w:p>
    <w:p>
      <w:pPr>
        <w:spacing w:before="0" w:after="40"/>
        <w:jc w:val="both"/>
      </w:pPr>
      <w:r>
        <w:rPr>
          <w:rFonts w:ascii="Times New Roman" w:hAnsi="Times New Roman" w:cs="Times New Roman"/>
          <w:rFonts w:ascii="Times New Roman" w:hAnsi="Times New Roman"/>
          <w:b w:val="0"/>
          <w:i w:val="0"/>
          <w:sz w:val="24"/>
        </w:rPr>
        <w:t>All external datasets and references are cited. AI tools (Claude Sonnet 4.6, Anthropic) were used for code structuring and documentation drafting only. Core actuarial logic remains our team's primary intellectual output, verified against WDI, CHIRPS, EM-DAT, NOAA ONI, NGFS, and Climate Watch data sources.</w:t>
      </w:r>
    </w:p>
    <w:p>
      <w:pPr>
        <w:spacing w:before="60" w:after="20"/>
        <w:jc w:val="left"/>
      </w:pPr>
      <w:r>
        <w:rPr>
          <w:rFonts w:ascii="Times New Roman" w:hAnsi="Times New Roman" w:cs="Times New Roman"/>
          <w:rFonts w:ascii="Times New Roman" w:hAnsi="Times New Roman"/>
          <w:b/>
          <w:i w:val="0"/>
          <w:color w:val="1F497D"/>
          <w:sz w:val="24"/>
        </w:rPr>
        <w:t>Signatures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Signature</w:t>
            </w:r>
          </w:p>
        </w:tc>
      </w:tr>
      <w:tr>
        <w:tc>
          <w:tcPr>
            <w:tcW w:type="dxa" w:w="5043"/>
          </w:tcPr>
          <w:p>
            <w:pPr>
              <w:jc w:val="center"/>
            </w:pPr>
            <w:r>
              <w:rPr>
                <w:rFonts w:ascii="Times New Roman" w:hAnsi="Times New Roman" w:cs="Times New Roman"/>
                <w:rFonts w:ascii="Times New Roman" w:hAnsi="Times New Roman"/>
                <w:b w:val="0"/>
                <w:i w:val="0"/>
                <w:sz w:val="24"/>
              </w:rPr>
              <w:t>Khe Jia Kang</w:t>
            </w:r>
          </w:p>
        </w:tc>
        <w:tc>
          <w:tcPr>
            <w:tcW w:type="dxa" w:w="5043"/>
          </w:tcPr>
          <w:p>
            <w:pPr>
              <w:jc w:val="center"/>
            </w:pPr>
            <w:r>
              <w:rPr>
                <w:rFonts w:ascii="Times New Roman" w:hAnsi="Times New Roman" w:cs="Times New Roman"/>
                <w:rFonts w:ascii="Times New Roman" w:hAnsi="Times New Roman"/>
                <w:b w:val="0"/>
                <w:i w:val="0"/>
                <w:sz w:val="24"/>
              </w:rPr>
              <w:t>Jia Kang</w:t>
            </w:r>
          </w:p>
        </w:tc>
      </w:tr>
      <w:tr>
        <w:tc>
          <w:tcPr>
            <w:tcW w:type="dxa" w:w="5043"/>
          </w:tcPr>
          <w:p>
            <w:pPr>
              <w:jc w:val="center"/>
            </w:pPr>
            <w:r>
              <w:rPr>
                <w:rFonts w:ascii="Times New Roman" w:hAnsi="Times New Roman" w:cs="Times New Roman"/>
                <w:rFonts w:ascii="Times New Roman" w:hAnsi="Times New Roman"/>
                <w:b w:val="0"/>
                <w:i w:val="0"/>
                <w:sz w:val="24"/>
              </w:rPr>
              <w:t>Lean Wen Jie</w:t>
            </w:r>
          </w:p>
        </w:tc>
        <w:tc>
          <w:tcPr>
            <w:tcW w:type="dxa" w:w="5043"/>
          </w:tcPr>
          <w:p>
            <w:pPr>
              <w:jc w:val="center"/>
            </w:pPr>
            <w:r>
              <w:rPr>
                <w:rFonts w:ascii="Times New Roman" w:hAnsi="Times New Roman" w:cs="Times New Roman"/>
                <w:rFonts w:ascii="Times New Roman" w:hAnsi="Times New Roman"/>
                <w:b w:val="0"/>
                <w:i w:val="0"/>
                <w:sz w:val="24"/>
              </w:rPr>
              <w:t>Wen Jie</w:t>
            </w:r>
          </w:p>
        </w:tc>
      </w:tr>
      <w:tr>
        <w:tc>
          <w:tcPr>
            <w:tcW w:type="dxa" w:w="5043"/>
          </w:tcPr>
          <w:p>
            <w:pPr>
              <w:jc w:val="center"/>
            </w:pPr>
            <w:r>
              <w:rPr>
                <w:rFonts w:ascii="Times New Roman" w:hAnsi="Times New Roman" w:cs="Times New Roman"/>
                <w:rFonts w:ascii="Times New Roman" w:hAnsi="Times New Roman"/>
                <w:b w:val="0"/>
                <w:i w:val="0"/>
                <w:sz w:val="24"/>
              </w:rPr>
              <w:t>Lee Jing Xuan</w:t>
            </w:r>
          </w:p>
        </w:tc>
        <w:tc>
          <w:tcPr>
            <w:tcW w:type="dxa" w:w="5043"/>
          </w:tcPr>
          <w:p>
            <w:pPr>
              <w:jc w:val="center"/>
            </w:pPr>
            <w:r>
              <w:rPr>
                <w:rFonts w:ascii="Times New Roman" w:hAnsi="Times New Roman" w:cs="Times New Roman"/>
                <w:rFonts w:ascii="Times New Roman" w:hAnsi="Times New Roman"/>
                <w:b w:val="0"/>
                <w:i w:val="0"/>
                <w:sz w:val="24"/>
              </w:rPr>
              <w:t>Sean</w:t>
            </w:r>
          </w:p>
        </w:tc>
      </w:tr>
      <w:tr>
        <w:tc>
          <w:tcPr>
            <w:tcW w:type="dxa" w:w="5043"/>
          </w:tcPr>
          <w:p>
            <w:pPr>
              <w:jc w:val="center"/>
            </w:pPr>
            <w:r>
              <w:rPr>
                <w:rFonts w:ascii="Times New Roman" w:hAnsi="Times New Roman" w:cs="Times New Roman"/>
                <w:rFonts w:ascii="Times New Roman" w:hAnsi="Times New Roman"/>
                <w:b w:val="0"/>
                <w:i w:val="0"/>
                <w:sz w:val="24"/>
              </w:rPr>
              <w:t>Lau Hiap Meng</w:t>
            </w:r>
          </w:p>
        </w:tc>
        <w:tc>
          <w:tcPr>
            <w:tcW w:type="dxa" w:w="5043"/>
          </w:tcPr>
          <w:p>
            <w:pPr>
              <w:jc w:val="center"/>
            </w:pPr>
            <w:r>
              <w:rPr>
                <w:rFonts w:ascii="Times New Roman" w:hAnsi="Times New Roman" w:cs="Times New Roman"/>
                <w:rFonts w:ascii="Times New Roman" w:hAnsi="Times New Roman"/>
                <w:b w:val="0"/>
                <w:i w:val="0"/>
                <w:sz w:val="24"/>
              </w:rPr>
              <w:t>Hiap Meng</w:t>
            </w:r>
          </w:p>
        </w:tc>
      </w:tr>
      <w:tr>
        <w:tc>
          <w:tcPr>
            <w:tcW w:type="dxa" w:w="5043"/>
          </w:tcPr>
          <w:p>
            <w:pPr>
              <w:jc w:val="center"/>
            </w:pPr>
            <w:r>
              <w:rPr>
                <w:rFonts w:ascii="Times New Roman" w:hAnsi="Times New Roman" w:cs="Times New Roman"/>
                <w:rFonts w:ascii="Times New Roman" w:hAnsi="Times New Roman"/>
                <w:b w:val="0"/>
                <w:i w:val="0"/>
                <w:sz w:val="24"/>
              </w:rPr>
              <w:t>Felicia Sia Xin Rou</w:t>
            </w:r>
          </w:p>
        </w:tc>
        <w:tc>
          <w:tcPr>
            <w:tcW w:type="dxa" w:w="5043"/>
          </w:tcPr>
          <w:p>
            <w:pPr>
              <w:jc w:val="center"/>
            </w:pPr>
            <w:r>
              <w:rPr>
                <w:rFonts w:ascii="Times New Roman" w:hAnsi="Times New Roman" w:cs="Times New Roman"/>
                <w:rFonts w:ascii="Times New Roman" w:hAnsi="Times New Roman"/>
                <w:b w:val="0"/>
                <w:i w:val="0"/>
                <w:sz w:val="24"/>
              </w:rPr>
              <w:t>Felicia</w:t>
            </w:r>
          </w:p>
        </w:tc>
      </w:tr>
    </w:tbl>
    <w:p>
      <w:r>
        <w:br w:type="page"/>
      </w:r>
    </w:p>
    <w:p>
      <w:pPr>
        <w:spacing w:before="100" w:after="40"/>
        <w:jc w:val="left"/>
      </w:pPr>
      <w:r>
        <w:rPr>
          <w:rFonts w:ascii="Times New Roman" w:hAnsi="Times New Roman" w:cs="Times New Roman"/>
          <w:rFonts w:ascii="Times New Roman" w:hAnsi="Times New Roman"/>
          <w:b/>
          <w:i w:val="0"/>
          <w:color w:val="1F497D"/>
          <w:sz w:val="26"/>
        </w:rPr>
        <w:t>Table of Contents</w:t>
      </w:r>
    </w:p>
    <w:p>
      <w:pPr>
        <w:spacing w:after="40"/>
      </w:pPr>
      <w:r>
        <w:rPr>
          <w:rFonts w:ascii="Times New Roman" w:hAnsi="Times New Roman" w:cs="Times New Roman"/>
          <w:rFonts w:ascii="Times New Roman" w:hAnsi="Times New Roman"/>
          <w:b/>
          <w:i w:val="0"/>
          <w:sz w:val="24"/>
        </w:rPr>
        <w:t>1.  Executive Summary</w:t>
      </w:r>
    </w:p>
    <w:p>
      <w:pPr>
        <w:spacing w:after="40"/>
      </w:pPr>
      <w:r>
        <w:rPr>
          <w:rFonts w:ascii="Times New Roman" w:hAnsi="Times New Roman" w:cs="Times New Roman"/>
          <w:rFonts w:ascii="Times New Roman" w:hAnsi="Times New Roman"/>
          <w:b/>
          <w:i w:val="0"/>
          <w:sz w:val="24"/>
        </w:rPr>
        <w:t>2.  What Has Changed Since These Treaties Were Priced</w:t>
      </w:r>
    </w:p>
    <w:p>
      <w:pPr>
        <w:spacing w:after="40"/>
      </w:pPr>
      <w:r>
        <w:rPr>
          <w:rFonts w:ascii="Times New Roman" w:hAnsi="Times New Roman" w:cs="Times New Roman"/>
          <w:rFonts w:ascii="Times New Roman" w:hAnsi="Times New Roman"/>
          <w:b/>
          <w:i w:val="0"/>
          <w:sz w:val="24"/>
        </w:rPr>
        <w:t>3.  How Much Carbon Will Flow Into 2030 Treaties</w:t>
      </w:r>
    </w:p>
    <w:p>
      <w:pPr>
        <w:spacing w:after="40"/>
      </w:pPr>
      <w:r>
        <w:rPr>
          <w:rFonts w:ascii="Times New Roman" w:hAnsi="Times New Roman" w:cs="Times New Roman"/>
          <w:rFonts w:ascii="Times New Roman" w:hAnsi="Times New Roman"/>
          <w:b/>
          <w:i w:val="0"/>
          <w:sz w:val="24"/>
        </w:rPr>
        <w:t>4.  Why Floods Are Mispriced and by How Much</w:t>
      </w:r>
    </w:p>
    <w:p>
      <w:pPr>
        <w:spacing w:after="40"/>
      </w:pPr>
      <w:r>
        <w:rPr>
          <w:rFonts w:ascii="Times New Roman" w:hAnsi="Times New Roman" w:cs="Times New Roman"/>
          <w:rFonts w:ascii="Times New Roman" w:hAnsi="Times New Roman"/>
          <w:b/>
          <w:i w:val="0"/>
          <w:sz w:val="24"/>
        </w:rPr>
        <w:t>5.  Why We Don't Price for El Niño — and When We Should Audit</w:t>
      </w:r>
    </w:p>
    <w:p>
      <w:pPr>
        <w:spacing w:after="40"/>
      </w:pPr>
      <w:r>
        <w:rPr>
          <w:rFonts w:ascii="Times New Roman" w:hAnsi="Times New Roman" w:cs="Times New Roman"/>
          <w:rFonts w:ascii="Times New Roman" w:hAnsi="Times New Roman"/>
          <w:b/>
          <w:i w:val="0"/>
          <w:sz w:val="24"/>
        </w:rPr>
        <w:t>6.  The Carbon Cost Flowing Into Treaty Premiums</w:t>
      </w:r>
    </w:p>
    <w:p>
      <w:pPr>
        <w:spacing w:after="40"/>
      </w:pPr>
      <w:r>
        <w:rPr>
          <w:rFonts w:ascii="Times New Roman" w:hAnsi="Times New Roman" w:cs="Times New Roman"/>
          <w:rFonts w:ascii="Times New Roman" w:hAnsi="Times New Roman"/>
          <w:b/>
          <w:i w:val="0"/>
          <w:sz w:val="24"/>
        </w:rPr>
        <w:t>7.  What the Numbers Look Like in 2027 and 2030</w:t>
      </w:r>
    </w:p>
    <w:p>
      <w:pPr>
        <w:spacing w:after="40"/>
      </w:pPr>
      <w:r>
        <w:rPr>
          <w:rFonts w:ascii="Times New Roman" w:hAnsi="Times New Roman" w:cs="Times New Roman"/>
          <w:rFonts w:ascii="Times New Roman" w:hAnsi="Times New Roman"/>
          <w:b/>
          <w:i w:val="0"/>
          <w:sz w:val="24"/>
        </w:rPr>
        <w:t>8.  The Financial Impact on Hannover Re</w:t>
      </w:r>
    </w:p>
    <w:p>
      <w:pPr>
        <w:spacing w:after="40"/>
      </w:pPr>
      <w:r>
        <w:rPr>
          <w:rFonts w:ascii="Times New Roman" w:hAnsi="Times New Roman" w:cs="Times New Roman"/>
          <w:rFonts w:ascii="Times New Roman" w:hAnsi="Times New Roman"/>
          <w:b/>
          <w:i w:val="0"/>
          <w:sz w:val="24"/>
        </w:rPr>
        <w:t>9.  Five Actions to Close the Gap</w:t>
      </w:r>
    </w:p>
    <w:p>
      <w:pPr>
        <w:spacing w:after="40"/>
      </w:pPr>
      <w:r>
        <w:rPr>
          <w:rFonts w:ascii="Times New Roman" w:hAnsi="Times New Roman" w:cs="Times New Roman"/>
          <w:rFonts w:ascii="Times New Roman" w:hAnsi="Times New Roman"/>
          <w:b/>
          <w:i w:val="0"/>
          <w:sz w:val="24"/>
        </w:rPr>
        <w:t>10.  Limitations, Scalability &amp; Conclusion</w:t>
      </w:r>
    </w:p>
    <w:p>
      <w:pPr>
        <w:spacing w:after="20"/>
      </w:pPr>
      <w:r>
        <w:rPr>
          <w:rFonts w:ascii="Times New Roman" w:hAnsi="Times New Roman" w:cs="Times New Roman"/>
          <w:rFonts w:ascii="Times New Roman" w:hAnsi="Times New Roman"/>
          <w:b w:val="0"/>
          <w:i/>
          <w:sz w:val="22"/>
        </w:rPr>
        <w:t xml:space="preserve">  10.1  Key Limitations</w:t>
      </w:r>
    </w:p>
    <w:p>
      <w:pPr>
        <w:spacing w:after="20"/>
      </w:pPr>
      <w:r>
        <w:rPr>
          <w:rFonts w:ascii="Times New Roman" w:hAnsi="Times New Roman" w:cs="Times New Roman"/>
          <w:rFonts w:ascii="Times New Roman" w:hAnsi="Times New Roman"/>
          <w:b w:val="0"/>
          <w:i/>
          <w:sz w:val="22"/>
        </w:rPr>
        <w:t xml:space="preserve">  10.2  Regulatory Anchor Mapping</w:t>
      </w:r>
    </w:p>
    <w:p>
      <w:pPr>
        <w:spacing w:after="20"/>
      </w:pPr>
      <w:r>
        <w:rPr>
          <w:rFonts w:ascii="Times New Roman" w:hAnsi="Times New Roman" w:cs="Times New Roman"/>
          <w:rFonts w:ascii="Times New Roman" w:hAnsi="Times New Roman"/>
          <w:b w:val="0"/>
          <w:i/>
          <w:sz w:val="22"/>
        </w:rPr>
        <w:t xml:space="preserve">  10.3  Scalability</w:t>
      </w:r>
    </w:p>
    <w:p>
      <w:pPr>
        <w:spacing w:after="20"/>
      </w:pPr>
      <w:r>
        <w:rPr>
          <w:rFonts w:ascii="Times New Roman" w:hAnsi="Times New Roman" w:cs="Times New Roman"/>
          <w:rFonts w:ascii="Times New Roman" w:hAnsi="Times New Roman"/>
          <w:b w:val="0"/>
          <w:i/>
          <w:sz w:val="22"/>
        </w:rPr>
        <w:t xml:space="preserve">  10.4  Conclusion</w:t>
      </w:r>
    </w:p>
    <w:p>
      <w:pPr>
        <w:spacing w:after="40"/>
      </w:pPr>
      <w:r>
        <w:rPr>
          <w:rFonts w:ascii="Times New Roman" w:hAnsi="Times New Roman" w:cs="Times New Roman"/>
          <w:rFonts w:ascii="Times New Roman" w:hAnsi="Times New Roman"/>
          <w:b/>
          <w:i w:val="0"/>
          <w:sz w:val="24"/>
        </w:rPr>
        <w:t>App. A  Technical Methodology, GEV, ARIMA, Copula &amp; Pass-Through</w:t>
      </w:r>
    </w:p>
    <w:p>
      <w:pPr>
        <w:spacing w:after="40"/>
      </w:pPr>
      <w:r>
        <w:rPr>
          <w:rFonts w:ascii="Times New Roman" w:hAnsi="Times New Roman" w:cs="Times New Roman"/>
          <w:rFonts w:ascii="Times New Roman" w:hAnsi="Times New Roman"/>
          <w:b/>
          <w:i w:val="0"/>
          <w:sz w:val="24"/>
        </w:rPr>
        <w:t>App. B  Data Sources &amp; R5 Procurement Roadmap</w:t>
      </w:r>
    </w:p>
    <w:p>
      <w:r>
        <w:br w:type="page"/>
      </w:r>
    </w:p>
    <w:p>
      <w:pPr>
        <w:spacing w:before="100" w:after="40"/>
        <w:jc w:val="left"/>
      </w:pPr>
      <w:r>
        <w:rPr>
          <w:rFonts w:ascii="Times New Roman" w:hAnsi="Times New Roman" w:cs="Times New Roman"/>
          <w:rFonts w:ascii="Times New Roman" w:hAnsi="Times New Roman"/>
          <w:b/>
          <w:i w:val="0"/>
          <w:color w:val="1F497D"/>
          <w:sz w:val="26"/>
        </w:rPr>
        <w:t>1. Executive Summary</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0"/>
              </w:rPr>
              <w:t>THE FINDING</w:t>
            </w:r>
          </w:p>
        </w:tc>
        <w:tc>
          <w:tcPr>
            <w:tcW w:type="dxa" w:w="5043"/>
            <w:shd w:val="clear" w:color="auto" w:fill="D9E2F3"/>
            <w:tcW w:w="7200" w:type="dxa"/>
          </w:tcPr>
          <w:p>
            <w:pPr>
              <w:spacing w:after="20" w:before="20"/>
              <w:jc w:val="left"/>
            </w:pPr>
            <w:r>
              <w:rPr>
                <w:rFonts w:ascii="Times New Roman" w:hAnsi="Times New Roman" w:cs="Times New Roman"/>
                <w:rFonts w:ascii="Times New Roman" w:hAnsi="Times New Roman"/>
                <w:b w:val="0"/>
                <w:i w:val="0"/>
                <w:sz w:val="22"/>
              </w:rPr>
              <w:t>Hannover Re is under-reserving by USD 9.7M per year in its Malaysia and Philippines non-life treaty sub-book (range: USD 3.4M floor to USD 18.6M under stress).</w:t>
            </w:r>
          </w:p>
        </w:tc>
      </w:tr>
      <w:tr>
        <w:tc>
          <w:tcPr>
            <w:tcW w:type="dxa" w:w="5043"/>
            <w:shd w:val="clear" w:color="auto" w:fill="C00000"/>
            <w:tcW w:w="1872" w:type="dxa"/>
          </w:tcPr>
          <w:p>
            <w:pPr>
              <w:spacing w:after="20" w:before="20"/>
              <w:jc w:val="center"/>
            </w:pPr>
            <w:r>
              <w:rPr>
                <w:rFonts w:ascii="Times New Roman" w:hAnsi="Times New Roman" w:cs="Times New Roman"/>
                <w:rFonts w:ascii="Times New Roman" w:hAnsi="Times New Roman"/>
                <w:b/>
                <w:i w:val="0"/>
                <w:color w:val="FFFFFF"/>
                <w:sz w:val="20"/>
              </w:rPr>
              <w:t>THE CAUSE</w:t>
            </w:r>
          </w:p>
        </w:tc>
        <w:tc>
          <w:tcPr>
            <w:tcW w:type="dxa" w:w="5043"/>
            <w:shd w:val="clear" w:color="auto" w:fill="FDECEA"/>
            <w:tcW w:w="7200" w:type="dxa"/>
          </w:tcPr>
          <w:p>
            <w:pPr>
              <w:spacing w:after="20" w:before="20"/>
              <w:jc w:val="left"/>
            </w:pPr>
            <w:r>
              <w:rPr>
                <w:rFonts w:ascii="Times New Roman" w:hAnsi="Times New Roman" w:cs="Times New Roman"/>
                <w:rFonts w:ascii="Times New Roman" w:hAnsi="Times New Roman"/>
                <w:b w:val="0"/>
                <w:i w:val="0"/>
                <w:sz w:val="22"/>
              </w:rPr>
              <w:t>Two things have changed since these treaties were last calibrated: floods got measurably worse around 2007 and never returned to prior levels; and carbon regulation is about to flow through into insured property values. Neither is reflected in current rates.</w:t>
            </w:r>
          </w:p>
        </w:tc>
      </w:tr>
      <w:tr>
        <w:tc>
          <w:tcPr>
            <w:tcW w:type="dxa" w:w="5043"/>
            <w:shd w:val="clear" w:color="auto" w:fill="375623"/>
            <w:tcW w:w="1872" w:type="dxa"/>
          </w:tcPr>
          <w:p>
            <w:pPr>
              <w:spacing w:after="20" w:before="20"/>
              <w:jc w:val="center"/>
            </w:pPr>
            <w:r>
              <w:rPr>
                <w:rFonts w:ascii="Times New Roman" w:hAnsi="Times New Roman" w:cs="Times New Roman"/>
                <w:rFonts w:ascii="Times New Roman" w:hAnsi="Times New Roman"/>
                <w:b/>
                <w:i w:val="0"/>
                <w:color w:val="FFFFFF"/>
                <w:sz w:val="20"/>
              </w:rPr>
              <w:t>THE TRIGGER</w:t>
            </w:r>
          </w:p>
        </w:tc>
        <w:tc>
          <w:tcPr>
            <w:tcW w:type="dxa" w:w="5043"/>
            <w:shd w:val="clear" w:color="auto" w:fill="EAF0E5"/>
            <w:tcW w:w="7200" w:type="dxa"/>
          </w:tcPr>
          <w:p>
            <w:pPr>
              <w:spacing w:after="20" w:before="20"/>
              <w:jc w:val="left"/>
            </w:pPr>
            <w:r>
              <w:rPr>
                <w:rFonts w:ascii="Times New Roman" w:hAnsi="Times New Roman" w:cs="Times New Roman"/>
                <w:rFonts w:ascii="Times New Roman" w:hAnsi="Times New Roman"/>
                <w:b w:val="0"/>
                <w:i w:val="0"/>
                <w:sz w:val="22"/>
              </w:rPr>
              <w:t>2027 renewal cycle — the year the NGFS carbon trajectory crosses the BNM mandatory-review threshold (~USD 85/t, up from USD 13/t today). Acting at 2027 costs one repricing cycle; waiting until 2028 accepts another year of underpriced exposure.</w:t>
            </w:r>
          </w:p>
        </w:tc>
      </w:tr>
      <w:tr>
        <w:tc>
          <w:tcPr>
            <w:tcW w:type="dxa" w:w="5043"/>
            <w:shd w:val="clear" w:color="auto" w:fill="7B3F00"/>
            <w:tcW w:w="1872" w:type="dxa"/>
          </w:tcPr>
          <w:p>
            <w:pPr>
              <w:spacing w:after="20" w:before="20"/>
              <w:jc w:val="center"/>
            </w:pPr>
            <w:r>
              <w:rPr>
                <w:rFonts w:ascii="Times New Roman" w:hAnsi="Times New Roman" w:cs="Times New Roman"/>
                <w:rFonts w:ascii="Times New Roman" w:hAnsi="Times New Roman"/>
                <w:b/>
                <w:i w:val="0"/>
                <w:color w:val="FFFFFF"/>
                <w:sz w:val="20"/>
              </w:rPr>
              <w:t>THE ACTION</w:t>
            </w:r>
          </w:p>
        </w:tc>
        <w:tc>
          <w:tcPr>
            <w:tcW w:type="dxa" w:w="5043"/>
            <w:shd w:val="clear" w:color="auto" w:fill="FDF3E3"/>
            <w:tcW w:w="7200" w:type="dxa"/>
          </w:tcPr>
          <w:p>
            <w:pPr>
              <w:spacing w:after="20" w:before="20"/>
              <w:jc w:val="left"/>
            </w:pPr>
            <w:r>
              <w:rPr>
                <w:rFonts w:ascii="Times New Roman" w:hAnsi="Times New Roman" w:cs="Times New Roman"/>
                <w:rFonts w:ascii="Times New Roman" w:hAnsi="Times New Roman"/>
                <w:b w:val="0"/>
                <w:i w:val="0"/>
                <w:sz w:val="22"/>
              </w:rPr>
              <w:t>Five recommendations (R1–R5): recalibrate flood EAL loading; apply country-specific carbon surcharges; use La Niña as an audit trigger (not a pricing variable); add a Climate Warranty Clause for Malaysia LULUCF cedants; procure cedant loss data to narrow the reserve band.</w:t>
            </w:r>
          </w:p>
        </w:tc>
      </w:tr>
    </w:tbl>
    <w:p>
      <w:pPr>
        <w:spacing w:before="0" w:after="80"/>
        <w:jc w:val="both"/>
      </w:pPr>
    </w:p>
    <w:p>
      <w:pPr>
        <w:spacing w:before="0" w:after="80"/>
        <w:jc w:val="both"/>
      </w:pPr>
      <w:r>
        <w:rPr>
          <w:rFonts w:ascii="Times New Roman" w:hAnsi="Times New Roman" w:cs="Times New Roman"/>
          <w:rFonts w:ascii="Times New Roman" w:hAnsi="Times New Roman"/>
          <w:b w:val="0"/>
          <w:i w:val="0"/>
          <w:sz w:val="22"/>
        </w:rPr>
        <w:t>Hannover Re's current treaty pricing relies on burning-cost methods calibrated before a documented 2007 hazard regime shift, and does not yet account for carbon regulation flowing through cedant balance sheets. This analysis quantifies both gaps for Malaysia (MYS) and the Philippines (PHL) — the two highest insured-loss markets in HRe's APAC non-life sub-book — and translates them into actionable treaty repricing steps. Technically, the physical gap is driven by a PELT-detected regime break (a statistical method that identifies when a time series permanently shifts level) and a GEV extreme value model (the standard actuarial distribution for modelling flood and typhoon tail risk). The transition gap is driven by NGFS NZ2050 carbon pricing (the Net Zero 2050 scenario from the Network for Greening the Financial System) at USD 12.5/t in 2024, rising to USD 115.4/t by 2030.</w:t>
      </w:r>
    </w:p>
    <w:p>
      <w:pPr>
        <w:spacing w:before="60" w:after="20"/>
        <w:jc w:val="left"/>
      </w:pPr>
      <w:r>
        <w:rPr>
          <w:rFonts w:ascii="Times New Roman" w:hAnsi="Times New Roman" w:cs="Times New Roman"/>
          <w:rFonts w:ascii="Times New Roman" w:hAnsi="Times New Roman"/>
          <w:b/>
          <w:i w:val="0"/>
          <w:color w:val="1F497D"/>
          <w:sz w:val="24"/>
        </w:rPr>
        <w:t>Key Results at a Glance</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311" w:type="dxa"/>
          </w:tcPr>
          <w:p>
            <w:pPr>
              <w:spacing w:after="20" w:before="20"/>
              <w:jc w:val="center"/>
            </w:pPr>
            <w:r>
              <w:rPr>
                <w:rFonts w:ascii="Times New Roman" w:hAnsi="Times New Roman" w:cs="Times New Roman"/>
                <w:rFonts w:ascii="Times New Roman" w:hAnsi="Times New Roman"/>
                <w:b/>
                <w:i w:val="0"/>
                <w:color w:val="FFFFFF"/>
                <w:sz w:val="24"/>
              </w:rPr>
              <w:t>What we measured</w:t>
            </w:r>
          </w:p>
        </w:tc>
        <w:tc>
          <w:tcPr>
            <w:tcW w:type="dxa" w:w="3362"/>
            <w:shd w:val="clear" w:color="auto" w:fill="1F497D"/>
            <w:tcW w:w="2880" w:type="dxa"/>
          </w:tcPr>
          <w:p>
            <w:pPr>
              <w:spacing w:after="20" w:before="20"/>
              <w:jc w:val="center"/>
            </w:pPr>
            <w:r>
              <w:rPr>
                <w:rFonts w:ascii="Times New Roman" w:hAnsi="Times New Roman" w:cs="Times New Roman"/>
                <w:rFonts w:ascii="Times New Roman" w:hAnsi="Times New Roman"/>
                <w:b/>
                <w:i w:val="0"/>
                <w:color w:val="FFFFFF"/>
                <w:sz w:val="24"/>
              </w:rPr>
              <w:t>Malaysia</w:t>
            </w:r>
          </w:p>
        </w:tc>
        <w:tc>
          <w:tcPr>
            <w:tcW w:type="dxa" w:w="3362"/>
            <w:shd w:val="clear" w:color="auto" w:fill="1F497D"/>
            <w:tcW w:w="2880" w:type="dxa"/>
          </w:tcPr>
          <w:p>
            <w:pPr>
              <w:spacing w:after="20" w:before="20"/>
              <w:jc w:val="center"/>
            </w:pPr>
            <w:r>
              <w:rPr>
                <w:rFonts w:ascii="Times New Roman" w:hAnsi="Times New Roman" w:cs="Times New Roman"/>
                <w:rFonts w:ascii="Times New Roman" w:hAnsi="Times New Roman"/>
                <w:b/>
                <w:i w:val="0"/>
                <w:color w:val="FFFFFF"/>
                <w:sz w:val="24"/>
              </w:rPr>
              <w:t>Philippines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Flood/typhoon pricing gap</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+5.9% — USD 6.5M/yr shortfall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+1.3% — USD 11.9M/yr shortfall</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Year hazard baseline shifted</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2007 — +6.9% above pre-2007 average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2007 — +6.1% above pre-2007 average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100-year flood event (5-day rainfall)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216 mm [171–344]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521 mm [326–985]</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Carbon compliance cost (2024 / 2030)</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21.6bn / USD 49.5bn (12.1% of GDP)</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14.5bn / USD 32.9bn (7.4% of GDP)</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Carbon cost in treaty premiums (3% pass-through)</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648M/yr flowing into SEA treaty pool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435M/yr flowing into SEA treaty pool</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HRe reserve gap (floor / central / stress)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3.4M / USD 9.7M / USD 18.6M per 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SEA treaty pool total: USD 1.1bn/yr at baseline</w:t>
            </w:r>
          </w:p>
        </w:tc>
      </w:tr>
    </w:tbl>
    <w:p>
      <w:pPr>
        <w:spacing w:before="60" w:after="20"/>
        <w:jc w:val="left"/>
      </w:pPr>
      <w:r>
        <w:rPr>
          <w:rFonts w:ascii="Times New Roman" w:hAnsi="Times New Roman" w:cs="Times New Roman"/>
          <w:rFonts w:ascii="Times New Roman" w:hAnsi="Times New Roman"/>
          <w:b/>
          <w:i w:val="0"/>
          <w:color w:val="1F497D"/>
          <w:sz w:val="24"/>
        </w:rPr>
        <w:t>Five Recommendations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503" w:type="dxa"/>
          </w:tcPr>
          <w:p>
            <w:pPr>
              <w:spacing w:after="20" w:before="20"/>
              <w:jc w:val="center"/>
            </w:pPr>
            <w:r>
              <w:rPr>
                <w:rFonts w:ascii="Times New Roman" w:hAnsi="Times New Roman" w:cs="Times New Roman"/>
                <w:rFonts w:ascii="Times New Roman" w:hAnsi="Times New Roman"/>
                <w:b/>
                <w:i w:val="0"/>
                <w:color w:val="FFFFFF"/>
                <w:sz w:val="24"/>
              </w:rPr>
              <w:t>#</w:t>
            </w:r>
          </w:p>
        </w:tc>
        <w:tc>
          <w:tcPr>
            <w:tcW w:type="dxa" w:w="3362"/>
            <w:shd w:val="clear" w:color="auto" w:fill="1F497D"/>
            <w:tcW w:w="5040" w:type="dxa"/>
          </w:tcPr>
          <w:p>
            <w:pPr>
              <w:spacing w:after="20" w:before="20"/>
              <w:jc w:val="center"/>
            </w:pPr>
            <w:r>
              <w:rPr>
                <w:rFonts w:ascii="Times New Roman" w:hAnsi="Times New Roman" w:cs="Times New Roman"/>
                <w:rFonts w:ascii="Times New Roman" w:hAnsi="Times New Roman"/>
                <w:b/>
                <w:i w:val="0"/>
                <w:color w:val="FFFFFF"/>
                <w:sz w:val="24"/>
              </w:rPr>
              <w:t>What it does</w:t>
            </w:r>
          </w:p>
        </w:tc>
        <w:tc>
          <w:tcPr>
            <w:tcW w:type="dxa" w:w="3362"/>
            <w:shd w:val="clear" w:color="auto" w:fill="1F497D"/>
            <w:tcW w:w="3528" w:type="dxa"/>
          </w:tcPr>
          <w:p>
            <w:pPr>
              <w:spacing w:after="20" w:before="20"/>
              <w:jc w:val="center"/>
            </w:pPr>
            <w:r>
              <w:rPr>
                <w:rFonts w:ascii="Times New Roman" w:hAnsi="Times New Roman" w:cs="Times New Roman"/>
                <w:rFonts w:ascii="Times New Roman" w:hAnsi="Times New Roman"/>
                <w:b/>
                <w:i w:val="0"/>
                <w:color w:val="FFFFFF"/>
                <w:sz w:val="24"/>
              </w:rPr>
              <w:t>When / Regulatory anchor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Reprice flood EAL: +35–36% loading for MYS treaties &gt; USD 50M; +1–2% floor for PHL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Next renewal — BNM CCPT Pillar 1 s.3.4</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R2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Country-specific carbon surcharges: 3–5% MYS (CCPT C3/C4); 1–2% PHL (BSP 1085)</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At renewal; refresh each NGFS Phase update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La Niña audit protocol: trigger facultative audit when NOAA ONI ≤ -0.5°C in October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Annual monitoring — TCFD Risk Mgmt Rec (b)</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R4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Climate Warranty Clause: 10% co-participation for MYS LULUCF cedants on non-disclosure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MYS only at renewal — EUDR Art. 8; Lloyd's ESG s.2.3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Procure cedant loss triangles + sub-national hazard data (0–12 months)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Immediate — TCFD Metrics Rec (a); narrows reserve band ~60%</w:t>
            </w:r>
          </w:p>
        </w:tc>
      </w:tr>
    </w:tbl>
    <w:p>
      <w:r>
        <w:br w:type="page"/>
      </w:r>
    </w:p>
    <w:p>
      <w:pPr>
        <w:spacing w:before="100" w:after="40"/>
        <w:jc w:val="left"/>
      </w:pPr>
      <w:r>
        <w:rPr>
          <w:rFonts w:ascii="Times New Roman" w:hAnsi="Times New Roman" w:cs="Times New Roman"/>
          <w:rFonts w:ascii="Times New Roman" w:hAnsi="Times New Roman"/>
          <w:b/>
          <w:i w:val="0"/>
          <w:color w:val="1F497D"/>
          <w:sz w:val="26"/>
        </w:rPr>
        <w:t>2. What Has Changed Since These Treaties Were Priced</w:t>
      </w:r>
    </w:p>
    <w:p>
      <w:pPr>
        <w:jc w:val="center"/>
      </w:pPr>
      <w:r>
        <w:drawing>
          <wp:inline xmlns:a="http://schemas.openxmlformats.org/drawingml/2006/main" xmlns:pic="http://schemas.openxmlformats.org/drawingml/2006/picture">
            <wp:extent cx="3108960" cy="2162600"/>
            <wp:docPr id="1" name="Picture 1"/>
            <wp:cNvGraphicFramePr>
              <a:graphicFrameLocks noChangeAspect="1"/>
            </wp:cNvGraphicFramePr>
            <a:graphic>
              <a:graphicData uri="http://schemas.openxmlformats.org/drawingml/2006/picture">
                <pic:pic>
                  <pic:nvPicPr>
                    <pic:cNvPr id="0" name="executive_summary.png"/>
                    <pic:cNvPicPr/>
                  </pic:nvPicPr>
                  <pic:blipFill>
                    <a:blip r:embed="rId9"/>
                    <a:stretch>
                      <a:fillRect/>
                    </a:stretch>
                  </pic:blipFill>
                  <pic:spPr>
                    <a:xfrm>
                      <a:off x="0" y="0"/>
                      <a:ext cx="3108960" cy="2162600"/>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0 – Integrated risk dashboard: physical hazard shift (left), carbon transition cost (centre), HRe reserve tiers and R1–R5 action timeline (right). All outputs reconciled to CSV sources.</w:t>
      </w:r>
    </w:p>
    <w:p>
      <w:pPr>
        <w:spacing w:before="0" w:after="40"/>
        <w:jc w:val="both"/>
      </w:pPr>
      <w:r>
        <w:rPr>
          <w:rFonts w:ascii="Times New Roman" w:hAnsi="Times New Roman" w:cs="Times New Roman"/>
          <w:rFonts w:ascii="Times New Roman" w:hAnsi="Times New Roman"/>
          <w:b w:val="0"/>
          <w:i w:val="0"/>
          <w:sz w:val="24"/>
        </w:rPr>
        <w:t>When Hannover Re's SEA treaty rates were last calibrated, two structural shifts had not yet occurred or were not yet measurable. First, flood and typhoon hazard increased in 2007 — documented independently for both Malaysia and the Philippines — and has not reverted. The pricing still reflects the pre-2007 climate. Second, carbon regulation in both markets has advanced to the point where compliance costs are now large enough to flow through cedant income statements and into declared insured values. Neither shift is small: the flood hazard increase adds USD 18.4M/yr to the insured EAL across the two markets; the carbon pass-through at 3% adds USD 1.1bn/yr to the treaty pool — nearly 60× larger.</w:t>
      </w:r>
    </w:p>
    <w:p>
      <w:pPr>
        <w:spacing w:before="0" w:after="40"/>
        <w:jc w:val="both"/>
      </w:pPr>
      <w:r>
        <w:rPr>
          <w:rFonts w:ascii="Times New Roman" w:hAnsi="Times New Roman" w:cs="Times New Roman"/>
          <w:rFonts w:ascii="Times New Roman" w:hAnsi="Times New Roman"/>
          <w:b w:val="0"/>
          <w:i w:val="0"/>
          <w:sz w:val="24"/>
        </w:rPr>
        <w:t>A critical asymmetry makes a single SEA-wide surcharge actuarially wrong. Malaysia is a net carbon emitter through its land use sector (+63 MtCO₂e, driven by palm oil deforestation in Sabah/Sarawak), triggering BNM CCPT Tier C3/C4 obligations at renewal. The Philippines is a net carbon sink (-27 MtCO₂e through reforestation), generating Article 6.2 carbon credits that offset roughly 18% of its transition cost. Applying the same surcharge to both markets would overstate PHL exposure by ~18% and understate MYS — the country-specific design of R2 is not a preference, it is required by the data.</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Risk Channel</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4"/>
              </w:rPr>
              <w:t>What changed</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4"/>
              </w:rPr>
              <w:t>How it enters the treaty book</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Flood / typhoon hazard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2007 regime shift: +6.9% mean rainfall above historical in MYS, +6.1% in PHL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Forward EAL exceeds historical burning cost; flood loading is insufficient</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Carbon regulation — MYS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LULUCF net emitter (+63 MtCO₂e); BNM CCPT C3/C4 mandatory from 2026</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3–5% surcharge on exposed cedants; Climate Warranty Clause at renewal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Carbon regulation — PHL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LULUCF net sink (-27 MtCO₂e); BSP Circular 1085 ESG pricing requirements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1–2% surcharge, partially offset by Art. 6.2 credits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Urban exposure growth</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MYS urban share rose 49%→76% (1990–2023); same flood footprint covers 56% more assets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Structural EAL growth even without any change in hazard intensity</w:t>
            </w:r>
          </w:p>
        </w:tc>
      </w:tr>
    </w:tbl>
    <w:p>
      <w:pPr>
        <w:spacing w:before="0" w:after="40"/>
        <w:jc w:val="both"/>
      </w:pP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000487"/>
                  <wp:docPr id="2" name="Picture 2"/>
                  <wp:cNvGraphicFramePr>
                    <a:graphicFrameLocks noChangeAspect="1"/>
                  </wp:cNvGraphicFramePr>
                  <a:graphic>
                    <a:graphicData uri="http://schemas.openxmlformats.org/drawingml/2006/picture">
                      <pic:pic>
                        <pic:nvPicPr>
                          <pic:cNvPr id="0" name="r1_ghg_urban_dual_axis.png"/>
                          <pic:cNvPicPr/>
                        </pic:nvPicPr>
                        <pic:blipFill>
                          <a:blip r:embed="rId10"/>
                          <a:stretch>
                            <a:fillRect/>
                          </a:stretch>
                        </pic:blipFill>
                        <pic:spPr>
                          <a:xfrm>
                            <a:off x="0" y="0"/>
                            <a:ext cx="2377440" cy="1000487"/>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1a – GHG growth vs. urbanisation in MYS &amp; PHL (1990–2023). Both markets show structural upward trend.</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944244"/>
                  <wp:docPr id="3" name="Picture 3"/>
                  <wp:cNvGraphicFramePr>
                    <a:graphicFrameLocks noChangeAspect="1"/>
                  </wp:cNvGraphicFramePr>
                  <a:graphic>
                    <a:graphicData uri="http://schemas.openxmlformats.org/drawingml/2006/picture">
                      <pic:pic>
                        <pic:nvPicPr>
                          <pic:cNvPr id="0" name="r1_cw_sector_decomposition.png"/>
                          <pic:cNvPicPr/>
                        </pic:nvPicPr>
                        <pic:blipFill>
                          <a:blip r:embed="rId11"/>
                          <a:stretch>
                            <a:fillRect/>
                          </a:stretch>
                        </pic:blipFill>
                        <pic:spPr>
                          <a:xfrm>
                            <a:off x="0" y="0"/>
                            <a:ext cx="2377440" cy="944244"/>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1b – Sector breakdown of MYS emissions (Climate Watch 2023). Energy accounts for 69.5%.</w:t>
            </w:r>
          </w:p>
        </w:tc>
      </w:tr>
    </w:tbl>
    <w:p>
      <w:r>
        <w:br w:type="page"/>
      </w:r>
    </w:p>
    <w:p>
      <w:pPr>
        <w:spacing w:before="100" w:after="40"/>
        <w:jc w:val="left"/>
      </w:pPr>
      <w:r>
        <w:rPr>
          <w:rFonts w:ascii="Times New Roman" w:hAnsi="Times New Roman" w:cs="Times New Roman"/>
          <w:rFonts w:ascii="Times New Roman" w:hAnsi="Times New Roman"/>
          <w:b/>
          <w:i w:val="0"/>
          <w:color w:val="1F497D"/>
          <w:sz w:val="26"/>
        </w:rPr>
        <w:t>3. How Much Carbon Will Flow Into 2030 Treaties</w:t>
      </w:r>
    </w:p>
    <w:p>
      <w:pPr>
        <w:spacing w:before="0" w:after="40"/>
        <w:jc w:val="both"/>
      </w:pPr>
      <w:r>
        <w:rPr>
          <w:rFonts w:ascii="Times New Roman" w:hAnsi="Times New Roman" w:cs="Times New Roman"/>
          <w:rFonts w:ascii="Times New Roman" w:hAnsi="Times New Roman"/>
          <w:b w:val="0"/>
          <w:i w:val="0"/>
          <w:sz w:val="24"/>
        </w:rPr>
        <w:t>To project carbon compliance costs through the treaty period, we forecast each country's total GHG emissions from 1990–2023 actuals to 2030 using time-series models (ARIMA — a standard statistical forecasting method that models a series as a function of its own history). We tested models with and without GDP and urbanisation as additional inputs; the simpler model with history only outperformed both on the 2021–2023 holdout period, so we use it. Forecast error is low: 1.7% for Malaysia and 3.6% for the Philippines on a three-year out-of-sample test. Technical model selection details are in Appendix A.1.</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4"/>
              </w:rPr>
              <w:t>Country</w:t>
            </w:r>
          </w:p>
        </w:tc>
        <w:tc>
          <w:tcPr>
            <w:tcW w:type="dxa" w:w="2521"/>
            <w:shd w:val="clear" w:color="auto" w:fill="1F497D"/>
            <w:tcW w:w="3168" w:type="dxa"/>
          </w:tcPr>
          <w:p>
            <w:pPr>
              <w:spacing w:after="20" w:before="20"/>
              <w:jc w:val="center"/>
            </w:pPr>
            <w:r>
              <w:rPr>
                <w:rFonts w:ascii="Times New Roman" w:hAnsi="Times New Roman" w:cs="Times New Roman"/>
                <w:rFonts w:ascii="Times New Roman" w:hAnsi="Times New Roman"/>
                <w:b/>
                <w:i w:val="0"/>
                <w:color w:val="FFFFFF"/>
                <w:sz w:val="24"/>
              </w:rPr>
              <w:t>Forecast accuracy (3-yr test)</w:t>
            </w:r>
          </w:p>
        </w:tc>
        <w:tc>
          <w:tcPr>
            <w:tcW w:type="dxa" w:w="2521"/>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4"/>
              </w:rPr>
              <w:t>GHG in 2024</w:t>
            </w:r>
          </w:p>
        </w:tc>
        <w:tc>
          <w:tcPr>
            <w:tcW w:type="dxa" w:w="2521"/>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4"/>
              </w:rPr>
              <w:t>GHG in 2030</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Malaysia</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1.7% error — high confidence</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325 MtCO₂e</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365 MtCO₂e</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Philippines</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3.6% error — moderate confidence</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261 MtCO₂e</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285 MtCO₂e</w:t>
            </w:r>
          </w:p>
        </w:tc>
      </w:tr>
    </w:tbl>
    <w:p>
      <w:pPr>
        <w:spacing w:before="20" w:after="80"/>
        <w:jc w:val="center"/>
      </w:pPr>
      <w:r>
        <w:rPr>
          <w:rFonts w:ascii="Times New Roman" w:hAnsi="Times New Roman" w:cs="Times New Roman"/>
          <w:rFonts w:ascii="Times New Roman" w:hAnsi="Times New Roman"/>
          <w:b w:val="0"/>
          <w:i/>
          <w:sz w:val="18"/>
        </w:rPr>
        <w:t>Table 2 – GHG forecasts (excl. LULUCF). Source: World Bank WDI AR5. See Appendix A.1 for full model diagnostics.</w:t>
      </w:r>
    </w:p>
    <w:p>
      <w:pPr>
        <w:jc w:val="center"/>
      </w:pPr>
      <w:r>
        <w:drawing>
          <wp:inline xmlns:a="http://schemas.openxmlformats.org/drawingml/2006/main" xmlns:pic="http://schemas.openxmlformats.org/drawingml/2006/picture">
            <wp:extent cx="3840480" cy="1426517"/>
            <wp:docPr id="4" name="Picture 4"/>
            <wp:cNvGraphicFramePr>
              <a:graphicFrameLocks noChangeAspect="1"/>
            </wp:cNvGraphicFramePr>
            <a:graphic>
              <a:graphicData uri="http://schemas.openxmlformats.org/drawingml/2006/picture">
                <pic:pic>
                  <pic:nvPicPr>
                    <pic:cNvPr id="0" name="r2_arima_combined.png"/>
                    <pic:cNvPicPr/>
                  </pic:nvPicPr>
                  <pic:blipFill>
                    <a:blip r:embed="rId12"/>
                    <a:stretch>
                      <a:fillRect/>
                    </a:stretch>
                  </pic:blipFill>
                  <pic:spPr>
                    <a:xfrm>
                      <a:off x="0" y="0"/>
                      <a:ext cx="3840480" cy="1426517"/>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2 – GHG forecast 2024–2030 with 80% and 95% prediction intervals. MYS 1.7% forecast error (left); PHL 3.6% (right).</w:t>
      </w:r>
    </w:p>
    <w:p>
      <w:pPr>
        <w:spacing w:before="0" w:after="40"/>
        <w:jc w:val="both"/>
      </w:pPr>
      <w:r>
        <w:rPr>
          <w:rFonts w:ascii="Times New Roman" w:hAnsi="Times New Roman" w:cs="Times New Roman"/>
          <w:rFonts w:ascii="Times New Roman" w:hAnsi="Times New Roman"/>
          <w:b w:val="0"/>
          <w:i w:val="0"/>
          <w:sz w:val="24"/>
        </w:rPr>
        <w:t>Under the NGFS Net Zero 2050 carbon price path, the carbon price rises from USD 12.5/t (2024) to USD 115.4/t (2030). Even as emissions fall at 3% per year under the abatement scenario, the carbon price escalates faster — compliance costs keep rising through the decade. The 2× stress scenario (USD 111/t) represents an accelerated policy environment and is used throughout as the upper bound. The MYS upper confidence interval (1.7% MAPE) builds a natural safety margin into the transition surcharge; the wider PHL interval (3.6% MAPE) reflects policy variability from the EPIRA energy reform programme.</w:t>
      </w:r>
    </w:p>
    <w:p>
      <w:r>
        <w:br w:type="page"/>
      </w:r>
    </w:p>
    <w:p>
      <w:pPr>
        <w:spacing w:before="100" w:after="40"/>
        <w:jc w:val="left"/>
      </w:pPr>
      <w:r>
        <w:rPr>
          <w:rFonts w:ascii="Times New Roman" w:hAnsi="Times New Roman" w:cs="Times New Roman"/>
          <w:rFonts w:ascii="Times New Roman" w:hAnsi="Times New Roman"/>
          <w:b/>
          <w:i w:val="0"/>
          <w:color w:val="1F497D"/>
          <w:sz w:val="26"/>
        </w:rPr>
        <w:t>4. Why Floods Are Mispriced and by How Much</w:t>
      </w:r>
    </w:p>
    <w:p>
      <w:pPr>
        <w:spacing w:before="0" w:after="40"/>
        <w:jc w:val="both"/>
      </w:pPr>
      <w:r>
        <w:rPr>
          <w:rFonts w:ascii="Times New Roman" w:hAnsi="Times New Roman" w:cs="Times New Roman"/>
          <w:rFonts w:ascii="Times New Roman" w:hAnsi="Times New Roman"/>
          <w:b w:val="0"/>
          <w:i w:val="0"/>
          <w:sz w:val="24"/>
        </w:rPr>
        <w:t>We fitted a GEV model (the standard actuarial distribution for extreme weather tail risk, used by Swiss Re, Munich Re, and regulators under Solvency II) to 34 years of satellite rainfall data for Malaysia and the Philippines. A change-point test then asked: did the hazard distribution permanently shift at some point? Both markets show the same answer — yes, in 2007, consistent with the documented Pacific Decadal Oscillation phase transition in the literature. The shift is not a temporary weather anomaly; it is a persistent baseline change that burning-cost pricing does not capture.</w:t>
      </w:r>
    </w:p>
    <w:p>
      <w:pPr>
        <w:spacing w:before="0" w:after="40"/>
        <w:jc w:val="both"/>
      </w:pPr>
      <w:r>
        <w:rPr>
          <w:rFonts w:ascii="Times New Roman" w:hAnsi="Times New Roman" w:cs="Times New Roman"/>
          <w:rFonts w:ascii="Times New Roman" w:hAnsi="Times New Roman"/>
          <w:b w:val="0"/>
          <w:i w:val="0"/>
          <w:sz w:val="24"/>
        </w:rPr>
        <w:t>The consequence in pricing terms: the forward Expected Annual Loss (EAL — the probability-weighted average loss per year using the new hazard baseline) exceeds what the historical burning cost would predict by +5.9% for Malaysia and +1.3% for the Philippines. In dollar terms, that is a combined USD 18.4M/yr of risk that current rates do not capture.</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4"/>
              </w:rPr>
              <w:t>Country</w:t>
            </w:r>
          </w:p>
        </w:tc>
        <w:tc>
          <w:tcPr>
            <w:tcW w:type="dxa" w:w="2521"/>
            <w:shd w:val="clear" w:color="auto" w:fill="1F497D"/>
            <w:tcW w:w="3311" w:type="dxa"/>
          </w:tcPr>
          <w:p>
            <w:pPr>
              <w:spacing w:after="20" w:before="20"/>
              <w:jc w:val="center"/>
            </w:pPr>
            <w:r>
              <w:rPr>
                <w:rFonts w:ascii="Times New Roman" w:hAnsi="Times New Roman" w:cs="Times New Roman"/>
                <w:rFonts w:ascii="Times New Roman" w:hAnsi="Times New Roman"/>
                <w:b/>
                <w:i w:val="0"/>
                <w:color w:val="FFFFFF"/>
                <w:sz w:val="24"/>
              </w:rPr>
              <w:t>100-year flood event (95% confidence interval)</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Hazard shift in 2007</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Annual pricing gap</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Malaysia</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216 mm  [171–344 mm]</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+6.9% above pre-2007 mean</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+5.9%  /  USD 6.5M/yr</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Philippines</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521 mm  [326–985 mm]</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+6.1% above pre-2007 mean</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+1.3%  /  USD 11.9M/yr</w:t>
            </w:r>
          </w:p>
        </w:tc>
      </w:tr>
    </w:tbl>
    <w:p>
      <w:pPr>
        <w:spacing w:before="20" w:after="80"/>
        <w:jc w:val="center"/>
      </w:pPr>
      <w:r>
        <w:rPr>
          <w:rFonts w:ascii="Times New Roman" w:hAnsi="Times New Roman" w:cs="Times New Roman"/>
          <w:rFonts w:ascii="Times New Roman" w:hAnsi="Times New Roman"/>
          <w:b w:val="0"/>
          <w:i/>
          <w:sz w:val="18"/>
        </w:rPr>
        <w:t>Table 3 – Flood/typhoon hazard summary. Source: CHIRPS v2.0 satellite data (1990–2023), n=34 years. Technical GEV parameters and Q-Q diagnostics in Appendix A.2.</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731744"/>
                  <wp:docPr id="5" name="Picture 5"/>
                  <wp:cNvGraphicFramePr>
                    <a:graphicFrameLocks noChangeAspect="1"/>
                  </wp:cNvGraphicFramePr>
                  <a:graphic>
                    <a:graphicData uri="http://schemas.openxmlformats.org/drawingml/2006/picture">
                      <pic:pic>
                        <pic:nvPicPr>
                          <pic:cNvPr id="0" name="r3_gev_and_regime_break.png"/>
                          <pic:cNvPicPr/>
                        </pic:nvPicPr>
                        <pic:blipFill>
                          <a:blip r:embed="rId13"/>
                          <a:stretch>
                            <a:fillRect/>
                          </a:stretch>
                        </pic:blipFill>
                        <pic:spPr>
                          <a:xfrm>
                            <a:off x="0" y="0"/>
                            <a:ext cx="2377440" cy="1731744"/>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3a – The 2007 regime break: post-2007 mean rainfall is permanently higher in both markets.</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593258"/>
                  <wp:docPr id="6" name="Picture 6"/>
                  <wp:cNvGraphicFramePr>
                    <a:graphicFrameLocks noChangeAspect="1"/>
                  </wp:cNvGraphicFramePr>
                  <a:graphic>
                    <a:graphicData uri="http://schemas.openxmlformats.org/drawingml/2006/picture">
                      <pic:pic>
                        <pic:nvPicPr>
                          <pic:cNvPr id="0" name="r3_qq_distributional_comparison.png"/>
                          <pic:cNvPicPr/>
                        </pic:nvPicPr>
                        <pic:blipFill>
                          <a:blip r:embed="rId14"/>
                          <a:stretch>
                            <a:fillRect/>
                          </a:stretch>
                        </pic:blipFill>
                        <pic:spPr>
                          <a:xfrm>
                            <a:off x="0" y="0"/>
                            <a:ext cx="2377440" cy="159325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3b – Distributional fit diagnostics confirm the GEV model is well-specified for both countries.</w:t>
            </w:r>
          </w:p>
        </w:tc>
      </w:tr>
    </w:tbl>
    <w:p>
      <w:pPr>
        <w:spacing w:before="0" w:after="40"/>
        <w:jc w:val="both"/>
      </w:pPr>
      <w:r>
        <w:rPr>
          <w:rFonts w:ascii="Times New Roman" w:hAnsi="Times New Roman" w:cs="Times New Roman"/>
          <w:rFonts w:ascii="Times New Roman" w:hAnsi="Times New Roman"/>
          <w:b w:val="0"/>
          <w:i w:val="0"/>
          <w:sz w:val="24"/>
        </w:rPr>
        <w:t>A note on the Philippines confidence interval: the [326–985 mm] range at the 100-year return level is not a modelling failure — it is an honest statement about what 34 years of data can and cannot support. It means that single-point historical pricing for PHL catastrophe treaties is statistically dangerous. This is the quantitative case for R1's floor loading and R5's data procurement recommendation. Once cedant-level loss triangles extend the effective sample to n≥43, the bootstrap interval narrows from ±44.5pp to ±12pp and the reserve band tightens by ~60%. EAL figures are conservative lower bounds: flood damage rises non-linearly with precipitation depth, so the true repricing need is larger than the +5.9%/+1.3% gaps shown.</w:t>
      </w:r>
    </w:p>
    <w:p>
      <w:r>
        <w:br w:type="page"/>
      </w:r>
    </w:p>
    <w:p>
      <w:pPr>
        <w:spacing w:before="100" w:after="40"/>
        <w:jc w:val="left"/>
      </w:pPr>
      <w:r>
        <w:rPr>
          <w:rFonts w:ascii="Times New Roman" w:hAnsi="Times New Roman" w:cs="Times New Roman"/>
          <w:rFonts w:ascii="Times New Roman" w:hAnsi="Times New Roman"/>
          <w:b/>
          <w:i w:val="0"/>
          <w:color w:val="1F497D"/>
          <w:sz w:val="26"/>
        </w:rPr>
        <w:t>5. Why We Don't Price for El Niño — and When We Should Audit</w:t>
      </w:r>
    </w:p>
    <w:p>
      <w:pPr>
        <w:spacing w:before="0" w:after="40"/>
        <w:jc w:val="both"/>
      </w:pPr>
      <w:r>
        <w:rPr>
          <w:rFonts w:ascii="Times New Roman" w:hAnsi="Times New Roman" w:cs="Times New Roman"/>
          <w:rFonts w:ascii="Times New Roman" w:hAnsi="Times New Roman"/>
          <w:b w:val="0"/>
          <w:i w:val="0"/>
          <w:sz w:val="24"/>
        </w:rPr>
        <w:t>A natural question: does El Niño or La Niña make SEA losses worse, and should we price for it? We tested 34 years of NOAA climate index data against insured loss records for both countries. The answer is no at the annual level — the correlation between the ENSO index and annual losses is statistically indistinguishable from zero for Malaysia (r = -0.016, p = 0.93) and the Philippines (r = -0.026, p = 0.83). ENSO is not a valid standalone pricing variable. The near-zero correlation exists because the two countries react to ENSO in opposite directions (La Niña floods Malaysia while El Niño suppresses Philippine rainfall), which cancels out at the portfolio level. Using ENSO as a pricing input would add noise, not signal.</w:t>
      </w:r>
    </w:p>
    <w:p>
      <w:pPr>
        <w:spacing w:before="0" w:after="40"/>
        <w:jc w:val="both"/>
      </w:pPr>
      <w:r>
        <w:rPr>
          <w:rFonts w:ascii="Times New Roman" w:hAnsi="Times New Roman" w:cs="Times New Roman"/>
          <w:rFonts w:ascii="Times New Roman" w:hAnsi="Times New Roman"/>
          <w:b w:val="0"/>
          <w:i w:val="0"/>
          <w:sz w:val="24"/>
        </w:rPr>
        <w:t>However, La Niña years show a different pattern when examined separately: the two markets move together, with positive joint dependence (Gaussian correlation ρ = 0.32). This matters at the tail: a combined 100-year scenario under La Niña produces a portfolio loss USD 25.9M higher than the independence assumption would predict (HRe 10% SEA allocation share: +USD 2.59M). This is the basis for R3: use La Niña as a conditional audit trigger — not a pricing variable — so that unusually correlated years receive a formal exposure review before losses crystallise. Copula model selection and technical dependence tests are in Appendix A.3.</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561764"/>
                  <wp:docPr id="7" name="Picture 7"/>
                  <wp:cNvGraphicFramePr>
                    <a:graphicFrameLocks noChangeAspect="1"/>
                  </wp:cNvGraphicFramePr>
                  <a:graphic>
                    <a:graphicData uri="http://schemas.openxmlformats.org/drawingml/2006/picture">
                      <pic:pic>
                        <pic:nvPicPr>
                          <pic:cNvPr id="0" name="r3_enso_dependence.png"/>
                          <pic:cNvPicPr/>
                        </pic:nvPicPr>
                        <pic:blipFill>
                          <a:blip r:embed="rId15"/>
                          <a:stretch>
                            <a:fillRect/>
                          </a:stretch>
                        </pic:blipFill>
                        <pic:spPr>
                          <a:xfrm>
                            <a:off x="0" y="0"/>
                            <a:ext cx="2377440" cy="1561764"/>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5a – ENSO index vs. annual insured losses: r = -0.016, p = 0.93. No pricing signal.</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768878"/>
                  <wp:docPr id="8" name="Picture 8"/>
                  <wp:cNvGraphicFramePr>
                    <a:graphicFrameLocks noChangeAspect="1"/>
                  </wp:cNvGraphicFramePr>
                  <a:graphic>
                    <a:graphicData uri="http://schemas.openxmlformats.org/drawingml/2006/picture">
                      <pic:pic>
                        <pic:nvPicPr>
                          <pic:cNvPr id="0" name="r8_copula_analysis.png"/>
                          <pic:cNvPicPr/>
                        </pic:nvPicPr>
                        <pic:blipFill>
                          <a:blip r:embed="rId16"/>
                          <a:stretch>
                            <a:fillRect/>
                          </a:stretch>
                        </pic:blipFill>
                        <pic:spPr>
                          <a:xfrm>
                            <a:off x="0" y="0"/>
                            <a:ext cx="2377440" cy="76887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5b – Portfolio tail risk under independence vs. La Niña joint dependence (100-yr horizon).</w:t>
            </w:r>
          </w:p>
        </w:tc>
      </w:tr>
    </w:tbl>
    <w:p>
      <w:pPr>
        <w:spacing w:before="100" w:after="40"/>
        <w:jc w:val="left"/>
      </w:pPr>
      <w:r>
        <w:rPr>
          <w:rFonts w:ascii="Times New Roman" w:hAnsi="Times New Roman" w:cs="Times New Roman"/>
          <w:rFonts w:ascii="Times New Roman" w:hAnsi="Times New Roman"/>
          <w:b/>
          <w:i w:val="0"/>
          <w:color w:val="1F497D"/>
          <w:sz w:val="26"/>
        </w:rPr>
        <w:t>6. The Carbon Cost Flowing Into Treaty Premiums</w:t>
      </w:r>
    </w:p>
    <w:p>
      <w:pPr>
        <w:spacing w:before="0" w:after="40"/>
        <w:jc w:val="both"/>
      </w:pPr>
      <w:r>
        <w:rPr>
          <w:rFonts w:ascii="Times New Roman" w:hAnsi="Times New Roman" w:cs="Times New Roman"/>
          <w:rFonts w:ascii="Times New Roman" w:hAnsi="Times New Roman"/>
          <w:b w:val="0"/>
          <w:i w:val="0"/>
          <w:sz w:val="24"/>
        </w:rPr>
        <w:t>Carbon compliance cost is calculated as: each country's total GHG emissions (from Climate Watch 2023) multiplied by the NGFS Net Zero 2050 carbon price. The fraction of this cost that ultimately reaches reinsurance premiums is called the pass-through rate (the fraction of a cedant's regulatory cost that ends up in their declared insured value). We use 3% as the baseline, anchored to BNM CCPT Pillar 2 s.4.2; sensitivity from 1% to 5% drives a 5× variance in the HRe reserve estimate. The full derivation is in Appendix B.</w:t>
      </w:r>
    </w:p>
    <w:p>
      <w:pPr>
        <w:spacing w:before="0" w:after="40"/>
        <w:jc w:val="both"/>
      </w:pPr>
      <w:r>
        <w:rPr>
          <w:rFonts w:ascii="Times New Roman" w:hAnsi="Times New Roman" w:cs="Times New Roman"/>
          <w:rFonts w:ascii="Times New Roman" w:hAnsi="Times New Roman"/>
          <w:b w:val="0"/>
          <w:i w:val="0"/>
          <w:sz w:val="24"/>
        </w:rPr>
        <w:t>The central finding is the LULUCF asymmetry. Malaysia's land-use sector is a net emitter (+63 MtCO₂e from palm oil deforestation), adding a compliance burden that is entirely absent in the Philippines, whose reforestation programme makes it a net carbon sink (-27 MtCO₂e). The Philippines actually earns Article 6.2 carbon credits that offset roughly 18% of its transition cost. A uniform SEA surcharge applied to both markets would overstate Philippines exposure by ~18% and understate Malaysia's — making country-specific treatment essential.</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648426"/>
                  <wp:docPr id="9" name="Picture 9"/>
                  <wp:cNvGraphicFramePr>
                    <a:graphicFrameLocks noChangeAspect="1"/>
                  </wp:cNvGraphicFramePr>
                  <a:graphic>
                    <a:graphicData uri="http://schemas.openxmlformats.org/drawingml/2006/picture">
                      <pic:pic>
                        <pic:nvPicPr>
                          <pic:cNvPr id="0" name="exhibit_2_chart_final.png"/>
                          <pic:cNvPicPr/>
                        </pic:nvPicPr>
                        <pic:blipFill>
                          <a:blip r:embed="rId17"/>
                          <a:stretch>
                            <a:fillRect/>
                          </a:stretch>
                        </pic:blipFill>
                        <pic:spPr>
                          <a:xfrm>
                            <a:off x="0" y="0"/>
                            <a:ext cx="2377440" cy="164842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6a – Transition cost by sector and scenario (Hannover Re exhibit format). Energy = 69.5% of MYS total.</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982264"/>
                  <wp:docPr id="10" name="Picture 10"/>
                  <wp:cNvGraphicFramePr>
                    <a:graphicFrameLocks noChangeAspect="1"/>
                  </wp:cNvGraphicFramePr>
                  <a:graphic>
                    <a:graphicData uri="http://schemas.openxmlformats.org/drawingml/2006/picture">
                      <pic:pic>
                        <pic:nvPicPr>
                          <pic:cNvPr id="0" name="r4_exhibit2b_mys_vs_phl.png"/>
                          <pic:cNvPicPr/>
                        </pic:nvPicPr>
                        <pic:blipFill>
                          <a:blip r:embed="rId18"/>
                          <a:stretch>
                            <a:fillRect/>
                          </a:stretch>
                        </pic:blipFill>
                        <pic:spPr>
                          <a:xfrm>
                            <a:off x="0" y="0"/>
                            <a:ext cx="2377440" cy="982264"/>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6b – MYS vs. PHL head-to-head: LULUCF asymmetry drives diverging surcharge requirements.</w:t>
            </w:r>
          </w:p>
        </w:tc>
      </w:tr>
    </w:tbl>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4"/>
              </w:rPr>
              <w:t>Sector</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MYS emissions (MtCO₂e)</w:t>
            </w:r>
          </w:p>
        </w:tc>
        <w:tc>
          <w:tcPr>
            <w:tcW w:type="dxa" w:w="2521"/>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4"/>
              </w:rPr>
              <w:t>MYS cost at baseline carbon</w:t>
            </w:r>
          </w:p>
        </w:tc>
        <w:tc>
          <w:tcPr>
            <w:tcW w:type="dxa" w:w="2521"/>
            <w:shd w:val="clear" w:color="auto" w:fill="1F497D"/>
            <w:tcW w:w="2015" w:type="dxa"/>
          </w:tcPr>
          <w:p>
            <w:pPr>
              <w:spacing w:after="20" w:before="20"/>
              <w:jc w:val="center"/>
            </w:pPr>
            <w:r>
              <w:rPr>
                <w:rFonts w:ascii="Times New Roman" w:hAnsi="Times New Roman" w:cs="Times New Roman"/>
                <w:rFonts w:ascii="Times New Roman" w:hAnsi="Times New Roman"/>
                <w:b/>
                <w:i w:val="0"/>
                <w:color w:val="FFFFFF"/>
                <w:sz w:val="24"/>
              </w:rPr>
              <w:t>PHL cost</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Energy</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279.9</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15.6bn/yr</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8.9bn/yr</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LULUCF (MYS emitter)</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63.3</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3.5bn/yr</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N/A — net sink, earns credits</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Industrial Processes</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29.9</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1.7bn/yr</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0.9bn/yr</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Waste &amp; Agriculture</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29.6</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1.6bn/yr</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4.9bn/yr</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TOTAL</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402.6</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21.6bn/yr (5.3% of GDP)</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14.5bn/yr (3.3% of GDP)</w:t>
            </w:r>
          </w:p>
        </w:tc>
      </w:tr>
    </w:tbl>
    <w:p>
      <w:pPr>
        <w:spacing w:before="20" w:after="80"/>
        <w:jc w:val="center"/>
      </w:pPr>
      <w:r>
        <w:rPr>
          <w:rFonts w:ascii="Times New Roman" w:hAnsi="Times New Roman" w:cs="Times New Roman"/>
          <w:rFonts w:ascii="Times New Roman" w:hAnsi="Times New Roman"/>
          <w:b w:val="0"/>
          <w:i/>
          <w:sz w:val="18"/>
        </w:rPr>
        <w:t>Table 6 – Transition compliance costs at NGFS NZ2050 baseline (USD 55.578/t). Source: Climate Watch 2023; NGFS GCAM 6.0. Pass-through derivation in Appendix B.</w:t>
      </w:r>
    </w:p>
    <w:p>
      <w:pPr>
        <w:spacing w:before="60" w:after="20"/>
        <w:jc w:val="left"/>
      </w:pPr>
      <w:r>
        <w:rPr>
          <w:rFonts w:ascii="Times New Roman" w:hAnsi="Times New Roman" w:cs="Times New Roman"/>
          <w:rFonts w:ascii="Times New Roman" w:hAnsi="Times New Roman"/>
          <w:b/>
          <w:i w:val="0"/>
          <w:color w:val="1F497D"/>
          <w:sz w:val="24"/>
        </w:rPr>
        <w:t>What Reaches the Treaty Pool</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4"/>
              </w:rPr>
              <w:t>Scenario</w:t>
            </w:r>
          </w:p>
        </w:tc>
        <w:tc>
          <w:tcPr>
            <w:tcW w:type="dxa" w:w="252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4"/>
              </w:rPr>
              <w:t>Carbon price</w:t>
            </w:r>
          </w:p>
        </w:tc>
        <w:tc>
          <w:tcPr>
            <w:tcW w:type="dxa" w:w="2521"/>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4"/>
              </w:rPr>
              <w:t>SEA treaty pool exposure</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HRe share (10% SEA alloc.)</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NGFS NZ2050 — 2024 baseline</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55.6/t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1,115M/yr</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8.9M/yr</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NGFS NZ2050 — 2030 projection</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115.4/t</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1,191M/yr</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9.5M/yr</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2× stress scenario — 2024</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111/t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2,230M/yr</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17.8M/yr</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2× stress scenario — 2030</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231/t</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2,382M/yr</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USD 19.1M/yr</w:t>
            </w:r>
          </w:p>
        </w:tc>
      </w:tr>
    </w:tbl>
    <w:p>
      <w:pPr>
        <w:spacing w:before="20" w:after="80"/>
        <w:jc w:val="center"/>
      </w:pPr>
      <w:r>
        <w:rPr>
          <w:rFonts w:ascii="Times New Roman" w:hAnsi="Times New Roman" w:cs="Times New Roman"/>
          <w:rFonts w:ascii="Times New Roman" w:hAnsi="Times New Roman"/>
          <w:b w:val="0"/>
          <w:i/>
          <w:sz w:val="18"/>
        </w:rPr>
        <w:t>Table 7 – Annual transition pass-through at 3% rate, 50% treaty attachment, 8% HRe APAC share. Pass-through sensitivity (1–5%) in Appendix B.</w:t>
      </w:r>
    </w:p>
    <w:p>
      <w:r>
        <w:br w:type="page"/>
      </w:r>
    </w:p>
    <w:p>
      <w:pPr>
        <w:spacing w:before="100" w:after="40"/>
        <w:jc w:val="left"/>
      </w:pPr>
      <w:r>
        <w:rPr>
          <w:rFonts w:ascii="Times New Roman" w:hAnsi="Times New Roman" w:cs="Times New Roman"/>
          <w:rFonts w:ascii="Times New Roman" w:hAnsi="Times New Roman"/>
          <w:b/>
          <w:i w:val="0"/>
          <w:color w:val="1F497D"/>
          <w:sz w:val="26"/>
        </w:rPr>
        <w:t>7. What the Numbers Look Like in 2027 and 2030</w:t>
      </w:r>
    </w:p>
    <w:p>
      <w:pPr>
        <w:spacing w:before="0" w:after="40"/>
        <w:jc w:val="both"/>
      </w:pPr>
      <w:r>
        <w:rPr>
          <w:rFonts w:ascii="Times New Roman" w:hAnsi="Times New Roman" w:cs="Times New Roman"/>
          <w:rFonts w:ascii="Times New Roman" w:hAnsi="Times New Roman"/>
          <w:b w:val="0"/>
          <w:i w:val="0"/>
          <w:sz w:val="24"/>
        </w:rPr>
        <w:t>The NGFS carbon price rises from USD 12.5/t today to USD 115.4/t by 2030. Even as emissions fall under abatement commitments, the price escalation outpaces the reduction — compliance costs keep growing throughout the treaty period. The 2027 renewal is the key window. At approximately USD 85/t (mid-trajectory), the carbon cost flowing into the SEA treaty pool crosses the BNM CCPT Pillar 2 mandatory review threshold, placing HRe's central reserve gap at approximately USD 12M/yr. Waiting until the 2028 renewal forfeits one full cycle of underpriced rates. By 2029, the 2× stress scenario (USD 18.6M/yr) binds capital constraints.</w:t>
      </w:r>
    </w:p>
    <w:p>
      <w:pPr>
        <w:jc w:val="center"/>
      </w:pPr>
      <w:r>
        <w:drawing>
          <wp:inline xmlns:a="http://schemas.openxmlformats.org/drawingml/2006/main" xmlns:pic="http://schemas.openxmlformats.org/drawingml/2006/picture">
            <wp:extent cx="3840480" cy="1474043"/>
            <wp:docPr id="11" name="Picture 11"/>
            <wp:cNvGraphicFramePr>
              <a:graphicFrameLocks noChangeAspect="1"/>
            </wp:cNvGraphicFramePr>
            <a:graphic>
              <a:graphicData uri="http://schemas.openxmlformats.org/drawingml/2006/picture">
                <pic:pic>
                  <pic:nvPicPr>
                    <pic:cNvPr id="0" name="r4_carbon_price_trajectory.png"/>
                    <pic:cNvPicPr/>
                  </pic:nvPicPr>
                  <pic:blipFill>
                    <a:blip r:embed="rId19"/>
                    <a:stretch>
                      <a:fillRect/>
                    </a:stretch>
                  </pic:blipFill>
                  <pic:spPr>
                    <a:xfrm>
                      <a:off x="0" y="0"/>
                      <a:ext cx="3840480" cy="1474043"/>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7 – NGFS GCAM 6.0 NZ2050 carbon price path: USD 12.5/t (2024) → USD 115.4/t (2030). The 2027 repricing trigger and 2× stress path are marked.</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Scenario</w:t>
            </w:r>
          </w:p>
        </w:tc>
        <w:tc>
          <w:tcPr>
            <w:tcW w:type="dxa" w:w="2017"/>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4"/>
              </w:rPr>
              <w:t>Carbon price</w:t>
            </w:r>
          </w:p>
        </w:tc>
        <w:tc>
          <w:tcPr>
            <w:tcW w:type="dxa" w:w="2017"/>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4"/>
              </w:rPr>
              <w:t>Malaysia full cost</w:t>
            </w:r>
          </w:p>
        </w:tc>
        <w:tc>
          <w:tcPr>
            <w:tcW w:type="dxa" w:w="2017"/>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4"/>
              </w:rPr>
              <w:t>Philippines full cost</w:t>
            </w:r>
          </w:p>
        </w:tc>
        <w:tc>
          <w:tcPr>
            <w:tcW w:type="dxa" w:w="2017"/>
            <w:shd w:val="clear" w:color="auto" w:fill="1F497D"/>
            <w:tcW w:w="2376" w:type="dxa"/>
          </w:tcPr>
          <w:p>
            <w:pPr>
              <w:spacing w:after="20" w:before="20"/>
              <w:jc w:val="center"/>
            </w:pPr>
            <w:r>
              <w:rPr>
                <w:rFonts w:ascii="Times New Roman" w:hAnsi="Times New Roman" w:cs="Times New Roman"/>
                <w:rFonts w:ascii="Times New Roman" w:hAnsi="Times New Roman"/>
                <w:b/>
                <w:i w:val="0"/>
                <w:color w:val="FFFFFF"/>
                <w:sz w:val="24"/>
              </w:rPr>
              <w:t>Implication</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Baseline 2024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55.6/t</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21.6bn/yr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14.5bn/yr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Current exposure</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Baseline 2030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115.4/t</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49.5bn/yr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32.9bn/yr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Treaty period end</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2× stress 2024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111/t</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43.2bn/yr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29.0bn/yr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Capital constraint binds</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2× stress 2030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231/t</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99.0bn/yr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65.9bn/yr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Worst-case end-state</w:t>
            </w:r>
          </w:p>
        </w:tc>
      </w:tr>
    </w:tbl>
    <w:p>
      <w:pPr>
        <w:spacing w:before="20" w:after="80"/>
        <w:jc w:val="center"/>
      </w:pPr>
      <w:r>
        <w:rPr>
          <w:rFonts w:ascii="Times New Roman" w:hAnsi="Times New Roman" w:cs="Times New Roman"/>
          <w:rFonts w:ascii="Times New Roman" w:hAnsi="Times New Roman"/>
          <w:b w:val="0"/>
          <w:i/>
          <w:sz w:val="18"/>
        </w:rPr>
        <w:t>Table 8 – Compliance cost scenarios. MYS includes LULUCF (+63.3 MtCO₂e). Source: NGFS GCAM 6.0.</w:t>
      </w:r>
    </w:p>
    <w:p>
      <w:r>
        <w:br w:type="page"/>
      </w:r>
    </w:p>
    <w:p>
      <w:pPr>
        <w:spacing w:before="100" w:after="40"/>
        <w:jc w:val="left"/>
      </w:pPr>
      <w:r>
        <w:rPr>
          <w:rFonts w:ascii="Times New Roman" w:hAnsi="Times New Roman" w:cs="Times New Roman"/>
          <w:rFonts w:ascii="Times New Roman" w:hAnsi="Times New Roman"/>
          <w:b/>
          <w:i w:val="0"/>
          <w:color w:val="1F497D"/>
          <w:sz w:val="26"/>
        </w:rPr>
        <w:t>8. The Financial Impact on Hannover Re</w:t>
      </w:r>
    </w:p>
    <w:p>
      <w:pPr>
        <w:spacing w:before="0" w:after="40"/>
        <w:jc w:val="both"/>
      </w:pPr>
      <w:r>
        <w:rPr>
          <w:rFonts w:ascii="Times New Roman" w:hAnsi="Times New Roman" w:cs="Times New Roman"/>
          <w:rFonts w:ascii="Times New Roman" w:hAnsi="Times New Roman"/>
          <w:b w:val="0"/>
          <w:i w:val="0"/>
          <w:sz w:val="24"/>
        </w:rPr>
        <w:t>The reserve gap is calculated by multiplying the total SEA treaty pool exposure by: Hannover Re's 8% APAC non-life market share (2023 Annual Report p.47), 50% treaty attachment factor (Swiss Re Sigma 1/2024), and 3–10% SEA sub-book allocation (BNM/BSP data). This produces a conservative lower bound — it is a floor estimate, not the final quantum. The primary deliverable is the repricing framework itself: once cedant-level loss triangles are disclosed (R5), this estimate refines by an order of magnitude.</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4"/>
              </w:rPr>
              <w:t>Scenario</w:t>
            </w:r>
          </w:p>
        </w:tc>
        <w:tc>
          <w:tcPr>
            <w:tcW w:type="dxa" w:w="3362"/>
            <w:shd w:val="clear" w:color="auto" w:fill="1F497D"/>
            <w:tcW w:w="2088" w:type="dxa"/>
          </w:tcPr>
          <w:p>
            <w:pPr>
              <w:spacing w:after="20" w:before="20"/>
              <w:jc w:val="center"/>
            </w:pPr>
            <w:r>
              <w:rPr>
                <w:rFonts w:ascii="Times New Roman" w:hAnsi="Times New Roman" w:cs="Times New Roman"/>
                <w:rFonts w:ascii="Times New Roman" w:hAnsi="Times New Roman"/>
                <w:b/>
                <w:i w:val="0"/>
                <w:color w:val="FFFFFF"/>
                <w:sz w:val="24"/>
              </w:rPr>
              <w:t>Annual reserve gap</w:t>
            </w:r>
          </w:p>
        </w:tc>
        <w:tc>
          <w:tcPr>
            <w:tcW w:type="dxa" w:w="3362"/>
            <w:shd w:val="clear" w:color="auto" w:fill="1F497D"/>
            <w:tcW w:w="3960" w:type="dxa"/>
          </w:tcPr>
          <w:p>
            <w:pPr>
              <w:spacing w:after="20" w:before="20"/>
              <w:jc w:val="center"/>
            </w:pPr>
            <w:r>
              <w:rPr>
                <w:rFonts w:ascii="Times New Roman" w:hAnsi="Times New Roman" w:cs="Times New Roman"/>
                <w:rFonts w:ascii="Times New Roman" w:hAnsi="Times New Roman"/>
                <w:b/>
                <w:i w:val="0"/>
                <w:color w:val="FFFFFF"/>
                <w:sz w:val="24"/>
              </w:rPr>
              <w:t>What drives it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Floor (3% SEA allocation)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3.4M/yr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Conservative: 3% alloc, 3% pass-through, baseline carbon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Central estimate (10% SEA allocation)</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9.7M/yr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Base case: 10% alloc, 3% pass-through, NZ2050 baseline — primary planning figure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Stress (10% alloc., 2× carbon price)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18.6M/yr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 carbon price; triggers mandatory treaty repricing and R4 clause activation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La Niña tail uplift (additive to central)</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2.59M/yr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Joint La Niña dependence; added to central in stress budget (see Section 5)</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Post-R5 target (after data procurement)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7.5–11.8M/yr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After cedant triangles + sub-national data narrow uncertainty ~60%</w:t>
            </w:r>
          </w:p>
        </w:tc>
      </w:tr>
    </w:tbl>
    <w:p>
      <w:pPr>
        <w:spacing w:before="20" w:after="80"/>
        <w:jc w:val="center"/>
      </w:pPr>
      <w:r>
        <w:rPr>
          <w:rFonts w:ascii="Times New Roman" w:hAnsi="Times New Roman" w:cs="Times New Roman"/>
          <w:rFonts w:ascii="Times New Roman" w:hAnsi="Times New Roman"/>
          <w:b w:val="0"/>
          <w:i/>
          <w:sz w:val="18"/>
        </w:rPr>
        <w:t>Table 9 – HRe annual reserve gap. Range width is the quantitative case for R5 (data procurement).</w:t>
      </w:r>
    </w:p>
    <w:p>
      <w:pPr>
        <w:jc w:val="center"/>
      </w:pPr>
      <w:r>
        <w:drawing>
          <wp:inline xmlns:a="http://schemas.openxmlformats.org/drawingml/2006/main" xmlns:pic="http://schemas.openxmlformats.org/drawingml/2006/picture">
            <wp:extent cx="3291840" cy="2320659"/>
            <wp:docPr id="12" name="Picture 12"/>
            <wp:cNvGraphicFramePr>
              <a:graphicFrameLocks noChangeAspect="1"/>
            </wp:cNvGraphicFramePr>
            <a:graphic>
              <a:graphicData uri="http://schemas.openxmlformats.org/drawingml/2006/picture">
                <pic:pic>
                  <pic:nvPicPr>
                    <pic:cNvPr id="0" name="r_heatmap_reserve_gap.png"/>
                    <pic:cNvPicPr/>
                  </pic:nvPicPr>
                  <pic:blipFill>
                    <a:blip r:embed="rId20"/>
                    <a:stretch>
                      <a:fillRect/>
                    </a:stretch>
                  </pic:blipFill>
                  <pic:spPr>
                    <a:xfrm>
                      <a:off x="0" y="0"/>
                      <a:ext cx="3291840" cy="2320659"/>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8 – Reserve gap as a function of carbon price and pass-through rate. Contours: Floor USD 3.4M / Central USD 9.7M / Stress USD 18.6M. Red zone = binding capital constraint. 2027 trigger marked.</w:t>
      </w:r>
    </w:p>
    <w:p>
      <w:r>
        <w:br w:type="page"/>
      </w:r>
    </w:p>
    <w:p>
      <w:pPr>
        <w:spacing w:before="100" w:after="40"/>
        <w:jc w:val="left"/>
      </w:pPr>
      <w:r>
        <w:rPr>
          <w:rFonts w:ascii="Times New Roman" w:hAnsi="Times New Roman" w:cs="Times New Roman"/>
          <w:rFonts w:ascii="Times New Roman" w:hAnsi="Times New Roman"/>
          <w:b/>
          <w:i w:val="0"/>
          <w:color w:val="1F497D"/>
          <w:sz w:val="26"/>
        </w:rPr>
        <w:t>9. Five Actions to Close the Gap</w:t>
      </w:r>
    </w:p>
    <w:p>
      <w:pPr>
        <w:spacing w:before="60" w:after="20"/>
        <w:jc w:val="left"/>
      </w:pPr>
      <w:r>
        <w:rPr>
          <w:rFonts w:ascii="Times New Roman" w:hAnsi="Times New Roman" w:cs="Times New Roman"/>
          <w:rFonts w:ascii="Times New Roman" w:hAnsi="Times New Roman"/>
          <w:b/>
          <w:i w:val="0"/>
          <w:color w:val="C00000"/>
          <w:sz w:val="24"/>
        </w:rPr>
        <w:t>R1 — Reprice flood EAL loading  (implement at next renewal)</w:t>
      </w:r>
    </w:p>
    <w:p>
      <w:pPr>
        <w:spacing w:before="0" w:after="40"/>
        <w:jc w:val="both"/>
      </w:pPr>
      <w:r>
        <w:rPr>
          <w:rFonts w:ascii="Times New Roman" w:hAnsi="Times New Roman" w:cs="Times New Roman"/>
          <w:rFonts w:ascii="Times New Roman" w:hAnsi="Times New Roman"/>
          <w:b w:val="0"/>
          <w:i w:val="0"/>
          <w:sz w:val="24"/>
        </w:rPr>
        <w:t>Apply a +35–36% flood loading to all MYS property cat treaties above USD 50M notional. This is derived from the midpoint of the bootstrap confidence interval anchored to the 2007 hazard shift — it exceeds the current market benchmark of +18–24% (Aon 2024, GC APAC Q3), and accepts a ~5–8% volume reduction in exchange for a ~2.1pp improvement in SEA combined ratio. PHL receives a +1–2% floor loading pending R5 data, reflecting the wide uncertainty interval. Regulatory anchor: BNM CCPT Pillar 1 s.3.4.</w:t>
      </w:r>
    </w:p>
    <w:p>
      <w:pPr>
        <w:jc w:val="center"/>
      </w:pPr>
      <w:r>
        <w:drawing>
          <wp:inline xmlns:a="http://schemas.openxmlformats.org/drawingml/2006/main" xmlns:pic="http://schemas.openxmlformats.org/drawingml/2006/picture">
            <wp:extent cx="4114800" cy="1461109"/>
            <wp:docPr id="13" name="Picture 13"/>
            <wp:cNvGraphicFramePr>
              <a:graphicFrameLocks noChangeAspect="1"/>
            </wp:cNvGraphicFramePr>
            <a:graphic>
              <a:graphicData uri="http://schemas.openxmlformats.org/drawingml/2006/picture">
                <pic:pic>
                  <pic:nvPicPr>
                    <pic:cNvPr id="0" name="r4_rec1_treaty_threshold.png"/>
                    <pic:cNvPicPr/>
                  </pic:nvPicPr>
                  <pic:blipFill>
                    <a:blip r:embed="rId21"/>
                    <a:stretch>
                      <a:fillRect/>
                    </a:stretch>
                  </pic:blipFill>
                  <pic:spPr>
                    <a:xfrm>
                      <a:off x="0" y="0"/>
                      <a:ext cx="4114800" cy="1461109"/>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9 – R1 treaty threshold: GEV-calibrated EAL loading vs. current burning-cost benchmark. The gap between curves represents the current under-pricing.</w:t>
      </w:r>
    </w:p>
    <w:p>
      <w:pPr>
        <w:spacing w:before="60" w:after="20"/>
        <w:jc w:val="left"/>
      </w:pPr>
      <w:r>
        <w:rPr>
          <w:rFonts w:ascii="Times New Roman" w:hAnsi="Times New Roman" w:cs="Times New Roman"/>
          <w:rFonts w:ascii="Times New Roman" w:hAnsi="Times New Roman"/>
          <w:b/>
          <w:i w:val="0"/>
          <w:color w:val="C00000"/>
          <w:sz w:val="24"/>
        </w:rPr>
        <w:t>R2 — Country-specific carbon surcharges  (at renewal; review per NGFS Phase)</w:t>
      </w:r>
    </w:p>
    <w:p>
      <w:pPr>
        <w:spacing w:before="0" w:after="40"/>
        <w:jc w:val="both"/>
      </w:pPr>
      <w:r>
        <w:rPr>
          <w:rFonts w:ascii="Times New Roman" w:hAnsi="Times New Roman" w:cs="Times New Roman"/>
          <w:rFonts w:ascii="Times New Roman" w:hAnsi="Times New Roman"/>
          <w:b w:val="0"/>
          <w:i w:val="0"/>
          <w:sz w:val="24"/>
        </w:rPr>
        <w:t>Malaysia: 3–5% surcharge on CCPT C3/C4 cedants (those in sectors with highest LULUCF exposure). Malaysia's net LULUCF emitter status triggers R4 (Climate Warranty Clause). Philippines: 1–2% surcharge (BSP 1085 s.X.4); Article 6.2 ITMO credits partially offset the cost. Both rates are reviewed at each NGFS Phase update.</w:t>
      </w:r>
    </w:p>
    <w:p>
      <w:pPr>
        <w:spacing w:before="60" w:after="20"/>
        <w:jc w:val="left"/>
      </w:pPr>
      <w:r>
        <w:rPr>
          <w:rFonts w:ascii="Times New Roman" w:hAnsi="Times New Roman" w:cs="Times New Roman"/>
          <w:rFonts w:ascii="Times New Roman" w:hAnsi="Times New Roman"/>
          <w:b/>
          <w:i w:val="0"/>
          <w:color w:val="C00000"/>
          <w:sz w:val="24"/>
        </w:rPr>
        <w:t>R3 — La Niña audit protocol  (annual monitoring, October)</w:t>
      </w:r>
    </w:p>
    <w:p>
      <w:pPr>
        <w:spacing w:before="0" w:after="40"/>
        <w:jc w:val="both"/>
      </w:pPr>
      <w:r>
        <w:rPr>
          <w:rFonts w:ascii="Times New Roman" w:hAnsi="Times New Roman" w:cs="Times New Roman"/>
          <w:rFonts w:ascii="Times New Roman" w:hAnsi="Times New Roman"/>
          <w:b w:val="0"/>
          <w:i w:val="0"/>
          <w:sz w:val="24"/>
        </w:rPr>
        <w:t>When NOAA's October ONI reading reaches ≤ -0.5°C (indicating La Niña conditions), trigger a facultative review of MYS and PHL exposure, retention, and probable maximum loss. If the review shows &gt;15% increase versus a neutral year, apply the +6.9% hazard uplift to MYS treaties. This is a governance control, not a continuous pricing mechanism — annual ENSO correlation is statistically negligible (r = -0.016). Anchor: TCFD Risk Management Rec (b).</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843792"/>
                  <wp:docPr id="14" name="Picture 14"/>
                  <wp:cNvGraphicFramePr>
                    <a:graphicFrameLocks noChangeAspect="1"/>
                  </wp:cNvGraphicFramePr>
                  <a:graphic>
                    <a:graphicData uri="http://schemas.openxmlformats.org/drawingml/2006/picture">
                      <pic:pic>
                        <pic:nvPicPr>
                          <pic:cNvPr id="0" name="r4_rec3_enso_protocol.png"/>
                          <pic:cNvPicPr/>
                        </pic:nvPicPr>
                        <pic:blipFill>
                          <a:blip r:embed="rId22"/>
                          <a:stretch>
                            <a:fillRect/>
                          </a:stretch>
                        </pic:blipFill>
                        <pic:spPr>
                          <a:xfrm>
                            <a:off x="0" y="0"/>
                            <a:ext cx="2377440" cy="843792"/>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10a – R3 ENSO protocol: ONI threshold and audit activation logic.</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844197"/>
                  <wp:docPr id="15" name="Picture 15"/>
                  <wp:cNvGraphicFramePr>
                    <a:graphicFrameLocks noChangeAspect="1"/>
                  </wp:cNvGraphicFramePr>
                  <a:graphic>
                    <a:graphicData uri="http://schemas.openxmlformats.org/drawingml/2006/picture">
                      <pic:pic>
                        <pic:nvPicPr>
                          <pic:cNvPr id="0" name="r4_rec4_ci_loading.png"/>
                          <pic:cNvPicPr/>
                        </pic:nvPicPr>
                        <pic:blipFill>
                          <a:blip r:embed="rId23"/>
                          <a:stretch>
                            <a:fillRect/>
                          </a:stretch>
                        </pic:blipFill>
                        <pic:spPr>
                          <a:xfrm>
                            <a:off x="0" y="0"/>
                            <a:ext cx="2377440" cy="844197"/>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10b – R4 uncertainty loading as a function of sample size. More data = narrower band.</w:t>
            </w:r>
          </w:p>
        </w:tc>
      </w:tr>
    </w:tbl>
    <w:p>
      <w:pPr>
        <w:spacing w:before="60" w:after="20"/>
        <w:jc w:val="left"/>
      </w:pPr>
      <w:r>
        <w:rPr>
          <w:rFonts w:ascii="Times New Roman" w:hAnsi="Times New Roman" w:cs="Times New Roman"/>
          <w:rFonts w:ascii="Times New Roman" w:hAnsi="Times New Roman"/>
          <w:b/>
          <w:i w:val="0"/>
          <w:color w:val="C00000"/>
          <w:sz w:val="24"/>
        </w:rPr>
        <w:t>R4 — Climate Warranty Clause  (MYS only, at renewal)</w:t>
      </w:r>
    </w:p>
    <w:p>
      <w:pPr>
        <w:spacing w:before="0" w:after="40"/>
        <w:jc w:val="both"/>
      </w:pPr>
      <w:r>
        <w:rPr>
          <w:rFonts w:ascii="Times New Roman" w:hAnsi="Times New Roman" w:cs="Times New Roman"/>
          <w:rFonts w:ascii="Times New Roman" w:hAnsi="Times New Roman"/>
          <w:b w:val="0"/>
          <w:i w:val="0"/>
          <w:sz w:val="24"/>
        </w:rPr>
        <w:t>Insert a 10% co-participation clause for Malaysia LULUCF cedants (palm oil, plantation forestry) that activates on non-disclosure of land-use change exceeding 10% year-on-year. Regulatory anchors: EUDR Art. 8 (EU Deforestation Regulation due diligence) and Lloyd's ESG s.2.3 (underwriting disclosure requirements).</w:t>
      </w:r>
    </w:p>
    <w:p>
      <w:pPr>
        <w:spacing w:before="60" w:after="20"/>
        <w:jc w:val="left"/>
      </w:pPr>
      <w:r>
        <w:rPr>
          <w:rFonts w:ascii="Times New Roman" w:hAnsi="Times New Roman" w:cs="Times New Roman"/>
          <w:rFonts w:ascii="Times New Roman" w:hAnsi="Times New Roman"/>
          <w:b/>
          <w:i w:val="0"/>
          <w:color w:val="C00000"/>
          <w:sz w:val="24"/>
        </w:rPr>
        <w:t>R5 — Procure cedant loss data  (months 0–12, highest priority)</w:t>
      </w:r>
    </w:p>
    <w:p>
      <w:pPr>
        <w:spacing w:before="0" w:after="40"/>
        <w:jc w:val="both"/>
      </w:pPr>
      <w:r>
        <w:rPr>
          <w:rFonts w:ascii="Times New Roman" w:hAnsi="Times New Roman" w:cs="Times New Roman"/>
          <w:rFonts w:ascii="Times New Roman" w:hAnsi="Times New Roman"/>
          <w:b w:val="0"/>
          <w:i w:val="0"/>
          <w:sz w:val="24"/>
        </w:rPr>
        <w:t>The single action with the largest impact on the reserve estimate. Procuring cedant 10+ year loss triangles and 0.05-degree sub-national CHIRPS grids grows the effective GEV sample from n=34 to n≥43, narrowing the Philippines confidence interval from ±44.5pp to ±12pp and reducing the reserve band from USD 15.2M to USD 6.1M (~60% reduction). Priority sequence: (1) cedant loss disclosure [months 0–2, low cost]; (2) extend precipitation record [months 5–8]; (3) geocoded schedule + penetration study [months 10–12]. Anchor: TCFD Metrics &amp; Targets Rec (a).</w:t>
      </w:r>
    </w:p>
    <w:p>
      <w:r>
        <w:br w:type="page"/>
      </w:r>
    </w:p>
    <w:p>
      <w:pPr>
        <w:spacing w:before="100" w:after="40"/>
        <w:jc w:val="left"/>
      </w:pPr>
      <w:r>
        <w:rPr>
          <w:rFonts w:ascii="Times New Roman" w:hAnsi="Times New Roman" w:cs="Times New Roman"/>
          <w:rFonts w:ascii="Times New Roman" w:hAnsi="Times New Roman"/>
          <w:b/>
          <w:i w:val="0"/>
          <w:color w:val="1F497D"/>
          <w:sz w:val="26"/>
        </w:rPr>
        <w:t>10. Limitations, Scalability &amp; Conclusion</w:t>
      </w:r>
    </w:p>
    <w:p>
      <w:pPr>
        <w:spacing w:before="60" w:after="20"/>
        <w:jc w:val="left"/>
      </w:pPr>
      <w:r>
        <w:rPr>
          <w:rFonts w:ascii="Times New Roman" w:hAnsi="Times New Roman" w:cs="Times New Roman"/>
          <w:rFonts w:ascii="Times New Roman" w:hAnsi="Times New Roman"/>
          <w:b/>
          <w:i w:val="0"/>
          <w:color w:val="1F497D"/>
          <w:sz w:val="24"/>
        </w:rPr>
        <w:t>10.1 Key Limitations</w:t>
      </w:r>
    </w:p>
    <w:p>
      <w:pPr>
        <w:pStyle w:val="ListBullet"/>
        <w:spacing w:after="40"/>
        <w:jc w:val="both"/>
      </w:pPr>
      <w:r>
        <w:rPr>
          <w:rFonts w:ascii="Times New Roman" w:hAnsi="Times New Roman" w:cs="Times New Roman"/>
          <w:rFonts w:ascii="Times New Roman" w:hAnsi="Times New Roman"/>
          <w:b w:val="0"/>
          <w:i w:val="0"/>
          <w:sz w:val="22"/>
        </w:rPr>
        <w:t>Sample size: With only 34 years of data, the Philippines 100-year return level carries a wide confidence interval [326–985mm]. Statistical power is ~25% on the change-point test. The 2007 shift is supported by the PDO phase-change literature (Cinco et al. 2014) as well as the data. Both are resolved by R5 within 12 months.</w:t>
      </w:r>
    </w:p>
    <w:p>
      <w:pPr>
        <w:pStyle w:val="ListBullet"/>
        <w:spacing w:after="40"/>
        <w:jc w:val="both"/>
      </w:pPr>
      <w:r>
        <w:rPr>
          <w:rFonts w:ascii="Times New Roman" w:hAnsi="Times New Roman" w:cs="Times New Roman"/>
          <w:rFonts w:ascii="Times New Roman" w:hAnsi="Times New Roman"/>
          <w:b w:val="0"/>
          <w:i w:val="0"/>
          <w:sz w:val="22"/>
        </w:rPr>
        <w:t>Pass-through uncertainty: A ±2 percentage point change in the pass-through rate drives a 5× change in the HRe reserve estimate (USD 3.0M–14.9M/yr). The 3% baseline is anchored to BNM CCPT Pillar 2 and is the most defensible single point, but this sensitivity is why R5 (cedant-level data) is the priority investment.</w:t>
      </w:r>
    </w:p>
    <w:p>
      <w:pPr>
        <w:pStyle w:val="ListBullet"/>
        <w:spacing w:after="40"/>
        <w:jc w:val="both"/>
      </w:pPr>
      <w:r>
        <w:rPr>
          <w:rFonts w:ascii="Times New Roman" w:hAnsi="Times New Roman" w:cs="Times New Roman"/>
          <w:rFonts w:ascii="Times New Roman" w:hAnsi="Times New Roman"/>
          <w:b w:val="0"/>
          <w:i w:val="0"/>
          <w:sz w:val="22"/>
        </w:rPr>
        <w:t>Model conservatism: The ARIMA forecast assumes no structural break in MYS GHG trajectory, which slightly overstates future emissions — a margin of safety, not a risk. The La Niña copula estimate (Gaussian correlation ρ = 0.32) is based on n=14 sub-sample years and is indicative only; it refreshes with each NGFS Phase update.</w:t>
      </w:r>
    </w:p>
    <w:p>
      <w:pPr>
        <w:spacing w:before="0" w:after="40"/>
        <w:jc w:val="both"/>
      </w:pPr>
    </w:p>
    <w:p>
      <w:pPr>
        <w:spacing w:before="60" w:after="20"/>
        <w:jc w:val="left"/>
      </w:pPr>
      <w:r>
        <w:rPr>
          <w:rFonts w:ascii="Times New Roman" w:hAnsi="Times New Roman" w:cs="Times New Roman"/>
          <w:rFonts w:ascii="Times New Roman" w:hAnsi="Times New Roman"/>
          <w:b/>
          <w:i w:val="0"/>
          <w:color w:val="1F497D"/>
          <w:sz w:val="24"/>
        </w:rPr>
        <w:t>10.2 Regulatory Anchor Mapping</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4"/>
              </w:rPr>
              <w:t>Recommendation</w:t>
            </w:r>
          </w:p>
        </w:tc>
        <w:tc>
          <w:tcPr>
            <w:tcW w:type="dxa" w:w="3362"/>
            <w:shd w:val="clear" w:color="auto" w:fill="1F497D"/>
            <w:tcW w:w="3096" w:type="dxa"/>
          </w:tcPr>
          <w:p>
            <w:pPr>
              <w:spacing w:after="20" w:before="20"/>
              <w:jc w:val="center"/>
            </w:pPr>
            <w:r>
              <w:rPr>
                <w:rFonts w:ascii="Times New Roman" w:hAnsi="Times New Roman" w:cs="Times New Roman"/>
                <w:rFonts w:ascii="Times New Roman" w:hAnsi="Times New Roman"/>
                <w:b/>
                <w:i w:val="0"/>
                <w:color w:val="FFFFFF"/>
                <w:sz w:val="24"/>
              </w:rPr>
              <w:t>Regulatory Framework</w:t>
            </w:r>
          </w:p>
        </w:tc>
        <w:tc>
          <w:tcPr>
            <w:tcW w:type="dxa" w:w="3362"/>
            <w:shd w:val="clear" w:color="auto" w:fill="1F497D"/>
            <w:tcW w:w="3311" w:type="dxa"/>
          </w:tcPr>
          <w:p>
            <w:pPr>
              <w:spacing w:after="20" w:before="20"/>
              <w:jc w:val="center"/>
            </w:pPr>
            <w:r>
              <w:rPr>
                <w:rFonts w:ascii="Times New Roman" w:hAnsi="Times New Roman" w:cs="Times New Roman"/>
                <w:rFonts w:ascii="Times New Roman" w:hAnsi="Times New Roman"/>
                <w:b/>
                <w:i w:val="0"/>
                <w:color w:val="FFFFFF"/>
                <w:sz w:val="24"/>
              </w:rPr>
              <w:t>Specific Reference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R1 — Flood EAL loading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BNM CCPT (2022)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Pillar 1 s.3.4 — Physical Risk</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R2 — Transition surcharges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BNM CCPT (2022) + BSP 1085 (2020)</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Pillar 2 s.4.2 (MYS); s.X.4 ESG Pricing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R3 — ENSO audit protocol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TCFD (2017)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Risk Mgmt Rec (b) — Identifying Climate Risks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R4 — Climate Warranty Clause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EUDR 2023/1115 + Lloyd's ESG (2023)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Art. 8 Due Diligence; s.2.3 Underwriting Disclosure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R5 — Data procurement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TCFD (2017)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Metrics &amp; Targets (a) — Climate Disclosure</w:t>
            </w:r>
          </w:p>
        </w:tc>
      </w:tr>
    </w:tbl>
    <w:p>
      <w:pPr>
        <w:spacing w:before="20" w:after="80"/>
        <w:jc w:val="center"/>
      </w:pPr>
      <w:r>
        <w:rPr>
          <w:rFonts w:ascii="Times New Roman" w:hAnsi="Times New Roman" w:cs="Times New Roman"/>
          <w:rFonts w:ascii="Times New Roman" w:hAnsi="Times New Roman"/>
          <w:b w:val="0"/>
          <w:i/>
          <w:sz w:val="18"/>
        </w:rPr>
        <w:t>Table 11 – Full regulatory anchor mapping. All recommendations align to BNM CCPT, BSP 1085, TCFD, EUDR, and Lloyd's ESG.</w:t>
      </w:r>
    </w:p>
    <w:p>
      <w:pPr>
        <w:spacing w:before="0" w:after="40"/>
        <w:jc w:val="both"/>
      </w:pPr>
    </w:p>
    <w:p>
      <w:pPr>
        <w:spacing w:before="60" w:after="20"/>
        <w:jc w:val="left"/>
      </w:pPr>
      <w:r>
        <w:rPr>
          <w:rFonts w:ascii="Times New Roman" w:hAnsi="Times New Roman" w:cs="Times New Roman"/>
          <w:rFonts w:ascii="Times New Roman" w:hAnsi="Times New Roman"/>
          <w:b/>
          <w:i w:val="0"/>
          <w:color w:val="1F497D"/>
          <w:sz w:val="24"/>
        </w:rPr>
        <w:t>10.3 Scalability</w:t>
      </w:r>
    </w:p>
    <w:p>
      <w:pPr>
        <w:spacing w:before="0" w:after="40"/>
        <w:jc w:val="both"/>
      </w:pPr>
      <w:r>
        <w:rPr>
          <w:rFonts w:ascii="Times New Roman" w:hAnsi="Times New Roman" w:cs="Times New Roman"/>
          <w:rFonts w:ascii="Times New Roman" w:hAnsi="Times New Roman"/>
          <w:b w:val="0"/>
          <w:i w:val="0"/>
          <w:sz w:val="24"/>
        </w:rPr>
        <w:t>The R1–R5 pipeline extends to the wider ASEAN market (Thailand, Indonesia, Vietnam) by substituting country-specific NGFS pass-through rates and CHIRPS sub-national grids. The carbon cost model rebuilds in under two hours per NGFS Phase update; the GHG forecast re-runs in under 30 minutes on new WDI vintages. Recommendations R1–R5 are structured as pricing rules that map directly to BNM and BSP 2026 climate reporting requirements.</w:t>
      </w:r>
    </w:p>
    <w:p>
      <w:pPr>
        <w:spacing w:before="0" w:after="40"/>
        <w:jc w:val="both"/>
      </w:pPr>
    </w:p>
    <w:p>
      <w:pPr>
        <w:spacing w:before="60" w:after="20"/>
        <w:jc w:val="left"/>
      </w:pPr>
      <w:r>
        <w:rPr>
          <w:rFonts w:ascii="Times New Roman" w:hAnsi="Times New Roman" w:cs="Times New Roman"/>
          <w:rFonts w:ascii="Times New Roman" w:hAnsi="Times New Roman"/>
          <w:b/>
          <w:i w:val="0"/>
          <w:color w:val="1F497D"/>
          <w:sz w:val="24"/>
        </w:rPr>
        <w:t>10.4 Conclusion</w:t>
      </w:r>
    </w:p>
    <w:p>
      <w:pPr>
        <w:spacing w:before="0" w:after="40"/>
        <w:jc w:val="both"/>
      </w:pPr>
      <w:r>
        <w:rPr>
          <w:rFonts w:ascii="Times New Roman" w:hAnsi="Times New Roman" w:cs="Times New Roman"/>
          <w:rFonts w:ascii="Times New Roman" w:hAnsi="Times New Roman"/>
          <w:b w:val="0"/>
          <w:i w:val="0"/>
          <w:sz w:val="24"/>
        </w:rPr>
        <w:t>Hannover Re is carrying two unpriced risks in its Malaysia and Philippines treaty book: a flood hazard baseline that shifted permanently in 2007, and a carbon regulation cost that is now large enough to flow into insured property values. Neither is in current rates. The combined reserve shortfall is USD 9.7M/yr at the central estimate, rising to USD 18.6M/yr under a 2× carbon stress scenario, with 2027 as the actionable repricing trigger. The analysis is transparent, reproducible, and anchored to primary sources. Recommendations R1–R5 operationalise HRe's 2026 climate-integration commitment for this sub-book, with each action tied to BNM CCPT, BSP 1085, TCFD, EUDR, or Lloyd's ESG frameworks.</w:t>
      </w:r>
    </w:p>
    <w:p>
      <w:pPr>
        <w:spacing w:before="0" w:after="40"/>
        <w:jc w:val="both"/>
      </w:pPr>
      <w:r>
        <w:rPr>
          <w:rFonts w:ascii="Times New Roman" w:hAnsi="Times New Roman" w:cs="Times New Roman"/>
          <w:rFonts w:ascii="Times New Roman" w:hAnsi="Times New Roman"/>
          <w:b w:val="0"/>
          <w:i/>
          <w:sz w:val="22"/>
        </w:rPr>
        <w:t>AI Usage: Claude Sonnet 4.6 (Anthropic) assisted code structuring and documentation drafting. All outputs verified against WDI, CHIRPS, EM-DAT, NOAA ONI, NGFS, Climate Watch, and the HRe 2023 Annual/Sustainability Report.</w:t>
      </w:r>
    </w:p>
    <w:p>
      <w:r>
        <w:br w:type="page"/>
      </w:r>
    </w:p>
    <w:p>
      <w:pPr>
        <w:spacing w:before="100" w:after="40"/>
        <w:jc w:val="left"/>
      </w:pPr>
      <w:r>
        <w:rPr>
          <w:rFonts w:ascii="Times New Roman" w:hAnsi="Times New Roman" w:cs="Times New Roman"/>
          <w:rFonts w:ascii="Times New Roman" w:hAnsi="Times New Roman"/>
          <w:b/>
          <w:i w:val="0"/>
          <w:color w:val="1F497D"/>
          <w:sz w:val="26"/>
        </w:rPr>
        <w:t>Appendix A — Technical Methodology</w:t>
      </w:r>
    </w:p>
    <w:p>
      <w:pPr>
        <w:spacing w:before="60" w:after="20"/>
        <w:jc w:val="left"/>
      </w:pPr>
      <w:r>
        <w:rPr>
          <w:rFonts w:ascii="Times New Roman" w:hAnsi="Times New Roman" w:cs="Times New Roman"/>
          <w:rFonts w:ascii="Times New Roman" w:hAnsi="Times New Roman"/>
          <w:b/>
          <w:i w:val="0"/>
          <w:color w:val="1F497D"/>
          <w:sz w:val="24"/>
        </w:rPr>
        <w:t>A.1  GHG Forecasting — ARIMA Model Selection &amp; Diagnostics</w:t>
      </w:r>
    </w:p>
    <w:p>
      <w:pPr>
        <w:spacing w:before="0" w:after="40"/>
        <w:jc w:val="both"/>
      </w:pPr>
      <w:r>
        <w:rPr>
          <w:rFonts w:ascii="Times New Roman" w:hAnsi="Times New Roman" w:cs="Times New Roman"/>
          <w:rFonts w:ascii="Times New Roman" w:hAnsi="Times New Roman"/>
          <w:b w:val="0"/>
          <w:i w:val="0"/>
          <w:sz w:val="24"/>
        </w:rPr>
        <w:t>All GHG series (World Bank WDI AR5, excl. LULUCF) were tested for stationarity using the Augmented Dickey-Fuller test; both series reject the unit-root null after first differencing (d=1). Model order was selected by exhaustive AIC grid search over ARIMA(p,1,q) with p,q ∈ {0,1,2,3} fitted on the 1990–2020 training window. Ljung-Box Q-statistics confirm white-noise residuals at all lags ≤12 for both selected models. ARIMAX with WDI GDP and urbanisation regressors was tested and rejected: on the 2021–2023 rolling one-step-ahead holdout, oracle-GDP ARIMAX achieved higher MAPE than pure ARIMA for both countries, indicating overfitting to in-sample GDP co-movement. Forecast intervals use get_forecast(steps=7) on the full 1990–2023 sample; 2030 bands widen substantially (fan charts in Fig A.1–A.2) but do not alter the carbon cost trajectory direction.</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168" w:type="dxa"/>
          </w:tcPr>
          <w:p>
            <w:pPr>
              <w:spacing w:after="20" w:before="20"/>
              <w:jc w:val="center"/>
            </w:pPr>
            <w:r>
              <w:rPr>
                <w:rFonts w:ascii="Times New Roman" w:hAnsi="Times New Roman" w:cs="Times New Roman"/>
                <w:rFonts w:ascii="Times New Roman" w:hAnsi="Times New Roman"/>
                <w:b/>
                <w:i w:val="0"/>
                <w:color w:val="FFFFFF"/>
                <w:sz w:val="24"/>
              </w:rPr>
              <w:t>Parameter</w:t>
            </w:r>
          </w:p>
        </w:tc>
        <w:tc>
          <w:tcPr>
            <w:tcW w:type="dxa" w:w="3362"/>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4"/>
              </w:rPr>
              <w:t>Malaysia (MYS)</w:t>
            </w:r>
          </w:p>
        </w:tc>
        <w:tc>
          <w:tcPr>
            <w:tcW w:type="dxa" w:w="3362"/>
            <w:shd w:val="clear" w:color="auto" w:fill="1F497D"/>
            <w:tcW w:w="2880" w:type="dxa"/>
          </w:tcPr>
          <w:p>
            <w:pPr>
              <w:spacing w:after="20" w:before="20"/>
              <w:jc w:val="center"/>
            </w:pPr>
            <w:r>
              <w:rPr>
                <w:rFonts w:ascii="Times New Roman" w:hAnsi="Times New Roman" w:cs="Times New Roman"/>
                <w:rFonts w:ascii="Times New Roman" w:hAnsi="Times New Roman"/>
                <w:b/>
                <w:i w:val="0"/>
                <w:color w:val="FFFFFF"/>
                <w:sz w:val="24"/>
              </w:rPr>
              <w:t>Philippines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Selected model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ARIMA(1,1,1)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ARIMA(2,1,0)</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Training window</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1990–2020 (31 obs.)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1990–2020 (31 obs.)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Holdout (1-step rolling)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2021–2023 (3 obs.)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2021–2023 (3 obs.)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Training AIC</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224.08</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196.08</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Holdout MAPE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1.71%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3.56%</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Ljung-Box p (lag 12)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&gt;0.05 — white noise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&gt;0.05 — white noise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Actual 2023 (MtCO₂e)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318.4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254.5</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Forecast 2024 (MtCO₂e)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325.1</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260.8</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95% CI 2024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[307.9, 342.3]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[249.1, 272.4]</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Forecast 2030 (MtCO₂e)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365.5</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285.4</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ARIMAX verdict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Rejected — oracle-GDP MAPE &gt; ARIMA</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Rejected — oracle-GDP MAPE &gt; ARIMA</w:t>
            </w:r>
          </w:p>
        </w:tc>
      </w:tr>
    </w:tbl>
    <w:p>
      <w:pPr>
        <w:spacing w:before="20" w:after="80"/>
        <w:jc w:val="center"/>
      </w:pPr>
      <w:r>
        <w:rPr>
          <w:rFonts w:ascii="Times New Roman" w:hAnsi="Times New Roman" w:cs="Times New Roman"/>
          <w:rFonts w:ascii="Times New Roman" w:hAnsi="Times New Roman"/>
          <w:b w:val="0"/>
          <w:i/>
          <w:sz w:val="18"/>
        </w:rPr>
        <w:t>Table A.1 – Full ARIMA diagnostics. Source: WB WDI WB_WDI_EN_GHG_ALL_MT_CE_AR5 (AR5, excl. LULUCF).</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309652"/>
                  <wp:docPr id="16" name="Picture 16"/>
                  <wp:cNvGraphicFramePr>
                    <a:graphicFrameLocks noChangeAspect="1"/>
                  </wp:cNvGraphicFramePr>
                  <a:graphic>
                    <a:graphicData uri="http://schemas.openxmlformats.org/drawingml/2006/picture">
                      <pic:pic>
                        <pic:nvPicPr>
                          <pic:cNvPr id="0" name="r2_arima_mys.png"/>
                          <pic:cNvPicPr/>
                        </pic:nvPicPr>
                        <pic:blipFill>
                          <a:blip r:embed="rId24"/>
                          <a:stretch>
                            <a:fillRect/>
                          </a:stretch>
                        </pic:blipFill>
                        <pic:spPr>
                          <a:xfrm>
                            <a:off x="0" y="0"/>
                            <a:ext cx="2377440" cy="1309652"/>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A.1 – Malaysia ARIMA(1,1,1): 1.71% MAPE. Fan = 80% and 95% prediction intervals.</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309652"/>
                  <wp:docPr id="17" name="Picture 17"/>
                  <wp:cNvGraphicFramePr>
                    <a:graphicFrameLocks noChangeAspect="1"/>
                  </wp:cNvGraphicFramePr>
                  <a:graphic>
                    <a:graphicData uri="http://schemas.openxmlformats.org/drawingml/2006/picture">
                      <pic:pic>
                        <pic:nvPicPr>
                          <pic:cNvPr id="0" name="r2_arima_phl.png"/>
                          <pic:cNvPicPr/>
                        </pic:nvPicPr>
                        <pic:blipFill>
                          <a:blip r:embed="rId25"/>
                          <a:stretch>
                            <a:fillRect/>
                          </a:stretch>
                        </pic:blipFill>
                        <pic:spPr>
                          <a:xfrm>
                            <a:off x="0" y="0"/>
                            <a:ext cx="2377440" cy="1309652"/>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A.2 – Philippines ARIMA(2,1,0): 3.56% MAPE. Wider bands reflect EPIRA policy variability.</w:t>
            </w:r>
          </w:p>
        </w:tc>
      </w:tr>
    </w:tbl>
    <w:p>
      <w:r>
        <w:br w:type="page"/>
      </w:r>
    </w:p>
    <w:p>
      <w:pPr>
        <w:spacing w:before="60" w:after="20"/>
        <w:jc w:val="left"/>
      </w:pPr>
      <w:r>
        <w:rPr>
          <w:rFonts w:ascii="Times New Roman" w:hAnsi="Times New Roman" w:cs="Times New Roman"/>
          <w:rFonts w:ascii="Times New Roman" w:hAnsi="Times New Roman"/>
          <w:b/>
          <w:i w:val="0"/>
          <w:color w:val="1F497D"/>
          <w:sz w:val="24"/>
        </w:rPr>
        <w:t>A.2  Physical Hazard — GEV Model Parameters &amp; Return Level Table</w:t>
      </w:r>
    </w:p>
    <w:p>
      <w:pPr>
        <w:spacing w:before="0" w:after="40"/>
        <w:jc w:val="both"/>
      </w:pPr>
      <w:r>
        <w:rPr>
          <w:rFonts w:ascii="Times New Roman" w:hAnsi="Times New Roman" w:cs="Times New Roman"/>
          <w:rFonts w:ascii="Times New Roman" w:hAnsi="Times New Roman"/>
          <w:b w:val="0"/>
          <w:i w:val="0"/>
          <w:sz w:val="24"/>
        </w:rPr>
        <w:t>Generalized Extreme Value (GEV) distributions were fitted via Maximum Likelihood Estimation to CHIRPS v2.0 RX5day annual maxima (WMO ETCCDI index: maximum 5-consecutive-day precipitation in each calendar year). Sample: 1990–2023, n=34 years, both countries. The GEV shape parameter ξ &lt; 0 in both cases (Weibull family), implying a bounded upper tail — consistent with physical limits on 5-day basin precipitation. A non-stationary GEV with a linear trend on the location parameter was also fitted for Malaysia (ΔAIC = +1.88 vs. stationary; μ₁ = +0.48 mm/yr trend confirmed), and is preferred. The PELT (Pruned Exact Linear Time) change-point algorithm with BIC penalty was applied to the RX5day time series; it identifies 2007 as a structural break in both markets, consistent with the documented Pacific Decadal Oscillation (PDO) phase transition in Loo et al. (2015) and Cinco et al. (2014). Bootstrap confidence intervals used n=500 resamples with seed=42.</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600" w:type="dxa"/>
          </w:tcPr>
          <w:p>
            <w:pPr>
              <w:spacing w:after="20" w:before="20"/>
              <w:jc w:val="center"/>
            </w:pPr>
            <w:r>
              <w:rPr>
                <w:rFonts w:ascii="Times New Roman" w:hAnsi="Times New Roman" w:cs="Times New Roman"/>
                <w:rFonts w:ascii="Times New Roman" w:hAnsi="Times New Roman"/>
                <w:b/>
                <w:i w:val="0"/>
                <w:color w:val="FFFFFF"/>
                <w:sz w:val="24"/>
              </w:rPr>
              <w:t>Parameter</w:t>
            </w:r>
          </w:p>
        </w:tc>
        <w:tc>
          <w:tcPr>
            <w:tcW w:type="dxa" w:w="3362"/>
            <w:shd w:val="clear" w:color="auto" w:fill="1F497D"/>
            <w:tcW w:w="2880" w:type="dxa"/>
          </w:tcPr>
          <w:p>
            <w:pPr>
              <w:spacing w:after="20" w:before="20"/>
              <w:jc w:val="center"/>
            </w:pPr>
            <w:r>
              <w:rPr>
                <w:rFonts w:ascii="Times New Roman" w:hAnsi="Times New Roman" w:cs="Times New Roman"/>
                <w:rFonts w:ascii="Times New Roman" w:hAnsi="Times New Roman"/>
                <w:b/>
                <w:i w:val="0"/>
                <w:color w:val="FFFFFF"/>
                <w:sz w:val="24"/>
              </w:rPr>
              <w:t>Malaysia (MYS)</w:t>
            </w:r>
          </w:p>
        </w:tc>
        <w:tc>
          <w:tcPr>
            <w:tcW w:type="dxa" w:w="3362"/>
            <w:shd w:val="clear" w:color="auto" w:fill="1F497D"/>
            <w:tcW w:w="2592" w:type="dxa"/>
          </w:tcPr>
          <w:p>
            <w:pPr>
              <w:spacing w:after="20" w:before="20"/>
              <w:jc w:val="center"/>
            </w:pPr>
            <w:r>
              <w:rPr>
                <w:rFonts w:ascii="Times New Roman" w:hAnsi="Times New Roman" w:cs="Times New Roman"/>
                <w:rFonts w:ascii="Times New Roman" w:hAnsi="Times New Roman"/>
                <w:b/>
                <w:i w:val="0"/>
                <w:color w:val="FFFFFF"/>
                <w:sz w:val="24"/>
              </w:rPr>
              <w:t>Philippines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GEV family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Weibull (bounded, ξ&lt;0)</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Weibull (bounded, ξ&lt;0)</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Shape ξ</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-0.0321</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-0.1218</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Location μ</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122.23 mm</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209.62 mm</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Scale σ</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19.00 mm</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50.44 mm</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Non-stationary μ₁ trend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+0.48 mm/yr (ΔAIC=+1.88, preferred)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Not tested (storm-dominated; typhoon timing varies)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PELT break 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2007</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2007</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Pre-break mean RX5day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129.7 mm</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237.5 mm</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Post-break mean RX5day</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138.6 mm</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252.0 mm</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Hazard uplift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+6.9%</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+6.1%</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Bootstrap CI method</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n=500, seed=42, 34-yr sample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n=500, seed=42, 34-yr sample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Peril type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Flood-dominated (81 EM-DAT events)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Storm/Typhoon-dominated (414 events)</w:t>
            </w:r>
          </w:p>
        </w:tc>
      </w:tr>
    </w:tbl>
    <w:p>
      <w:pPr>
        <w:spacing w:before="20" w:after="80"/>
        <w:jc w:val="center"/>
      </w:pPr>
      <w:r>
        <w:rPr>
          <w:rFonts w:ascii="Times New Roman" w:hAnsi="Times New Roman" w:cs="Times New Roman"/>
          <w:rFonts w:ascii="Times New Roman" w:hAnsi="Times New Roman"/>
          <w:b w:val="0"/>
          <w:i/>
          <w:sz w:val="18"/>
        </w:rPr>
        <w:t>Table A.2 – GEV fitted parameters. Source: CHIRPS v2.0 (UCSB), WMO ETCCDI RX5day, 1990–2023.</w:t>
      </w:r>
    </w:p>
    <w:p>
      <w:pPr>
        <w:spacing w:before="0" w:after="40"/>
        <w:jc w:val="both"/>
      </w:pPr>
    </w:p>
    <w:p>
      <w:pPr>
        <w:spacing w:before="60" w:after="20"/>
        <w:jc w:val="left"/>
      </w:pPr>
      <w:r>
        <w:rPr>
          <w:rFonts w:ascii="Times New Roman" w:hAnsi="Times New Roman" w:cs="Times New Roman"/>
          <w:rFonts w:ascii="Times New Roman" w:hAnsi="Times New Roman"/>
          <w:b/>
          <w:i w:val="0"/>
          <w:color w:val="1F497D"/>
          <w:sz w:val="24"/>
        </w:rPr>
        <w:t>A.2a  Full Return Level Table (2-year to 200-year)</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Return period</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4"/>
              </w:rPr>
              <w:t>MYS RX5day (mm)</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4"/>
              </w:rPr>
              <w:t>PHL RX5day (mm)</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2-year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129.2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228.5</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151.4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292.6</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10-year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166.6</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340.2</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25-year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186.2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406.9</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50-year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201.2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461.6</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100-year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216.4  [171–344]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520.7  [326–985]</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150-year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225.4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557.6</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200-year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231.9</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584.9</w:t>
            </w:r>
          </w:p>
        </w:tc>
      </w:tr>
    </w:tbl>
    <w:p>
      <w:pPr>
        <w:spacing w:before="20" w:after="80"/>
        <w:jc w:val="center"/>
      </w:pPr>
      <w:r>
        <w:rPr>
          <w:rFonts w:ascii="Times New Roman" w:hAnsi="Times New Roman" w:cs="Times New Roman"/>
          <w:rFonts w:ascii="Times New Roman" w:hAnsi="Times New Roman"/>
          <w:b w:val="0"/>
          <w:i/>
          <w:sz w:val="18"/>
        </w:rPr>
        <w:t>Table A.3 – GEV return levels. 100-year values shown with 95% bootstrap CI. Source: CHIRPS v2.0 (1990–2023).</w:t>
      </w:r>
    </w:p>
    <w:p>
      <w:pPr>
        <w:spacing w:before="0" w:after="40"/>
        <w:jc w:val="both"/>
      </w:pPr>
    </w:p>
    <w:p>
      <w:pPr>
        <w:spacing w:before="60" w:after="20"/>
        <w:jc w:val="left"/>
      </w:pPr>
      <w:r>
        <w:rPr>
          <w:rFonts w:ascii="Times New Roman" w:hAnsi="Times New Roman" w:cs="Times New Roman"/>
          <w:rFonts w:ascii="Times New Roman" w:hAnsi="Times New Roman"/>
          <w:b/>
          <w:i w:val="0"/>
          <w:color w:val="1F497D"/>
          <w:sz w:val="24"/>
        </w:rPr>
        <w:t>A.2b  EAL Calibration &amp; Pricing Gap Derivation</w:t>
      </w:r>
    </w:p>
    <w:p>
      <w:pPr>
        <w:spacing w:before="0" w:after="40"/>
        <w:jc w:val="both"/>
      </w:pPr>
      <w:r>
        <w:rPr>
          <w:rFonts w:ascii="Times New Roman" w:hAnsi="Times New Roman" w:cs="Times New Roman"/>
          <w:rFonts w:ascii="Times New Roman" w:hAnsi="Times New Roman"/>
          <w:b w:val="0"/>
          <w:i w:val="0"/>
          <w:sz w:val="24"/>
        </w:rPr>
        <w:t>Forward Expected Annual Loss (EAL) is derived by rescaling EM-DAT historical mean annual damages by the ratio of the post-break GEV mean to the full-sample burning-cost mean. This is a linear proportionality assumption (damage ∝ GEV exceedance probability above historical mean) and deliberately understates the true repricing need — flood damage exhibits convexity in precipitation depth. The +5.87%/+1.28% pricing gaps are therefore conservative lower bounds.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744" w:type="dxa"/>
          </w:tcPr>
          <w:p>
            <w:pPr>
              <w:spacing w:after="20" w:before="20"/>
              <w:jc w:val="center"/>
            </w:pPr>
            <w:r>
              <w:rPr>
                <w:rFonts w:ascii="Times New Roman" w:hAnsi="Times New Roman" w:cs="Times New Roman"/>
                <w:rFonts w:ascii="Times New Roman" w:hAnsi="Times New Roman"/>
                <w:b/>
                <w:i w:val="0"/>
                <w:color w:val="FFFFFF"/>
                <w:sz w:val="24"/>
              </w:rPr>
              <w:t>Component</w:t>
            </w:r>
          </w:p>
        </w:tc>
        <w:tc>
          <w:tcPr>
            <w:tcW w:type="dxa" w:w="3362"/>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4"/>
              </w:rPr>
              <w:t>Malaysia (MYS)</w:t>
            </w:r>
          </w:p>
        </w:tc>
        <w:tc>
          <w:tcPr>
            <w:tcW w:type="dxa" w:w="3362"/>
            <w:shd w:val="clear" w:color="auto" w:fill="1F497D"/>
            <w:tcW w:w="2592" w:type="dxa"/>
          </w:tcPr>
          <w:p>
            <w:pPr>
              <w:spacing w:after="20" w:before="20"/>
              <w:jc w:val="center"/>
            </w:pPr>
            <w:r>
              <w:rPr>
                <w:rFonts w:ascii="Times New Roman" w:hAnsi="Times New Roman" w:cs="Times New Roman"/>
                <w:rFonts w:ascii="Times New Roman" w:hAnsi="Times New Roman"/>
                <w:b/>
                <w:i w:val="0"/>
                <w:color w:val="FFFFFF"/>
                <w:sz w:val="24"/>
              </w:rPr>
              <w:t>Philippines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EM-DAT burning cost (historical EAL)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110.8M/yr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926.5M/yr</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Sample mean RX5day</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133.89 mm</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244.37 mm</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GEV mean (forward)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132.61 mm</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233.26 mm</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GEV loading factor (GEV mean / sample mean)</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0.9904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0.9545</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Forward EAL (stationary GEV)</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109.7M/yr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884.4M/yr</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Forward EAL (post-break, PELT-adjusted)</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117.3M/yr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938.4M/yr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Pricing gap (USD)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6.5M/yr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11.9M/yr</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Pricing gap (%)</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+5.87%</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+1.28%</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Combined SEA EAL gap</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18.4M/yr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(MYS + PHL combined)</w:t>
            </w:r>
          </w:p>
        </w:tc>
      </w:tr>
    </w:tbl>
    <w:p>
      <w:pPr>
        <w:spacing w:before="20" w:after="80"/>
        <w:jc w:val="center"/>
      </w:pPr>
      <w:r>
        <w:rPr>
          <w:rFonts w:ascii="Times New Roman" w:hAnsi="Times New Roman" w:cs="Times New Roman"/>
          <w:rFonts w:ascii="Times New Roman" w:hAnsi="Times New Roman"/>
          <w:b w:val="0"/>
          <w:i/>
          <w:sz w:val="18"/>
        </w:rPr>
        <w:t>Table A.4 – EAL calibration chain. Source: EM-DAT (CRED/UCLouvain) total_damage_adjusted_usd; CHIRPS v2.0.</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731744"/>
                  <wp:docPr id="18" name="Picture 18"/>
                  <wp:cNvGraphicFramePr>
                    <a:graphicFrameLocks noChangeAspect="1"/>
                  </wp:cNvGraphicFramePr>
                  <a:graphic>
                    <a:graphicData uri="http://schemas.openxmlformats.org/drawingml/2006/picture">
                      <pic:pic>
                        <pic:nvPicPr>
                          <pic:cNvPr id="0" name="r3_gev_and_regime_break.png"/>
                          <pic:cNvPicPr/>
                        </pic:nvPicPr>
                        <pic:blipFill>
                          <a:blip r:embed="rId13"/>
                          <a:stretch>
                            <a:fillRect/>
                          </a:stretch>
                        </pic:blipFill>
                        <pic:spPr>
                          <a:xfrm>
                            <a:off x="0" y="0"/>
                            <a:ext cx="2377440" cy="1731744"/>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A.3 – PELT regime break: MYS +6.9% / PHL +6.1% post-2007 mean rainfall shift.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233596"/>
                  <wp:docPr id="19" name="Picture 19"/>
                  <wp:cNvGraphicFramePr>
                    <a:graphicFrameLocks noChangeAspect="1"/>
                  </wp:cNvGraphicFramePr>
                  <a:graphic>
                    <a:graphicData uri="http://schemas.openxmlformats.org/drawingml/2006/picture">
                      <pic:pic>
                        <pic:nvPicPr>
                          <pic:cNvPr id="0" name="r3_eal_decomposition_waterfall.png"/>
                          <pic:cNvPicPr/>
                        </pic:nvPicPr>
                        <pic:blipFill>
                          <a:blip r:embed="rId26"/>
                          <a:stretch>
                            <a:fillRect/>
                          </a:stretch>
                        </pic:blipFill>
                        <pic:spPr>
                          <a:xfrm>
                            <a:off x="0" y="0"/>
                            <a:ext cx="2377440" cy="123359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A.4 – EAL decomposition waterfall: GEV loading, PELT uplift, and forward EAL gap.</w:t>
            </w:r>
          </w:p>
        </w:tc>
      </w:tr>
    </w:tbl>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593258"/>
                  <wp:docPr id="20" name="Picture 20"/>
                  <wp:cNvGraphicFramePr>
                    <a:graphicFrameLocks noChangeAspect="1"/>
                  </wp:cNvGraphicFramePr>
                  <a:graphic>
                    <a:graphicData uri="http://schemas.openxmlformats.org/drawingml/2006/picture">
                      <pic:pic>
                        <pic:nvPicPr>
                          <pic:cNvPr id="0" name="r3_qq_distributional_comparison.png"/>
                          <pic:cNvPicPr/>
                        </pic:nvPicPr>
                        <pic:blipFill>
                          <a:blip r:embed="rId14"/>
                          <a:stretch>
                            <a:fillRect/>
                          </a:stretch>
                        </pic:blipFill>
                        <pic:spPr>
                          <a:xfrm>
                            <a:off x="0" y="0"/>
                            <a:ext cx="2377440" cy="159325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A.5 – GEV Q-Q plots confirming Weibull bounded-tail family for both markets.</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1166065"/>
                  <wp:docPr id="21" name="Picture 21"/>
                  <wp:cNvGraphicFramePr>
                    <a:graphicFrameLocks noChangeAspect="1"/>
                  </wp:cNvGraphicFramePr>
                  <a:graphic>
                    <a:graphicData uri="http://schemas.openxmlformats.org/drawingml/2006/picture">
                      <pic:pic>
                        <pic:nvPicPr>
                          <pic:cNvPr id="0" name="r3_sensitivity_tornado.png"/>
                          <pic:cNvPicPr/>
                        </pic:nvPicPr>
                        <pic:blipFill>
                          <a:blip r:embed="rId27"/>
                          <a:stretch>
                            <a:fillRect/>
                          </a:stretch>
                        </pic:blipFill>
                        <pic:spPr>
                          <a:xfrm>
                            <a:off x="0" y="0"/>
                            <a:ext cx="2377440" cy="1166065"/>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A.6 – Sensitivity tornado: insurance penetration is the largest uncertainty driver in physical EAL.</w:t>
            </w:r>
          </w:p>
        </w:tc>
      </w:tr>
    </w:tbl>
    <w:p>
      <w:r>
        <w:br w:type="page"/>
      </w:r>
    </w:p>
    <w:p>
      <w:pPr>
        <w:spacing w:before="60" w:after="20"/>
        <w:jc w:val="left"/>
      </w:pPr>
      <w:r>
        <w:rPr>
          <w:rFonts w:ascii="Times New Roman" w:hAnsi="Times New Roman" w:cs="Times New Roman"/>
          <w:rFonts w:ascii="Times New Roman" w:hAnsi="Times New Roman"/>
          <w:b/>
          <w:i w:val="0"/>
          <w:color w:val="1F497D"/>
          <w:sz w:val="24"/>
        </w:rPr>
        <w:t>A.3  ENSO Dependence &amp; Copula Analysis — Full Results</w:t>
      </w:r>
    </w:p>
    <w:p>
      <w:pPr>
        <w:spacing w:before="0" w:after="40"/>
        <w:jc w:val="both"/>
      </w:pPr>
      <w:r>
        <w:rPr>
          <w:rFonts w:ascii="Times New Roman" w:hAnsi="Times New Roman" w:cs="Times New Roman"/>
          <w:rFonts w:ascii="Times New Roman" w:hAnsi="Times New Roman"/>
          <w:b w:val="0"/>
          <w:i w:val="0"/>
          <w:sz w:val="24"/>
        </w:rPr>
        <w:t>ENSO correlation was tested using both Pearson and Spearman rank coefficients against EM-DAT annual insured losses (total_damage_adjusted_usd) for MYS and PHL separately, and for the pooled MYS+PHL portfolio. The near-zero correlations at the portfolio level reflect cancellation: La Niña increases MYS flood losses while simultaneously reducing PHL typhoon activity (via suppressed SST), and vice versa for El Niño. This opposing direction is not a pricing opportunity — it is a structural feature of the SEA portfolio that makes ENSO uninformative as a standalone pricing input.</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3168" w:type="dxa"/>
          </w:tcPr>
          <w:p>
            <w:pPr>
              <w:spacing w:after="20" w:before="20"/>
              <w:jc w:val="center"/>
            </w:pPr>
            <w:r>
              <w:rPr>
                <w:rFonts w:ascii="Times New Roman" w:hAnsi="Times New Roman" w:cs="Times New Roman"/>
                <w:rFonts w:ascii="Times New Roman" w:hAnsi="Times New Roman"/>
                <w:b/>
                <w:i w:val="0"/>
                <w:color w:val="FFFFFF"/>
                <w:sz w:val="24"/>
              </w:rPr>
              <w:t>Test</w:t>
            </w:r>
          </w:p>
        </w:tc>
        <w:tc>
          <w:tcPr>
            <w:tcW w:type="dxa" w:w="2521"/>
            <w:shd w:val="clear" w:color="auto" w:fill="1F497D"/>
            <w:tcW w:w="2376" w:type="dxa"/>
          </w:tcPr>
          <w:p>
            <w:pPr>
              <w:spacing w:after="20" w:before="20"/>
              <w:jc w:val="center"/>
            </w:pPr>
            <w:r>
              <w:rPr>
                <w:rFonts w:ascii="Times New Roman" w:hAnsi="Times New Roman" w:cs="Times New Roman"/>
                <w:rFonts w:ascii="Times New Roman" w:hAnsi="Times New Roman"/>
                <w:b/>
                <w:i w:val="0"/>
                <w:color w:val="FFFFFF"/>
                <w:sz w:val="24"/>
              </w:rPr>
              <w:t>MYS (Flood)</w:t>
            </w:r>
          </w:p>
        </w:tc>
        <w:tc>
          <w:tcPr>
            <w:tcW w:type="dxa" w:w="2521"/>
            <w:shd w:val="clear" w:color="auto" w:fill="1F497D"/>
            <w:tcW w:w="2376" w:type="dxa"/>
          </w:tcPr>
          <w:p>
            <w:pPr>
              <w:spacing w:after="20" w:before="20"/>
              <w:jc w:val="center"/>
            </w:pPr>
            <w:r>
              <w:rPr>
                <w:rFonts w:ascii="Times New Roman" w:hAnsi="Times New Roman" w:cs="Times New Roman"/>
                <w:rFonts w:ascii="Times New Roman" w:hAnsi="Times New Roman"/>
                <w:b/>
                <w:i w:val="0"/>
                <w:color w:val="FFFFFF"/>
                <w:sz w:val="24"/>
              </w:rPr>
              <w:t>PHL (Storm/Typhoon)</w:t>
            </w:r>
          </w:p>
        </w:tc>
        <w:tc>
          <w:tcPr>
            <w:tcW w:type="dxa" w:w="2521"/>
            <w:shd w:val="clear" w:color="auto" w:fill="1F497D"/>
            <w:tcW w:w="2376" w:type="dxa"/>
          </w:tcPr>
          <w:p>
            <w:pPr>
              <w:spacing w:after="20" w:before="20"/>
              <w:jc w:val="center"/>
            </w:pPr>
            <w:r>
              <w:rPr>
                <w:rFonts w:ascii="Times New Roman" w:hAnsi="Times New Roman" w:cs="Times New Roman"/>
                <w:rFonts w:ascii="Times New Roman" w:hAnsi="Times New Roman"/>
                <w:b/>
                <w:i w:val="0"/>
                <w:color w:val="FFFFFF"/>
                <w:sz w:val="24"/>
              </w:rPr>
              <w:t>Notes</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Pearson r (annual, all years)</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r = -0.016,  p = 0.93</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r = -0.026,  p = 0.83</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DJF ONI lag vs. annual loss</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Spearman ρ (annual, all years)</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ρ = -0.071,  p = 0.69</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ρ = -0.006,  p = 0.96</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Non-parametric, n=34</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Verdict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Not significant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Not significant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Cannot use as pricing variable</w:t>
            </w:r>
          </w:p>
        </w:tc>
      </w:tr>
    </w:tbl>
    <w:p>
      <w:pPr>
        <w:spacing w:before="20" w:after="80"/>
        <w:jc w:val="center"/>
      </w:pPr>
      <w:r>
        <w:rPr>
          <w:rFonts w:ascii="Times New Roman" w:hAnsi="Times New Roman" w:cs="Times New Roman"/>
          <w:rFonts w:ascii="Times New Roman" w:hAnsi="Times New Roman"/>
          <w:b w:val="0"/>
          <w:i/>
          <w:sz w:val="18"/>
        </w:rPr>
        <w:t>Table A.5 – ENSO correlation tests. Source: NOAA ONI DJF anomaly; EM-DAT annual losses 1990–2023.</w:t>
      </w:r>
    </w:p>
    <w:p>
      <w:pPr>
        <w:spacing w:before="0" w:after="40"/>
        <w:jc w:val="both"/>
      </w:pPr>
    </w:p>
    <w:p>
      <w:pPr>
        <w:spacing w:before="0" w:after="40"/>
        <w:jc w:val="both"/>
      </w:pPr>
      <w:r>
        <w:rPr>
          <w:rFonts w:ascii="Times New Roman" w:hAnsi="Times New Roman" w:cs="Times New Roman"/>
          <w:rFonts w:ascii="Times New Roman" w:hAnsi="Times New Roman"/>
          <w:b w:val="0"/>
          <w:i w:val="0"/>
          <w:sz w:val="24"/>
        </w:rPr>
        <w:t>Copula analysis was performed on the joint distribution of MYS and PHL RX5day annual maxima (not losses) after Probability Integral Transform (PIT) — transformation to uniform marginals using GEV-fitted CDFs. Four parametric copula families were fitted by Maximum Likelihood and compared using AIC (Burnham-Anderson criterion: ΔAIC &lt; 2 = no meaningful difference). The Independence copula (zero dependence, no free parameters) achieves the minimum AIC. All parametric families converge to near-zero dependence parameters, confirming independence. However, conditioning on La Niña years (NOAA DJF ONI ≤ -0.5°C, n=14) reveals positive Kendall τ = +0.2088, implying joint tail events are more likely to occur simultaneously under La Niña — the basis for R3.</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600" w:type="dxa"/>
          </w:tcPr>
          <w:p>
            <w:pPr>
              <w:spacing w:after="20" w:before="20"/>
              <w:jc w:val="center"/>
            </w:pPr>
            <w:r>
              <w:rPr>
                <w:rFonts w:ascii="Times New Roman" w:hAnsi="Times New Roman" w:cs="Times New Roman"/>
                <w:rFonts w:ascii="Times New Roman" w:hAnsi="Times New Roman"/>
                <w:b/>
                <w:i w:val="0"/>
                <w:color w:val="FFFFFF"/>
                <w:sz w:val="24"/>
              </w:rPr>
              <w:t>Metric</w:t>
            </w:r>
          </w:p>
        </w:tc>
        <w:tc>
          <w:tcPr>
            <w:tcW w:type="dxa" w:w="3362"/>
            <w:shd w:val="clear" w:color="auto" w:fill="1F497D"/>
            <w:tcW w:w="2232" w:type="dxa"/>
          </w:tcPr>
          <w:p>
            <w:pPr>
              <w:spacing w:after="20" w:before="20"/>
              <w:jc w:val="center"/>
            </w:pPr>
            <w:r>
              <w:rPr>
                <w:rFonts w:ascii="Times New Roman" w:hAnsi="Times New Roman" w:cs="Times New Roman"/>
                <w:rFonts w:ascii="Times New Roman" w:hAnsi="Times New Roman"/>
                <w:b/>
                <w:i w:val="0"/>
                <w:color w:val="FFFFFF"/>
                <w:sz w:val="24"/>
              </w:rPr>
              <w:t>Value</w:t>
            </w:r>
          </w:p>
        </w:tc>
        <w:tc>
          <w:tcPr>
            <w:tcW w:type="dxa" w:w="3362"/>
            <w:shd w:val="clear" w:color="auto" w:fill="1F497D"/>
            <w:tcW w:w="3240" w:type="dxa"/>
          </w:tcPr>
          <w:p>
            <w:pPr>
              <w:spacing w:after="20" w:before="20"/>
              <w:jc w:val="center"/>
            </w:pPr>
            <w:r>
              <w:rPr>
                <w:rFonts w:ascii="Times New Roman" w:hAnsi="Times New Roman" w:cs="Times New Roman"/>
                <w:rFonts w:ascii="Times New Roman" w:hAnsi="Times New Roman"/>
                <w:b/>
                <w:i w:val="0"/>
                <w:color w:val="FFFFFF"/>
                <w:sz w:val="24"/>
              </w:rPr>
              <w:t>Interpretation</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Kendall τ — all years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-0.0232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 = 0.8472 — cannot reject independence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Spearman ρ — all years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-0.0509</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Confirms negligible dependence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Best copula family (AIC)</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Independence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ΔAIC = 0.0 — Burnham-Anderson: independent adequate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AIC — Independence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-0.000</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No free parameters; lowest AIC</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Clayton θ (MLE)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0.0081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Lower tail dep. λ_L ≈ 0 — no lower tail clustering</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Gumbel θ (MLE)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1.0001</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Upper tail dep. λ_U ≈ 0 — no upper tail clustering</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Kendall τ — La Niña (n=14)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+0.2088</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Positive dependence — joint extremes more likely under La Niña</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Gaussian ρ — La Niña</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0.3221</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Used in R3 portfolio tail simulation</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100-yr portfolio loss — Independence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2,100.8M</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N_sim = 200,000</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100-yr portfolio loss — La Niña Gaussian</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2,126.8M</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ρ = 0.3221; higher joint tail losses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100-yr gap (La Niña minus Independence)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+USD 25.9M</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Portfolio-level uplift from conditional dependence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HRe 100-yr gap (10% SEA alloc.)</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+USD 2.59M</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Additive to central reserve estimate in stress budget</w:t>
            </w:r>
          </w:p>
        </w:tc>
      </w:tr>
    </w:tbl>
    <w:p>
      <w:pPr>
        <w:spacing w:before="20" w:after="80"/>
        <w:jc w:val="center"/>
      </w:pPr>
      <w:r>
        <w:rPr>
          <w:rFonts w:ascii="Times New Roman" w:hAnsi="Times New Roman" w:cs="Times New Roman"/>
          <w:rFonts w:ascii="Times New Roman" w:hAnsi="Times New Roman"/>
          <w:b w:val="0"/>
          <w:i/>
          <w:sz w:val="18"/>
        </w:rPr>
        <w:t>Table A.6 – Complete copula results. Source: CHIRPS RX5day joint analysis; NOAA ONI phase classification.</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2055367"/>
                  <wp:docPr id="22" name="Picture 22"/>
                  <wp:cNvGraphicFramePr>
                    <a:graphicFrameLocks noChangeAspect="1"/>
                  </wp:cNvGraphicFramePr>
                  <a:graphic>
                    <a:graphicData uri="http://schemas.openxmlformats.org/drawingml/2006/picture">
                      <pic:pic>
                        <pic:nvPicPr>
                          <pic:cNvPr id="0" name="r8_copula_pit_scatter.png"/>
                          <pic:cNvPicPr/>
                        </pic:nvPicPr>
                        <pic:blipFill>
                          <a:blip r:embed="rId28"/>
                          <a:stretch>
                            <a:fillRect/>
                          </a:stretch>
                        </pic:blipFill>
                        <pic:spPr>
                          <a:xfrm>
                            <a:off x="0" y="0"/>
                            <a:ext cx="2377440" cy="2055367"/>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A.7 – PIT scatter by ENSO phase. La Niña panel (top-right) shows positive clustering.</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377440" cy="768878"/>
                  <wp:docPr id="23" name="Picture 23"/>
                  <wp:cNvGraphicFramePr>
                    <a:graphicFrameLocks noChangeAspect="1"/>
                  </wp:cNvGraphicFramePr>
                  <a:graphic>
                    <a:graphicData uri="http://schemas.openxmlformats.org/drawingml/2006/picture">
                      <pic:pic>
                        <pic:nvPicPr>
                          <pic:cNvPr id="0" name="r8_copula_analysis.png"/>
                          <pic:cNvPicPr/>
                        </pic:nvPicPr>
                        <pic:blipFill>
                          <a:blip r:embed="rId16"/>
                          <a:stretch>
                            <a:fillRect/>
                          </a:stretch>
                        </pic:blipFill>
                        <pic:spPr>
                          <a:xfrm>
                            <a:off x="0" y="0"/>
                            <a:ext cx="2377440" cy="76887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A.8 – AIC comparison across copula families (left); ENSO-conditional τ (centre); portfolio loss curve (right).</w:t>
            </w:r>
          </w:p>
        </w:tc>
      </w:tr>
    </w:tbl>
    <w:p>
      <w:r>
        <w:br w:type="page"/>
      </w:r>
    </w:p>
    <w:p>
      <w:pPr>
        <w:spacing w:before="60" w:after="20"/>
        <w:jc w:val="left"/>
      </w:pPr>
      <w:r>
        <w:rPr>
          <w:rFonts w:ascii="Times New Roman" w:hAnsi="Times New Roman" w:cs="Times New Roman"/>
          <w:rFonts w:ascii="Times New Roman" w:hAnsi="Times New Roman"/>
          <w:b/>
          <w:i w:val="0"/>
          <w:color w:val="1F497D"/>
          <w:sz w:val="24"/>
        </w:rPr>
        <w:t>A.4  Physical EAL Sensitivity — Insurance Penetration &amp; Treaty Parameters</w:t>
      </w:r>
    </w:p>
    <w:p>
      <w:pPr>
        <w:spacing w:before="0" w:after="40"/>
        <w:jc w:val="both"/>
      </w:pPr>
      <w:r>
        <w:rPr>
          <w:rFonts w:ascii="Times New Roman" w:hAnsi="Times New Roman" w:cs="Times New Roman"/>
          <w:rFonts w:ascii="Times New Roman" w:hAnsi="Times New Roman"/>
          <w:b w:val="0"/>
          <w:i w:val="0"/>
          <w:sz w:val="24"/>
        </w:rPr>
        <w:t>The physical EAL reserve estimate depends on three market-structure assumptions: insurance penetration rate (the fraction of total economic losses that are insured), treaty attachment factor (the fraction of insured losses that reach the treaty book), and HRe market share. The table below shows how the HRe physical exposure varies across combinations. The baseline (MYS 15%/PHL 8% penetration, 50% attachment, 8% HRe share) is highlighted. All figures in USD M/yr.</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4"/>
              </w:rPr>
              <w:t>Insurance penetration</w:t>
            </w:r>
          </w:p>
        </w:tc>
        <w:tc>
          <w:tcPr>
            <w:tcW w:type="dxa" w:w="2017"/>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4"/>
              </w:rPr>
              <w:t>Treaty attachment</w:t>
            </w:r>
          </w:p>
        </w:tc>
        <w:tc>
          <w:tcPr>
            <w:tcW w:type="dxa" w:w="2017"/>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4"/>
              </w:rPr>
              <w:t>HRe market share</w:t>
            </w:r>
          </w:p>
        </w:tc>
        <w:tc>
          <w:tcPr>
            <w:tcW w:type="dxa" w:w="2017"/>
            <w:shd w:val="clear" w:color="auto" w:fill="1F497D"/>
            <w:tcW w:w="2088" w:type="dxa"/>
          </w:tcPr>
          <w:p>
            <w:pPr>
              <w:spacing w:after="20" w:before="20"/>
              <w:jc w:val="center"/>
            </w:pPr>
            <w:r>
              <w:rPr>
                <w:rFonts w:ascii="Times New Roman" w:hAnsi="Times New Roman" w:cs="Times New Roman"/>
                <w:rFonts w:ascii="Times New Roman" w:hAnsi="Times New Roman"/>
                <w:b/>
                <w:i w:val="0"/>
                <w:color w:val="FFFFFF"/>
                <w:sz w:val="24"/>
              </w:rPr>
              <w:t>HRe physical exposure</w:t>
            </w:r>
          </w:p>
        </w:tc>
        <w:tc>
          <w:tcPr>
            <w:tcW w:type="dxa" w:w="2017"/>
            <w:shd w:val="clear" w:color="auto" w:fill="1F497D"/>
            <w:tcW w:w="1368" w:type="dxa"/>
          </w:tcPr>
          <w:p>
            <w:pPr>
              <w:spacing w:after="20" w:before="20"/>
              <w:jc w:val="center"/>
            </w:pPr>
            <w:r>
              <w:rPr>
                <w:rFonts w:ascii="Times New Roman" w:hAnsi="Times New Roman" w:cs="Times New Roman"/>
                <w:rFonts w:ascii="Times New Roman" w:hAnsi="Times New Roman"/>
                <w:b/>
                <w:i w:val="0"/>
                <w:color w:val="FFFFFF"/>
                <w:sz w:val="24"/>
              </w:rPr>
              <w:t>vs. baseline</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MYS 15% / PHL 8%  ← baseline</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1.39M/yr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0.0%</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MYS 5%  / PHL 3%</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0.51M/yr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-63.3%</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MYS 5%  / PHL 15%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2.20M/yr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+58.3%</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MYS 25% / PHL 15%</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2.55M/yr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+83.6%</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MYS 15% / PHL 8%</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30%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0.83M/yr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-40.0%</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MYS 15% / PHL 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70%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1.94M/yr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+40.0%</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MYS 15% / PHL 8%</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1%</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USD 0.46M/yr</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4"/>
              </w:rPr>
              <w:t>-66.7%</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MYS 15% / PHL 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50%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5%</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USD 2.31M/yr</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4"/>
              </w:rPr>
              <w:t>+66.7%</w:t>
            </w:r>
          </w:p>
        </w:tc>
      </w:tr>
    </w:tbl>
    <w:p>
      <w:pPr>
        <w:spacing w:before="20" w:after="80"/>
        <w:jc w:val="center"/>
      </w:pPr>
      <w:r>
        <w:rPr>
          <w:rFonts w:ascii="Times New Roman" w:hAnsi="Times New Roman" w:cs="Times New Roman"/>
          <w:rFonts w:ascii="Times New Roman" w:hAnsi="Times New Roman"/>
          <w:b w:val="0"/>
          <w:i/>
          <w:sz w:val="18"/>
        </w:rPr>
        <w:t>Table A.7 – Physical EAL sensitivity to market-structure assumptions. Source: r3_sensitivity_scaling.csv.</w:t>
      </w:r>
    </w:p>
    <w:p>
      <w:pPr>
        <w:jc w:val="center"/>
      </w:pPr>
      <w:r>
        <w:drawing>
          <wp:inline xmlns:a="http://schemas.openxmlformats.org/drawingml/2006/main" xmlns:pic="http://schemas.openxmlformats.org/drawingml/2006/picture">
            <wp:extent cx="4114800" cy="1530326"/>
            <wp:docPr id="24" name="Picture 24"/>
            <wp:cNvGraphicFramePr>
              <a:graphicFrameLocks noChangeAspect="1"/>
            </wp:cNvGraphicFramePr>
            <a:graphic>
              <a:graphicData uri="http://schemas.openxmlformats.org/drawingml/2006/picture">
                <pic:pic>
                  <pic:nvPicPr>
                    <pic:cNvPr id="0" name="r1_emdat_hazard_profile.png"/>
                    <pic:cNvPicPr/>
                  </pic:nvPicPr>
                  <pic:blipFill>
                    <a:blip r:embed="rId29"/>
                    <a:stretch>
                      <a:fillRect/>
                    </a:stretch>
                  </pic:blipFill>
                  <pic:spPr>
                    <a:xfrm>
                      <a:off x="0" y="0"/>
                      <a:ext cx="4114800" cy="1530326"/>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A.9 – EM-DAT hazard event profile: MYS 81 flood events vs. PHL 414 storm/typhoon events (1990–2023). Different peril composition drives asymmetric GEV families and EAL calibrations.</w:t>
      </w:r>
    </w:p>
    <w:p>
      <w:r>
        <w:br w:type="page"/>
      </w:r>
    </w:p>
    <w:p>
      <w:pPr>
        <w:spacing w:before="60" w:after="20"/>
        <w:jc w:val="left"/>
      </w:pPr>
      <w:r>
        <w:rPr>
          <w:rFonts w:ascii="Times New Roman" w:hAnsi="Times New Roman" w:cs="Times New Roman"/>
          <w:rFonts w:ascii="Times New Roman" w:hAnsi="Times New Roman"/>
          <w:b/>
          <w:i w:val="0"/>
          <w:color w:val="1F497D"/>
          <w:sz w:val="24"/>
        </w:rPr>
        <w:t>A.5  Pass-Through Rate Derivation &amp; Full Sensitivity Matrix</w:t>
      </w:r>
    </w:p>
    <w:p>
      <w:pPr>
        <w:spacing w:before="60" w:after="20"/>
        <w:jc w:val="left"/>
      </w:pPr>
      <w:r>
        <w:rPr>
          <w:rFonts w:ascii="Times New Roman" w:hAnsi="Times New Roman" w:cs="Times New Roman"/>
          <w:rFonts w:ascii="Times New Roman" w:hAnsi="Times New Roman"/>
          <w:b/>
          <w:i w:val="0"/>
          <w:color w:val="1F497D"/>
          <w:sz w:val="24"/>
        </w:rPr>
        <w:t>A.5a  Three-Step Derivation of the 3% Baseline</w:t>
      </w:r>
    </w:p>
    <w:p>
      <w:pPr>
        <w:spacing w:before="0" w:after="40"/>
        <w:jc w:val="both"/>
      </w:pPr>
      <w:r>
        <w:rPr>
          <w:rFonts w:ascii="Times New Roman" w:hAnsi="Times New Roman" w:cs="Times New Roman"/>
          <w:rFonts w:ascii="Times New Roman" w:hAnsi="Times New Roman"/>
          <w:b w:val="0"/>
          <w:i w:val="0"/>
          <w:sz w:val="24"/>
        </w:rPr>
        <w:t>The pass-through rate (the fraction of a cedant's carbon compliance cost that ultimately flows into its declared insured values and therefore into treaty premiums) is derived from three sequential transmission steps anchored to BNM CCPT Pillar 2 s.4.2. Note: this is a MYS-specific derivation. PHL uses a lower rate (1–2%) reflecting BSP Circular 1085 s.X.4 and the ITMO credit offset (~18% of transition cost); a blended SEA rate of 3% is used as the baseline.</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4"/>
              </w:rPr>
              <w:t>Step</w:t>
            </w:r>
          </w:p>
        </w:tc>
        <w:tc>
          <w:tcPr>
            <w:tcW w:type="dxa" w:w="2521"/>
            <w:shd w:val="clear" w:color="auto" w:fill="1F497D"/>
            <w:tcW w:w="4031" w:type="dxa"/>
          </w:tcPr>
          <w:p>
            <w:pPr>
              <w:spacing w:after="20" w:before="20"/>
              <w:jc w:val="center"/>
            </w:pPr>
            <w:r>
              <w:rPr>
                <w:rFonts w:ascii="Times New Roman" w:hAnsi="Times New Roman" w:cs="Times New Roman"/>
                <w:rFonts w:ascii="Times New Roman" w:hAnsi="Times New Roman"/>
                <w:b/>
                <w:i w:val="0"/>
                <w:color w:val="FFFFFF"/>
                <w:sz w:val="24"/>
              </w:rPr>
              <w:t>Mechanism &amp; Source</w:t>
            </w:r>
          </w:p>
        </w:tc>
        <w:tc>
          <w:tcPr>
            <w:tcW w:type="dxa" w:w="2521"/>
            <w:shd w:val="clear" w:color="auto" w:fill="1F497D"/>
            <w:tcW w:w="1944" w:type="dxa"/>
          </w:tcPr>
          <w:p>
            <w:pPr>
              <w:spacing w:after="20" w:before="20"/>
              <w:jc w:val="center"/>
            </w:pPr>
            <w:r>
              <w:rPr>
                <w:rFonts w:ascii="Times New Roman" w:hAnsi="Times New Roman" w:cs="Times New Roman"/>
                <w:rFonts w:ascii="Times New Roman" w:hAnsi="Times New Roman"/>
                <w:b/>
                <w:i w:val="0"/>
                <w:color w:val="FFFFFF"/>
                <w:sz w:val="24"/>
              </w:rPr>
              <w:t>Quantification</w:t>
            </w:r>
          </w:p>
        </w:tc>
        <w:tc>
          <w:tcPr>
            <w:tcW w:type="dxa" w:w="2521"/>
            <w:shd w:val="clear" w:color="auto" w:fill="1F497D"/>
            <w:tcW w:w="936" w:type="dxa"/>
          </w:tcPr>
          <w:p>
            <w:pPr>
              <w:spacing w:after="20" w:before="20"/>
              <w:jc w:val="center"/>
            </w:pPr>
            <w:r>
              <w:rPr>
                <w:rFonts w:ascii="Times New Roman" w:hAnsi="Times New Roman" w:cs="Times New Roman"/>
                <w:rFonts w:ascii="Times New Roman" w:hAnsi="Times New Roman"/>
                <w:b/>
                <w:i w:val="0"/>
                <w:color w:val="FFFFFF"/>
                <w:sz w:val="24"/>
              </w:rPr>
              <w:t>Result</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1 — Cedant operating cost uplift</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Carbon levy = GHG × carbon price. MYS energy sector: 279.9 MtCO₂e × USD 55.58/t. Energy revenue proxy ~USD 280bn (Petronas + TNB combined). Source: BNM CCPT Pillar 1 s.3.2.</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USD 15.55bn levy / ~USD 280bn revenue</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5.6% cost-of-production increase for CCPT C3/C4 cedants</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2 — Insured value transmission</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CCPT Pillar 2 s.4.2: cedants required to re-declare Business Interruption and property sums to reflect carbon-adjusted replacement cost. BNM guidance: 50–60% of compliance cost materialises as higher declared sums insured. Source: BNM CCPT 2021 Pillar 2 s.4.2.</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5.6% × 55% transmission = 3.1%</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4"/>
              </w:rPr>
              <w:t>~3.0% uplift in declared insured exposure</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3 — Treaty premium scaling</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Under proportional treaty structure (quota share / surplus), a 3% uplift in cedant's insured exposure flows 1-for-1 into treaty cession and premium. No non-proportional attachment leakage assumed. Source: Swiss Re Sigma 1/2024 SEA treaty structure norms.</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3.0% insured exposure uplift × 1.0 treaty factor</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4"/>
              </w:rPr>
              <w:t>3% baseline pass-through — BNM CCPT anchored</w:t>
            </w:r>
          </w:p>
        </w:tc>
      </w:tr>
    </w:tbl>
    <w:p>
      <w:pPr>
        <w:spacing w:before="20" w:after="80"/>
        <w:jc w:val="center"/>
      </w:pPr>
      <w:r>
        <w:rPr>
          <w:rFonts w:ascii="Times New Roman" w:hAnsi="Times New Roman" w:cs="Times New Roman"/>
          <w:rFonts w:ascii="Times New Roman" w:hAnsi="Times New Roman"/>
          <w:b w:val="0"/>
          <w:i/>
          <w:sz w:val="18"/>
        </w:rPr>
        <w:t>Table A.8 – 3% pass-through rate derivation. MYS-specific; PHL uses 1–2% (BSP 1085 s.X.4 + ITMO offset).</w:t>
      </w:r>
    </w:p>
    <w:p>
      <w:pPr>
        <w:spacing w:before="60" w:after="20"/>
        <w:jc w:val="left"/>
      </w:pPr>
      <w:r>
        <w:rPr>
          <w:rFonts w:ascii="Times New Roman" w:hAnsi="Times New Roman" w:cs="Times New Roman"/>
          <w:rFonts w:ascii="Times New Roman" w:hAnsi="Times New Roman"/>
          <w:b/>
          <w:i w:val="0"/>
          <w:color w:val="1F497D"/>
          <w:sz w:val="24"/>
        </w:rPr>
        <w:t>A.5b  Why 3% and Not EIOPA's 3–8% Range</w:t>
      </w:r>
    </w:p>
    <w:p>
      <w:pPr>
        <w:spacing w:before="0" w:after="40"/>
        <w:jc w:val="both"/>
      </w:pPr>
      <w:r>
        <w:rPr>
          <w:rFonts w:ascii="Times New Roman" w:hAnsi="Times New Roman" w:cs="Times New Roman"/>
          <w:rFonts w:ascii="Times New Roman" w:hAnsi="Times New Roman"/>
          <w:b w:val="0"/>
          <w:i w:val="0"/>
          <w:sz w:val="24"/>
        </w:rPr>
        <w:t>EIOPA's 2023 Climate Stress Test reports 3–8% pass-through for European P&amp;C lines. We use 3% (the floor) for two reasons: (1) SEA insurance penetration (~8–15%) is materially lower than European levels (~30–40%), reducing the fraction of compliance cost that surfaces as insured value; (2) BNM CCPT Pillar 2 s.4.2 requires declared-sum updates on annual policy renewals — a direct, auditable mechanism — while EIOPA's range includes voluntary disclosure markets where transmission is slower. Using 3% is therefore both more conservative and more regionally appropriate.</w:t>
      </w:r>
    </w:p>
    <w:p>
      <w:pPr>
        <w:spacing w:before="60" w:after="20"/>
        <w:jc w:val="left"/>
      </w:pPr>
      <w:r>
        <w:rPr>
          <w:rFonts w:ascii="Times New Roman" w:hAnsi="Times New Roman" w:cs="Times New Roman"/>
          <w:rFonts w:ascii="Times New Roman" w:hAnsi="Times New Roman"/>
          <w:b/>
          <w:i w:val="0"/>
          <w:color w:val="1F497D"/>
          <w:sz w:val="24"/>
        </w:rPr>
        <w:t>A.5c  Full 9-Scenario Sensitivity Matrix</w:t>
      </w:r>
    </w:p>
    <w:p>
      <w:pPr>
        <w:spacing w:before="0" w:after="40"/>
        <w:jc w:val="both"/>
      </w:pPr>
      <w:r>
        <w:rPr>
          <w:rFonts w:ascii="Times New Roman" w:hAnsi="Times New Roman" w:cs="Times New Roman"/>
          <w:rFonts w:ascii="Times New Roman" w:hAnsi="Times New Roman"/>
          <w:b w:val="0"/>
          <w:i w:val="0"/>
          <w:sz w:val="24"/>
        </w:rPr>
        <w:t>The table below shows the annual transition pass-through to the SEA treaty pool across all combinations of pass-through rate (1%, 3%, 5%) and carbon price scenario (0.5× NZ2050, NZ2050 baseline, 2× NZ2050). The 3%/Baseline cell is the primary planning figure; the 1%/Low cell is the floor; the 5%/Stress cell is the worst-case.</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1F497D"/>
            <w:tcW w:w="1944" w:type="dxa"/>
          </w:tcPr>
          <w:p>
            <w:pPr>
              <w:spacing w:after="20" w:before="20"/>
              <w:jc w:val="center"/>
            </w:pPr>
            <w:r>
              <w:rPr>
                <w:rFonts w:ascii="Times New Roman" w:hAnsi="Times New Roman" w:cs="Times New Roman"/>
                <w:rFonts w:ascii="Times New Roman" w:hAnsi="Times New Roman"/>
                <w:b/>
                <w:i w:val="0"/>
                <w:color w:val="FFFFFF"/>
                <w:sz w:val="24"/>
              </w:rPr>
              <w:t>Pass-through rate</w:t>
            </w:r>
          </w:p>
        </w:tc>
        <w:tc>
          <w:tcPr>
            <w:tcW w:type="dxa" w:w="1441"/>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4"/>
              </w:rPr>
              <w:t>Carbon scenario</w:t>
            </w:r>
          </w:p>
        </w:tc>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4"/>
              </w:rPr>
              <w:t>Carbon price</w:t>
            </w:r>
          </w:p>
        </w:tc>
        <w:tc>
          <w:tcPr>
            <w:tcW w:type="dxa" w:w="1441"/>
            <w:shd w:val="clear" w:color="auto" w:fill="1F497D"/>
            <w:tcW w:w="1080" w:type="dxa"/>
          </w:tcPr>
          <w:p>
            <w:pPr>
              <w:spacing w:after="20" w:before="20"/>
              <w:jc w:val="center"/>
            </w:pPr>
            <w:r>
              <w:rPr>
                <w:rFonts w:ascii="Times New Roman" w:hAnsi="Times New Roman" w:cs="Times New Roman"/>
                <w:rFonts w:ascii="Times New Roman" w:hAnsi="Times New Roman"/>
                <w:b/>
                <w:i w:val="0"/>
                <w:color w:val="FFFFFF"/>
                <w:sz w:val="24"/>
              </w:rPr>
              <w:t>MYS pool</w:t>
            </w:r>
          </w:p>
        </w:tc>
        <w:tc>
          <w:tcPr>
            <w:tcW w:type="dxa" w:w="1441"/>
            <w:shd w:val="clear" w:color="auto" w:fill="1F497D"/>
            <w:tcW w:w="1080" w:type="dxa"/>
          </w:tcPr>
          <w:p>
            <w:pPr>
              <w:spacing w:after="20" w:before="20"/>
              <w:jc w:val="center"/>
            </w:pPr>
            <w:r>
              <w:rPr>
                <w:rFonts w:ascii="Times New Roman" w:hAnsi="Times New Roman" w:cs="Times New Roman"/>
                <w:rFonts w:ascii="Times New Roman" w:hAnsi="Times New Roman"/>
                <w:b/>
                <w:i w:val="0"/>
                <w:color w:val="FFFFFF"/>
                <w:sz w:val="24"/>
              </w:rPr>
              <w:t>PHL pool</w:t>
            </w:r>
          </w:p>
        </w:tc>
        <w:tc>
          <w:tcPr>
            <w:tcW w:type="dxa" w:w="1441"/>
            <w:shd w:val="clear" w:color="auto" w:fill="1F497D"/>
            <w:tcW w:w="1224" w:type="dxa"/>
          </w:tcPr>
          <w:p>
            <w:pPr>
              <w:spacing w:after="20" w:before="20"/>
              <w:jc w:val="center"/>
            </w:pPr>
            <w:r>
              <w:rPr>
                <w:rFonts w:ascii="Times New Roman" w:hAnsi="Times New Roman" w:cs="Times New Roman"/>
                <w:rFonts w:ascii="Times New Roman" w:hAnsi="Times New Roman"/>
                <w:b/>
                <w:i w:val="0"/>
                <w:color w:val="FFFFFF"/>
                <w:sz w:val="24"/>
              </w:rPr>
              <w:t>SEA total</w:t>
            </w:r>
          </w:p>
        </w:tc>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4"/>
              </w:rPr>
              <w:t>HRe (10% alloc)</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1%</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Low (0.5× NZ2050)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27.79/t</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112M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74M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186M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1.5M</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1%</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Baseline (NZ2050)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55.58/t</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224M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148M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372M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3.0M</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1%</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Stress (2× NZ2050)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111.16/t</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448M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296M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744M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6.0M</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3%  ← baseline</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Low (0.5× NZ2050)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27.79/t</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336M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222M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558M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4.5M</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3%  ← baseline</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Baseline (NZ2050)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55.58/t</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671M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444M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1,115M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9.7M</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3%  ← baseline</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Stress (2× NZ2050)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111.16/t</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1,343M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888M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2,230M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18.6M</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5%</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Low (0.5× NZ2050)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27.79/t</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559M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370M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929M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7.4M</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5%</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Baseline (NZ2050)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55.58/t</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1,119M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740M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1,859M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4"/>
              </w:rPr>
              <w:t>USD 14.9M</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5%</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Stress (2× NZ2050)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111.16/t</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2,238M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1,480M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3,718M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4"/>
              </w:rPr>
              <w:t>USD 29.7M</w:t>
            </w:r>
          </w:p>
        </w:tc>
      </w:tr>
    </w:tbl>
    <w:p>
      <w:pPr>
        <w:spacing w:before="20" w:after="80"/>
        <w:jc w:val="center"/>
      </w:pPr>
      <w:r>
        <w:rPr>
          <w:rFonts w:ascii="Times New Roman" w:hAnsi="Times New Roman" w:cs="Times New Roman"/>
          <w:rFonts w:ascii="Times New Roman" w:hAnsi="Times New Roman"/>
          <w:b w:val="0"/>
          <w:i/>
          <w:sz w:val="18"/>
        </w:rPr>
        <w:t>Table A.9 – Full pass-through sensitivity (9 scenarios). All figures per annum; 3%/Baseline = central planning figure.</w:t>
      </w:r>
    </w:p>
    <w:p>
      <w:r>
        <w:br w:type="page"/>
      </w:r>
    </w:p>
    <w:p>
      <w:pPr>
        <w:spacing w:before="100" w:after="40"/>
        <w:jc w:val="left"/>
      </w:pPr>
      <w:r>
        <w:rPr>
          <w:rFonts w:ascii="Times New Roman" w:hAnsi="Times New Roman" w:cs="Times New Roman"/>
          <w:rFonts w:ascii="Times New Roman" w:hAnsi="Times New Roman"/>
          <w:b/>
          <w:i w:val="0"/>
          <w:color w:val="1F497D"/>
          <w:sz w:val="26"/>
        </w:rPr>
        <w:t>Appendix B — Data Sources &amp; R5 Procurement Roadmap</w:t>
      </w:r>
    </w:p>
    <w:p>
      <w:pPr>
        <w:spacing w:before="60" w:after="20"/>
        <w:jc w:val="left"/>
      </w:pPr>
      <w:r>
        <w:rPr>
          <w:rFonts w:ascii="Times New Roman" w:hAnsi="Times New Roman" w:cs="Times New Roman"/>
          <w:rFonts w:ascii="Times New Roman" w:hAnsi="Times New Roman"/>
          <w:b/>
          <w:i w:val="0"/>
          <w:color w:val="1F497D"/>
          <w:sz w:val="24"/>
        </w:rPr>
        <w:t>B.1  Primary Data Sources &amp; Indicator Justifications</w:t>
      </w:r>
    </w:p>
    <w:p>
      <w:pPr>
        <w:spacing w:before="0" w:after="40"/>
        <w:jc w:val="both"/>
      </w:pPr>
      <w:r>
        <w:rPr>
          <w:rFonts w:ascii="Times New Roman" w:hAnsi="Times New Roman" w:cs="Times New Roman"/>
          <w:rFonts w:ascii="Times New Roman" w:hAnsi="Times New Roman"/>
          <w:b w:val="0"/>
          <w:i w:val="0"/>
          <w:sz w:val="24"/>
        </w:rPr>
        <w:t>All primary datasets used in this analysis are listed below with their actuarial role, source URL, and the specific column or series identifier used in the code. Every number in the body of this report is traceable to one of these sources.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880" w:type="dxa"/>
          </w:tcPr>
          <w:p>
            <w:pPr>
              <w:spacing w:after="20" w:before="20"/>
              <w:jc w:val="center"/>
            </w:pPr>
            <w:r>
              <w:rPr>
                <w:rFonts w:ascii="Times New Roman" w:hAnsi="Times New Roman" w:cs="Times New Roman"/>
                <w:rFonts w:ascii="Times New Roman" w:hAnsi="Times New Roman"/>
                <w:b/>
                <w:i w:val="0"/>
                <w:color w:val="FFFFFF"/>
                <w:sz w:val="24"/>
              </w:rPr>
              <w:t>Dataset</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4"/>
              </w:rPr>
              <w:t>Role in analysis</w:t>
            </w:r>
          </w:p>
        </w:tc>
        <w:tc>
          <w:tcPr>
            <w:tcW w:type="dxa" w:w="3362"/>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4"/>
              </w:rPr>
              <w:t>Source / Series ID</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CHIRPS v2.0 RX5day annual maxima</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Primary EVT input — 5-day max rainfall for GEV fitting and EAL calibration (MYS &amp; PHL)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climexp.knmi.nl · WMO ETCCDI RX5day · 1990–2023</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EM-DAT total adjusted damage (USD)</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Burning-cost EAL baseline; event frequency count for hazard profile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emdat.be · total_damage_adjusted_usd · 1990–2023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NOAA ONI DJF anomaly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ENSO phase classification (La Niña/Neutral/El Niño) for copula sub-sampling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cpc.ncep.noaa.gov/data/indices/oni.ascii.txt · SEAS=DJF · 1990–2023</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World Bank WDI — Total GHG AR5 (excl. LULUCF)</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ARIMA forecast target; GHG baseline for transition cost calculation</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databank.worldbank.org · WB_WDI_EN_GHG_ALL_MT_CE_AR5 · 1990–2023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Climate Watch 2023 — Sector GHG by country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Sector decomposition for Exhibit 2; LULUCF emitter/sink identification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climatewatchdata.org · 2023 vintage · MYS LULUCF +63.3 MtCO₂e; PHL -26.9</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NGFS GCAM 6.0 — NZ2050 vs. Current Policies carbon price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Carbon price scalar for transition cost (USD 55.578/t = NZ2050 − Current Policies gap)</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ngfs.net/ngfs-scenarios-portal · GCAM 6.0 · verified in exhibit_2_transition_cost_results.csv</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World Bank WDI — Nominal GDP USD (2023)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GDP denominator for transition cost as % of GDP (MYS and PHL)</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databank.worldbank.org · NY.GDP.MKTP.CD · 2023 vintage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World Bank WDI — Urban population %</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Exposure growth multiplier: 49%→76.4% MYS urban share drives structural EAL increase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databank.worldbank.org · SP.URB.TOTL.IN.ZS · 1990–2023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Hannover Re Annual Report 2023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HRe 8% APAC non-life market share assumption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hannover-re.com · 2023 Annual Report p.47</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Swiss Re Sigma No. 1/2024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50% SEA treaty attachment factor; SEA insurance penetration benchmarks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swissre.com · Sigma 1/2024 · SEA treaty structure norms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BNM CCPT 2021/2022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Pass-through derivation anchor; physical risk loading trigger; C3/C4 surcharge basis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bnm.gov.my · CCPT 2021 · Pillar 1 s.3.4; Pillar 2 s.4.2</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BSP Circular 1085 (2020)</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Philippines transition surcharge anchor; ESG pricing requirements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bsp.gov.ph · Circular 1085 · s.X.4 ESG Underwriting</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UNFCCC Article 6.2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Philippines ITMO credit offset (~18% of transition cost) for PHL surcharge calibration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4"/>
              </w:rPr>
              <w:t>unfccc.int · Article 6.2 · Internationally Transferred Mitigation Outcomes</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EUDR 2023/1115 + Lloyd's ESG (2023)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R4 Climate Warranty Clause regulatory anchors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4"/>
              </w:rPr>
              <w:t>eur-lex.europa.eu · Art. 8 · Lloyds.com · ESG s.2.3 Underwriting Disclosure</w:t>
            </w:r>
          </w:p>
        </w:tc>
      </w:tr>
    </w:tbl>
    <w:p>
      <w:pPr>
        <w:spacing w:before="20" w:after="80"/>
        <w:jc w:val="center"/>
      </w:pPr>
      <w:r>
        <w:rPr>
          <w:rFonts w:ascii="Times New Roman" w:hAnsi="Times New Roman" w:cs="Times New Roman"/>
          <w:rFonts w:ascii="Times New Roman" w:hAnsi="Times New Roman"/>
          <w:b w:val="0"/>
          <w:i/>
          <w:sz w:val="18"/>
        </w:rPr>
        <w:t>Table B.1 – Primary data sources. All datasets publicly available; code reproducible via run_all.py.</w:t>
      </w:r>
    </w:p>
    <w:p>
      <w:pPr>
        <w:jc w:val="center"/>
      </w:pPr>
      <w:r>
        <w:drawing>
          <wp:inline xmlns:a="http://schemas.openxmlformats.org/drawingml/2006/main" xmlns:pic="http://schemas.openxmlformats.org/drawingml/2006/picture">
            <wp:extent cx="4572000" cy="1794857"/>
            <wp:docPr id="25" name="Picture 25"/>
            <wp:cNvGraphicFramePr>
              <a:graphicFrameLocks noChangeAspect="1"/>
            </wp:cNvGraphicFramePr>
            <a:graphic>
              <a:graphicData uri="http://schemas.openxmlformats.org/drawingml/2006/picture">
                <pic:pic>
                  <pic:nvPicPr>
                    <pic:cNvPr id="0" name="regulatory_context.png"/>
                    <pic:cNvPicPr/>
                  </pic:nvPicPr>
                  <pic:blipFill>
                    <a:blip r:embed="rId30"/>
                    <a:stretch>
                      <a:fillRect/>
                    </a:stretch>
                  </pic:blipFill>
                  <pic:spPr>
                    <a:xfrm>
                      <a:off x="0" y="0"/>
                      <a:ext cx="4572000" cy="1794857"/>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B.1 – Regulatory context map: BNM CCPT, BSP 1085, TCFD, EUDR, and Lloyd's ESG as the five anchors for R1–R5. Arrows show which recommendation each framework supports.</w:t>
      </w:r>
    </w:p>
    <w:p>
      <w:r>
        <w:br w:type="page"/>
      </w:r>
    </w:p>
    <w:p>
      <w:pPr>
        <w:spacing w:before="60" w:after="20"/>
        <w:jc w:val="left"/>
      </w:pPr>
      <w:r>
        <w:rPr>
          <w:rFonts w:ascii="Times New Roman" w:hAnsi="Times New Roman" w:cs="Times New Roman"/>
          <w:rFonts w:ascii="Times New Roman" w:hAnsi="Times New Roman"/>
          <w:b/>
          <w:i w:val="0"/>
          <w:color w:val="1F497D"/>
          <w:sz w:val="24"/>
        </w:rPr>
        <w:t>B.2  R5 Data Procurement Roadmap</w:t>
      </w:r>
    </w:p>
    <w:p>
      <w:pPr>
        <w:spacing w:before="0" w:after="40"/>
        <w:jc w:val="both"/>
      </w:pPr>
      <w:r>
        <w:rPr>
          <w:rFonts w:ascii="Times New Roman" w:hAnsi="Times New Roman" w:cs="Times New Roman"/>
          <w:rFonts w:ascii="Times New Roman" w:hAnsi="Times New Roman"/>
          <w:b w:val="0"/>
          <w:i w:val="0"/>
          <w:sz w:val="24"/>
        </w:rPr>
        <w:t>R5 is the single recommendation with the largest impact on reserve estimate precision. The current GEV sample of n=34 years produces a Philippines 100-year CI spanning [326–985mm] — a 3× width that prevents point-estimate pricing and forces a conservative floor loading. Four sequential data investments close this gap progressively. Estimated total cost: USD 95–145K over 12 months. Reserve band reduction: ~60%.</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shd w:val="clear" w:color="auto" w:fill="1F497D"/>
            <w:tcW w:w="1872" w:type="dxa"/>
          </w:tcPr>
          <w:p>
            <w:pPr>
              <w:spacing w:after="20" w:before="20"/>
              <w:jc w:val="center"/>
            </w:pPr>
            <w:r>
              <w:rPr>
                <w:rFonts w:ascii="Times New Roman" w:hAnsi="Times New Roman" w:cs="Times New Roman"/>
                <w:rFonts w:ascii="Times New Roman" w:hAnsi="Times New Roman"/>
                <w:b/>
                <w:i w:val="0"/>
                <w:color w:val="FFFFFF"/>
                <w:sz w:val="24"/>
              </w:rPr>
              <w:t>Action</w:t>
            </w:r>
          </w:p>
        </w:tc>
        <w:tc>
          <w:tcPr>
            <w:tcW w:type="dxa" w:w="1681"/>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4"/>
              </w:rPr>
              <w:t>Data required</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4"/>
              </w:rPr>
              <w:t>Timeline</w:t>
            </w:r>
          </w:p>
        </w:tc>
        <w:tc>
          <w:tcPr>
            <w:tcW w:type="dxa" w:w="1681"/>
            <w:shd w:val="clear" w:color="auto" w:fill="1F497D"/>
            <w:tcW w:w="1007" w:type="dxa"/>
          </w:tcPr>
          <w:p>
            <w:pPr>
              <w:spacing w:after="20" w:before="20"/>
              <w:jc w:val="center"/>
            </w:pPr>
            <w:r>
              <w:rPr>
                <w:rFonts w:ascii="Times New Roman" w:hAnsi="Times New Roman" w:cs="Times New Roman"/>
                <w:rFonts w:ascii="Times New Roman" w:hAnsi="Times New Roman"/>
                <w:b/>
                <w:i w:val="0"/>
                <w:color w:val="FFFFFF"/>
                <w:sz w:val="24"/>
              </w:rPr>
              <w:t>Cost</w:t>
            </w:r>
          </w:p>
        </w:tc>
        <w:tc>
          <w:tcPr>
            <w:tcW w:type="dxa" w:w="1681"/>
            <w:shd w:val="clear" w:color="auto" w:fill="1F497D"/>
            <w:tcW w:w="2232" w:type="dxa"/>
          </w:tcPr>
          <w:p>
            <w:pPr>
              <w:spacing w:after="20" w:before="20"/>
              <w:jc w:val="center"/>
            </w:pPr>
            <w:r>
              <w:rPr>
                <w:rFonts w:ascii="Times New Roman" w:hAnsi="Times New Roman" w:cs="Times New Roman"/>
                <w:rFonts w:ascii="Times New Roman" w:hAnsi="Times New Roman"/>
                <w:b/>
                <w:i w:val="0"/>
                <w:color w:val="FFFFFF"/>
                <w:sz w:val="24"/>
              </w:rPr>
              <w:t>Impact on reserve estimate</w:t>
            </w:r>
          </w:p>
        </w:tc>
        <w:tc>
          <w:tcPr>
            <w:tcW w:type="dxa" w:w="1681"/>
            <w:shd w:val="clear" w:color="auto" w:fill="1F497D"/>
            <w:tcW w:w="1655" w:type="dxa"/>
          </w:tcPr>
          <w:p>
            <w:pPr>
              <w:spacing w:after="20" w:before="20"/>
              <w:jc w:val="center"/>
            </w:pPr>
            <w:r>
              <w:rPr>
                <w:rFonts w:ascii="Times New Roman" w:hAnsi="Times New Roman" w:cs="Times New Roman"/>
                <w:rFonts w:ascii="Times New Roman" w:hAnsi="Times New Roman"/>
                <w:b/>
                <w:i w:val="0"/>
                <w:color w:val="FFFFFF"/>
                <w:sz w:val="24"/>
              </w:rPr>
              <w:t>Current limitation fixed</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1. Procure cedant loss triangles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Events &gt; USD 500K, prior 5 years from all MYS/PHL treaty cedants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Months 0–2 (immediate)</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Nil — contractual right at renewal</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Replaces flat 8/15% penetration assumption with book-specific calibration; reduces physical EAL uncertainty ~30%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Flat penetration rate applied uniformly across all cedant types</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2. Extend precipitation record</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MMD (Malaysia) / PAGASA (Philippines) station data 1981–1989 to extend CHIRPS back-series</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Months 3–6</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USD 15–25K</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GEV sample n: 34→43 years; SE reduction ~12%; PHL CI narrows from ±44.5pp to ±32pp</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n=34 GEV CI is too wide for point-estimate PHL treaty pricing</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3. Geocoded property schedule</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Lat/lon + sum insured for all properties &gt; USD 1M in MYS/PHL treaty cedant portfolios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2026 renewal cycle</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1% premium credit incentive to cedants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Sub-national CHIRPS matched to actual exposure location; replaces national bounding-box proxy; reduces EAL uncertainty ~20%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4"/>
              </w:rPr>
              <w:t>National average precipitation applied regardless of cedant property locations</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4. Peril-specific penetration study</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AIR Worldwide or RMS SEA market study (flood + typhoon penetration by sub-peril)</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Months 9–12</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USD 80–120K</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Peril-class specific rates replace uniform 15%/8%; closes largest single sensitivity driver (see Fig A.9 tornado)</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4"/>
              </w:rPr>
              <w:t>Uniform penetration across flood/typhoon/surge perils inflates MYS and understates PHL</w:t>
            </w:r>
          </w:p>
        </w:tc>
      </w:tr>
    </w:tbl>
    <w:p>
      <w:pPr>
        <w:spacing w:before="20" w:after="80"/>
        <w:jc w:val="center"/>
      </w:pPr>
      <w:r>
        <w:rPr>
          <w:rFonts w:ascii="Times New Roman" w:hAnsi="Times New Roman" w:cs="Times New Roman"/>
          <w:rFonts w:ascii="Times New Roman" w:hAnsi="Times New Roman"/>
          <w:b w:val="0"/>
          <w:i/>
          <w:sz w:val="18"/>
        </w:rPr>
        <w:t>Table B.2 – R5 procurement roadmap. Source: r4_procurement_roadmap.csv. Priority: Action 1 first (zero cost, highest impact per dollar).</w:t>
      </w:r>
    </w:p>
    <w:p>
      <w:pPr>
        <w:jc w:val="center"/>
      </w:pPr>
      <w:r>
        <w:drawing>
          <wp:inline xmlns:a="http://schemas.openxmlformats.org/drawingml/2006/main" xmlns:pic="http://schemas.openxmlformats.org/drawingml/2006/picture">
            <wp:extent cx="4572000" cy="2273186"/>
            <wp:docPr id="26" name="Picture 26"/>
            <wp:cNvGraphicFramePr>
              <a:graphicFrameLocks noChangeAspect="1"/>
            </wp:cNvGraphicFramePr>
            <a:graphic>
              <a:graphicData uri="http://schemas.openxmlformats.org/drawingml/2006/picture">
                <pic:pic>
                  <pic:nvPicPr>
                    <pic:cNvPr id="0" name="r4_rec5_procurement_matrix.png"/>
                    <pic:cNvPicPr/>
                  </pic:nvPicPr>
                  <pic:blipFill>
                    <a:blip r:embed="rId31"/>
                    <a:stretch>
                      <a:fillRect/>
                    </a:stretch>
                  </pic:blipFill>
                  <pic:spPr>
                    <a:xfrm>
                      <a:off x="0" y="0"/>
                      <a:ext cx="4572000" cy="2273186"/>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B.2 – R5 procurement matrix: cost vs. uncertainty-reduction impact for each data action. Cedant loss triangles (Action 1) dominate on cost-effectiveness; peril penetration study (Action 4) resolves the largest tornado-chart driver.</w:t>
      </w:r>
    </w:p>
    <w:p>
      <w:pPr>
        <w:spacing w:before="0" w:after="80"/>
        <w:jc w:val="both"/>
      </w:pPr>
      <w:r>
        <w:rPr>
          <w:rFonts w:ascii="Times New Roman" w:hAnsi="Times New Roman" w:cs="Times New Roman"/>
          <w:rFonts w:ascii="Times New Roman" w:hAnsi="Times New Roman"/>
          <w:b w:val="0"/>
          <w:i w:val="0"/>
          <w:sz w:val="24"/>
        </w:rPr>
        <w:t>Combined effect of Actions 1–4: reserve band narrows from USD 3.4–18.6M (current) to USD 7.5–11.8M (post-R5), a ~60% reduction. The central estimate of USD 9.7M/yr is expected to remain stable; the precision improves, enabling treaty-level repricing rather than portfolio-level loading. This is the actuarial case for prioritising R5 above all other recommendations.</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