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800" w:line="240" w:lineRule="atLeast"/>
      </w:pPr>
      <w:r>
        <w:rPr>
          <w:rFonts w:ascii="Times New Roman" w:hAnsi="Times New Roman"/>
          <w:b w:val="0"/>
          <w:sz w:val="24"/>
        </w:rPr>
      </w:r>
    </w:p>
    <w:p>
      <w:pPr>
        <w:jc w:val="center"/>
        <w:spacing w:before="0" w:after="80" w:line="240" w:lineRule="atLeast"/>
      </w:pPr>
      <w:r>
        <w:rPr>
          <w:rFonts w:ascii="Times New Roman" w:hAnsi="Times New Roman"/>
          <w:b/>
          <w:sz w:val="28"/>
        </w:rPr>
        <w:t>MASA Hackathon 2026: R-Ignite</w:t>
      </w:r>
    </w:p>
    <w:p>
      <w:pPr>
        <w:jc w:val="center"/>
        <w:spacing w:before="0" w:after="80" w:line="240" w:lineRule="atLeast"/>
      </w:pPr>
      <w:r>
        <w:rPr>
          <w:rFonts w:ascii="Times New Roman" w:hAnsi="Times New Roman"/>
          <w:b/>
          <w:sz w:val="40"/>
        </w:rPr>
        <w:t>Climate Risk Assessment</w:t>
      </w:r>
    </w:p>
    <w:p>
      <w:pPr>
        <w:jc w:val="center"/>
        <w:spacing w:before="0" w:after="200" w:line="240" w:lineRule="atLeast"/>
      </w:pPr>
      <w:r>
        <w:rPr>
          <w:rFonts w:ascii="Times New Roman" w:hAnsi="Times New Roman"/>
          <w:b w:val="0"/>
          <w:sz w:val="26"/>
        </w:rPr>
        <w:t>Quantifying Physical &amp; Transition Gaps in Hannover Re's SEA Treaty Book</w:t>
      </w:r>
    </w:p>
    <w:p>
      <w:pPr>
        <w:jc w:val="center"/>
        <w:spacing w:before="0" w:after="80" w:line="240" w:lineRule="atLeast"/>
      </w:pPr>
      <w:r>
        <w:rPr>
          <w:rFonts w:ascii="Times New Roman" w:hAnsi="Times New Roman"/>
          <w:b/>
          <w:sz w:val="26"/>
        </w:rPr>
        <w:t>Team: UM Actuarial Consultants</w:t>
      </w:r>
    </w:p>
    <w:p>
      <w:pPr>
        <w:jc w:val="center"/>
        <w:spacing w:before="0" w:after="200" w:line="240" w:lineRule="atLeast"/>
      </w:pPr>
      <w:r>
        <w:rPr>
          <w:rFonts w:ascii="Times New Roman" w:hAnsi="Times New Roman"/>
          <w:b w:val="0"/>
          <w:sz w:val="24"/>
        </w:rPr>
        <w:t>University of Malaya</w:t>
      </w:r>
    </w:p>
    <w:p>
      <w:pPr>
        <w:jc w:val="center"/>
        <w:spacing w:before="0" w:after="40" w:line="240" w:lineRule="atLeast"/>
      </w:pPr>
      <w:r>
        <w:rPr>
          <w:rFonts w:ascii="Times New Roman" w:hAnsi="Times New Roman"/>
          <w:b w:val="0"/>
          <w:sz w:val="24"/>
        </w:rPr>
        <w:t>Felicia Sia Xin Rou</w:t>
      </w:r>
    </w:p>
    <w:p>
      <w:pPr>
        <w:jc w:val="center"/>
        <w:spacing w:before="0" w:after="40" w:line="240" w:lineRule="atLeast"/>
      </w:pPr>
      <w:r>
        <w:rPr>
          <w:rFonts w:ascii="Times New Roman" w:hAnsi="Times New Roman"/>
          <w:b w:val="0"/>
          <w:sz w:val="24"/>
        </w:rPr>
        <w:t>[Team Member 2]</w:t>
      </w:r>
    </w:p>
    <w:p>
      <w:pPr>
        <w:jc w:val="center"/>
        <w:spacing w:before="0" w:after="40" w:line="240" w:lineRule="atLeast"/>
      </w:pPr>
      <w:r>
        <w:rPr>
          <w:rFonts w:ascii="Times New Roman" w:hAnsi="Times New Roman"/>
          <w:b w:val="0"/>
          <w:sz w:val="24"/>
        </w:rPr>
        <w:t>[Team Member 3]</w:t>
      </w:r>
    </w:p>
    <w:p>
      <w:pPr>
        <w:jc w:val="center"/>
        <w:spacing w:before="0" w:after="40" w:line="240" w:lineRule="atLeast"/>
      </w:pPr>
      <w:r>
        <w:rPr>
          <w:rFonts w:ascii="Times New Roman" w:hAnsi="Times New Roman"/>
          <w:b w:val="0"/>
          <w:sz w:val="24"/>
        </w:rPr>
        <w:t>[Team Member 4]</w:t>
      </w:r>
    </w:p>
    <w:p>
      <w:pPr>
        <w:jc w:val="center"/>
        <w:spacing w:before="0" w:after="200" w:line="240" w:lineRule="atLeast"/>
      </w:pPr>
      <w:r>
        <w:rPr>
          <w:rFonts w:ascii="Times New Roman" w:hAnsi="Times New Roman"/>
          <w:b w:val="0"/>
          <w:sz w:val="24"/>
        </w:rPr>
      </w:r>
    </w:p>
    <w:p>
      <w:pPr>
        <w:jc w:val="center"/>
        <w:spacing w:before="0" w:after="60" w:line="240" w:lineRule="atLeast"/>
      </w:pPr>
      <w:r>
        <w:rPr>
          <w:rFonts w:ascii="Times New Roman" w:hAnsi="Times New Roman"/>
          <w:b w:val="0"/>
          <w:sz w:val="22"/>
        </w:rPr>
        <w:t>Submitted: 7 May 2026</w:t>
      </w:r>
    </w:p>
    <w:p>
      <w:pPr>
        <w:jc w:val="center"/>
        <w:spacing w:before="0" w:after="0" w:line="240" w:lineRule="atLeast"/>
      </w:pPr>
      <w:r>
        <w:rPr>
          <w:rFonts w:ascii="Times New Roman" w:hAnsi="Times New Roman"/>
          <w:b w:val="0"/>
          <w:sz w:val="18"/>
        </w:rPr>
        <w:t>Dataset: World Bank WDI Wide Format  |  CHIRPS v2.0  |  EM-DAT  |  NOAA ONI  |  NGFS GCAM 6.0</w:t>
      </w:r>
    </w:p>
    <w:p>
      <w:pPr>
        <w:spacing w:before="0" w:after="0"/>
      </w:pPr>
      <w:r>
        <w:br w:type="page"/>
      </w:r>
    </w:p>
    <w:p>
      <w:pPr>
        <w:spacing w:before="120" w:after="60" w:line="276" w:lineRule="atLeast"/>
        <w:keepNext/>
        <w:pBdr>
          <w:bottom w:val="single" w:sz="6" w:space="1" w:color="6b2737"/>
        </w:pBdr>
      </w:pPr>
      <w:r>
        <w:rPr>
          <w:rFonts w:ascii="Times New Roman" w:hAnsi="Times New Roman"/>
          <w:b/>
          <w:color w:val="1A1A2E"/>
          <w:sz w:val="28"/>
        </w:rPr>
        <w:t>1.  Executive Summary</w:t>
      </w:r>
    </w:p>
    <w:p>
      <w:pPr>
        <w:jc w:val="both"/>
        <w:spacing w:before="60" w:after="60" w:line="240" w:lineRule="atLeast"/>
        <w:shd w:val="clear" w:color="auto" w:fill="E8F4F8"/>
        <w:pBdr>
          <w:left w:val="single" w:sz="12" w:space="4" w:color="1a6b9a"/>
        </w:pBdr>
        <w:ind w:left="180"/>
      </w:pPr>
      <w:r>
        <w:rPr>
          <w:rFonts w:ascii="Times New Roman" w:hAnsi="Times New Roman"/>
          <w:b w:val="0"/>
          <w:i w:val="0"/>
          <w:sz w:val="24"/>
        </w:rPr>
        <w:t>As actuarial consultants to Hannover Re, we identify two additive, independently quantified pricing gaps in the SEA reinsurance treaty book. The physical gap (USD 18.4M/yr combined EAL shortfall) originates from a 2007 PELT hazard regime shift in CHIRPS RX5day precipitation records -- undetected by burning-cost methods -- lifting the flood baseline by +6.9% in Malaysia (MYS) and +6.1% in the Philippines (PHL). The transition gap (USD 1.1bn/yr SEA treaty pool at 3% pass-through) reflects NGFS GCAM 6.0 NZ2050 carbon pricing (USD 55.58/t) applied to Climate Watch 2023 sector GHG baselines, compounded by a critical LULUCF asymmetry: MYS is a net emitter (+63 MtCO2e, palm oil deforestation) while PHL is a net carbon sink (-27 MtCO2e, REDD+), making uniform SEA loadings actuarially incorrect. Five recommendations close the HRe annual reserve gap, estimated at USD 3.4M (floor) to USD 18.6M (stress), with a central estimate of USD 9.7M. The width of this range is itself the strongest argument for Recommendation R5: cedant-level loss triangles will narrow the band by an estimated ~60% within 12 months (subject to triangle structure and cedant data homogeneity).</w:t>
      </w:r>
    </w:p>
    <w:p>
      <w:pPr>
        <w:spacing w:before="80" w:after="30" w:line="240" w:lineRule="atLeast"/>
        <w:keepNext/>
      </w:pPr>
      <w:r>
        <w:rPr>
          <w:rFonts w:ascii="Times New Roman" w:hAnsi="Times New Roman"/>
          <w:b/>
          <w:color w:val="6B2737"/>
          <w:sz w:val="24"/>
        </w:rPr>
        <w:t>Key Quantitative Results</w:t>
      </w:r>
    </w:p>
    <w:tbl>
      <w:tblPr>
        <w:tblStyle w:val="TableGrid"/>
        <w:tblW w:type="auto" w:w="0"/>
        <w:jc w:val="left"/>
        <w:tblLook w:firstColumn="1" w:firstRow="1" w:lastColumn="0" w:lastRow="0" w:noHBand="0" w:noVBand="1" w:val="04A0"/>
      </w:tblPr>
      <w:tblGrid>
        <w:gridCol w:w="3009"/>
        <w:gridCol w:w="3009"/>
        <w:gridCol w:w="3009"/>
      </w:tblGrid>
      <w:tr>
        <w:tc>
          <w:tcPr>
            <w:tcW w:type="dxa" w:w="3888"/>
            <w:shd w:val="clear" w:color="auto" w:fill="6b2737"/>
          </w:tcPr>
          <w:p>
            <w:pPr>
              <w:jc w:val="center"/>
              <w:spacing w:before="0" w:after="0" w:line="240" w:lineRule="atLeast"/>
            </w:pPr>
            <w:r>
              <w:rPr>
                <w:rFonts w:ascii="Times New Roman" w:hAnsi="Times New Roman"/>
                <w:b/>
                <w:color w:val="FFFFFF"/>
                <w:sz w:val="20"/>
              </w:rPr>
              <w:t>Metric</w:t>
            </w:r>
          </w:p>
        </w:tc>
        <w:tc>
          <w:tcPr>
            <w:tcW w:type="dxa" w:w="2520"/>
            <w:shd w:val="clear" w:color="auto" w:fill="6b2737"/>
          </w:tcPr>
          <w:p>
            <w:pPr>
              <w:jc w:val="center"/>
              <w:spacing w:before="0" w:after="0" w:line="240" w:lineRule="atLeast"/>
            </w:pPr>
            <w:r>
              <w:rPr>
                <w:rFonts w:ascii="Times New Roman" w:hAnsi="Times New Roman"/>
                <w:b/>
                <w:color w:val="FFFFFF"/>
                <w:sz w:val="20"/>
              </w:rPr>
              <w:t>Malaysia (MYS)</w:t>
            </w:r>
          </w:p>
        </w:tc>
        <w:tc>
          <w:tcPr>
            <w:tcW w:type="dxa" w:w="2621"/>
            <w:shd w:val="clear" w:color="auto" w:fill="6b2737"/>
          </w:tcPr>
          <w:p>
            <w:pPr>
              <w:jc w:val="center"/>
              <w:spacing w:before="0" w:after="0" w:line="240" w:lineRule="atLeast"/>
            </w:pPr>
            <w:r>
              <w:rPr>
                <w:rFonts w:ascii="Times New Roman" w:hAnsi="Times New Roman"/>
                <w:b/>
                <w:color w:val="FFFFFF"/>
                <w:sz w:val="20"/>
              </w:rPr>
              <w:t>Philippines (PHL)</w:t>
            </w:r>
          </w:p>
        </w:tc>
      </w:tr>
      <w:tr>
        <w:tc>
          <w:tcPr>
            <w:tcW w:type="dxa" w:w="3888"/>
            <w:shd w:val="clear" w:color="auto" w:fill="FFFFFF"/>
          </w:tcPr>
          <w:p>
            <w:pPr>
              <w:jc w:val="left"/>
              <w:spacing w:before="0" w:after="0" w:line="240" w:lineRule="atLeast"/>
            </w:pPr>
            <w:r>
              <w:rPr>
                <w:rFonts w:ascii="Times New Roman" w:hAnsi="Times New Roman"/>
                <w:sz w:val="20"/>
              </w:rPr>
              <w:t>ARIMA 2024 GHG forecast (MtCO2e) / MAPE</w:t>
            </w:r>
          </w:p>
        </w:tc>
        <w:tc>
          <w:tcPr>
            <w:tcW w:type="dxa" w:w="2520"/>
            <w:shd w:val="clear" w:color="auto" w:fill="FFFFFF"/>
          </w:tcPr>
          <w:p>
            <w:pPr>
              <w:jc w:val="left"/>
              <w:spacing w:before="0" w:after="0" w:line="240" w:lineRule="atLeast"/>
            </w:pPr>
            <w:r>
              <w:rPr>
                <w:rFonts w:ascii="Times New Roman" w:hAnsi="Times New Roman"/>
                <w:sz w:val="20"/>
              </w:rPr>
              <w:t>325.1  (MAPE 1.71%)</w:t>
            </w:r>
          </w:p>
        </w:tc>
        <w:tc>
          <w:tcPr>
            <w:tcW w:type="dxa" w:w="2621"/>
            <w:shd w:val="clear" w:color="auto" w:fill="FFFFFF"/>
          </w:tcPr>
          <w:p>
            <w:pPr>
              <w:jc w:val="left"/>
              <w:spacing w:before="0" w:after="0" w:line="240" w:lineRule="atLeast"/>
            </w:pPr>
            <w:r>
              <w:rPr>
                <w:rFonts w:ascii="Times New Roman" w:hAnsi="Times New Roman"/>
                <w:sz w:val="20"/>
              </w:rPr>
              <w:t>260.8  (MAPE 3.56%)</w:t>
            </w:r>
          </w:p>
        </w:tc>
      </w:tr>
      <w:tr>
        <w:tc>
          <w:tcPr>
            <w:tcW w:type="dxa" w:w="3888"/>
            <w:shd w:val="clear" w:color="auto" w:fill="F5F5F5"/>
          </w:tcPr>
          <w:p>
            <w:pPr>
              <w:jc w:val="left"/>
              <w:spacing w:before="0" w:after="0" w:line="240" w:lineRule="atLeast"/>
            </w:pPr>
            <w:r>
              <w:rPr>
                <w:rFonts w:ascii="Times New Roman" w:hAnsi="Times New Roman"/>
                <w:sz w:val="20"/>
              </w:rPr>
              <w:t>GEV 100-yr RX5day return level (mm)</w:t>
            </w:r>
          </w:p>
        </w:tc>
        <w:tc>
          <w:tcPr>
            <w:tcW w:type="dxa" w:w="2520"/>
            <w:shd w:val="clear" w:color="auto" w:fill="F5F5F5"/>
          </w:tcPr>
          <w:p>
            <w:pPr>
              <w:jc w:val="left"/>
              <w:spacing w:before="0" w:after="0" w:line="240" w:lineRule="atLeast"/>
            </w:pPr>
            <w:r>
              <w:rPr>
                <w:rFonts w:ascii="Times New Roman" w:hAnsi="Times New Roman"/>
                <w:sz w:val="20"/>
              </w:rPr>
              <w:t>216  [171--344]</w:t>
            </w:r>
          </w:p>
        </w:tc>
        <w:tc>
          <w:tcPr>
            <w:tcW w:type="dxa" w:w="2621"/>
            <w:shd w:val="clear" w:color="auto" w:fill="F5F5F5"/>
          </w:tcPr>
          <w:p>
            <w:pPr>
              <w:jc w:val="left"/>
              <w:spacing w:before="0" w:after="0" w:line="240" w:lineRule="atLeast"/>
            </w:pPr>
            <w:r>
              <w:rPr>
                <w:rFonts w:ascii="Times New Roman" w:hAnsi="Times New Roman"/>
                <w:sz w:val="20"/>
              </w:rPr>
              <w:t>521  [326--985]</w:t>
            </w:r>
          </w:p>
        </w:tc>
      </w:tr>
      <w:tr>
        <w:tc>
          <w:tcPr>
            <w:tcW w:type="dxa" w:w="3888"/>
            <w:shd w:val="clear" w:color="auto" w:fill="FFFFFF"/>
          </w:tcPr>
          <w:p>
            <w:pPr>
              <w:jc w:val="left"/>
              <w:spacing w:before="0" w:after="0" w:line="240" w:lineRule="atLeast"/>
            </w:pPr>
            <w:r>
              <w:rPr>
                <w:rFonts w:ascii="Times New Roman" w:hAnsi="Times New Roman"/>
                <w:sz w:val="20"/>
              </w:rPr>
              <w:t>PELT break year / hazard uplift</w:t>
            </w:r>
          </w:p>
        </w:tc>
        <w:tc>
          <w:tcPr>
            <w:tcW w:type="dxa" w:w="2520"/>
            <w:shd w:val="clear" w:color="auto" w:fill="FFFFFF"/>
          </w:tcPr>
          <w:p>
            <w:pPr>
              <w:jc w:val="left"/>
              <w:spacing w:before="0" w:after="0" w:line="240" w:lineRule="atLeast"/>
            </w:pPr>
            <w:r>
              <w:rPr>
                <w:rFonts w:ascii="Times New Roman" w:hAnsi="Times New Roman"/>
                <w:sz w:val="20"/>
              </w:rPr>
              <w:t>2007  /  +6.9%</w:t>
            </w:r>
          </w:p>
        </w:tc>
        <w:tc>
          <w:tcPr>
            <w:tcW w:type="dxa" w:w="2621"/>
            <w:shd w:val="clear" w:color="auto" w:fill="FFFFFF"/>
          </w:tcPr>
          <w:p>
            <w:pPr>
              <w:jc w:val="left"/>
              <w:spacing w:before="0" w:after="0" w:line="240" w:lineRule="atLeast"/>
            </w:pPr>
            <w:r>
              <w:rPr>
                <w:rFonts w:ascii="Times New Roman" w:hAnsi="Times New Roman"/>
                <w:sz w:val="20"/>
              </w:rPr>
              <w:t>2007  /  +6.1%</w:t>
            </w:r>
          </w:p>
        </w:tc>
      </w:tr>
      <w:tr>
        <w:tc>
          <w:tcPr>
            <w:tcW w:type="dxa" w:w="3888"/>
            <w:shd w:val="clear" w:color="auto" w:fill="F5F5F5"/>
          </w:tcPr>
          <w:p>
            <w:pPr>
              <w:jc w:val="left"/>
              <w:spacing w:before="0" w:after="0" w:line="240" w:lineRule="atLeast"/>
            </w:pPr>
            <w:r>
              <w:rPr>
                <w:rFonts w:ascii="Times New Roman" w:hAnsi="Times New Roman"/>
                <w:sz w:val="20"/>
              </w:rPr>
              <w:t>Forward EAL vs. burning-cost gap</w:t>
            </w:r>
          </w:p>
        </w:tc>
        <w:tc>
          <w:tcPr>
            <w:tcW w:type="dxa" w:w="2520"/>
            <w:shd w:val="clear" w:color="auto" w:fill="F5F5F5"/>
          </w:tcPr>
          <w:p>
            <w:pPr>
              <w:jc w:val="left"/>
              <w:spacing w:before="0" w:after="0" w:line="240" w:lineRule="atLeast"/>
            </w:pPr>
            <w:r>
              <w:rPr>
                <w:rFonts w:ascii="Times New Roman" w:hAnsi="Times New Roman"/>
                <w:sz w:val="20"/>
              </w:rPr>
              <w:t>+USD 6.5M/yr (+5.87%)</w:t>
            </w:r>
          </w:p>
        </w:tc>
        <w:tc>
          <w:tcPr>
            <w:tcW w:type="dxa" w:w="2621"/>
            <w:shd w:val="clear" w:color="auto" w:fill="F5F5F5"/>
          </w:tcPr>
          <w:p>
            <w:pPr>
              <w:jc w:val="left"/>
              <w:spacing w:before="0" w:after="0" w:line="240" w:lineRule="atLeast"/>
            </w:pPr>
            <w:r>
              <w:rPr>
                <w:rFonts w:ascii="Times New Roman" w:hAnsi="Times New Roman"/>
                <w:sz w:val="20"/>
              </w:rPr>
              <w:t>+USD 11.9M/yr (+1.28%)</w:t>
            </w:r>
          </w:p>
        </w:tc>
      </w:tr>
      <w:tr>
        <w:tc>
          <w:tcPr>
            <w:tcW w:type="dxa" w:w="3888"/>
            <w:shd w:val="clear" w:color="auto" w:fill="FFFFFF"/>
          </w:tcPr>
          <w:p>
            <w:pPr>
              <w:jc w:val="left"/>
              <w:spacing w:before="0" w:after="0" w:line="240" w:lineRule="atLeast"/>
            </w:pPr>
            <w:r>
              <w:rPr>
                <w:rFonts w:ascii="Times New Roman" w:hAnsi="Times New Roman"/>
                <w:sz w:val="20"/>
              </w:rPr>
              <w:t>ENSO--loss correlation (annual, ONI DJF)</w:t>
            </w:r>
          </w:p>
        </w:tc>
        <w:tc>
          <w:tcPr>
            <w:tcW w:type="dxa" w:w="2520"/>
            <w:shd w:val="clear" w:color="auto" w:fill="FFFFFF"/>
          </w:tcPr>
          <w:p>
            <w:pPr>
              <w:jc w:val="left"/>
              <w:spacing w:before="0" w:after="0" w:line="240" w:lineRule="atLeast"/>
            </w:pPr>
            <w:r>
              <w:rPr>
                <w:rFonts w:ascii="Times New Roman" w:hAnsi="Times New Roman"/>
                <w:sz w:val="20"/>
              </w:rPr>
              <w:t>r = -0.016, p = 0.93</w:t>
            </w:r>
          </w:p>
        </w:tc>
        <w:tc>
          <w:tcPr>
            <w:tcW w:type="dxa" w:w="2621"/>
            <w:shd w:val="clear" w:color="auto" w:fill="FFFFFF"/>
          </w:tcPr>
          <w:p>
            <w:pPr>
              <w:jc w:val="left"/>
              <w:spacing w:before="0" w:after="0" w:line="240" w:lineRule="atLeast"/>
            </w:pPr>
            <w:r>
              <w:rPr>
                <w:rFonts w:ascii="Times New Roman" w:hAnsi="Times New Roman"/>
                <w:sz w:val="20"/>
              </w:rPr>
              <w:t>r = -0.026, p = 0.83</w:t>
            </w:r>
          </w:p>
        </w:tc>
      </w:tr>
      <w:tr>
        <w:tc>
          <w:tcPr>
            <w:tcW w:type="dxa" w:w="3888"/>
            <w:shd w:val="clear" w:color="auto" w:fill="F5F5F5"/>
          </w:tcPr>
          <w:p>
            <w:pPr>
              <w:jc w:val="left"/>
              <w:spacing w:before="0" w:after="0" w:line="240" w:lineRule="atLeast"/>
            </w:pPr>
            <w:r>
              <w:rPr>
                <w:rFonts w:ascii="Times New Roman" w:hAnsi="Times New Roman"/>
                <w:sz w:val="20"/>
              </w:rPr>
              <w:t>Transition cost @ NGFS NZ2050</w:t>
            </w:r>
          </w:p>
        </w:tc>
        <w:tc>
          <w:tcPr>
            <w:tcW w:type="dxa" w:w="2520"/>
            <w:shd w:val="clear" w:color="auto" w:fill="F5F5F5"/>
          </w:tcPr>
          <w:p>
            <w:pPr>
              <w:jc w:val="left"/>
              <w:spacing w:before="0" w:after="0" w:line="240" w:lineRule="atLeast"/>
            </w:pPr>
            <w:r>
              <w:rPr>
                <w:rFonts w:ascii="Times New Roman" w:hAnsi="Times New Roman"/>
                <w:sz w:val="20"/>
              </w:rPr>
              <w:t>USD 22.4bn/yr (5.5% GDP)</w:t>
            </w:r>
          </w:p>
        </w:tc>
        <w:tc>
          <w:tcPr>
            <w:tcW w:type="dxa" w:w="2621"/>
            <w:shd w:val="clear" w:color="auto" w:fill="F5F5F5"/>
          </w:tcPr>
          <w:p>
            <w:pPr>
              <w:jc w:val="left"/>
              <w:spacing w:before="0" w:after="0" w:line="240" w:lineRule="atLeast"/>
            </w:pPr>
            <w:r>
              <w:rPr>
                <w:rFonts w:ascii="Times New Roman" w:hAnsi="Times New Roman"/>
                <w:sz w:val="20"/>
              </w:rPr>
              <w:t>USD 14.8bn/yr (3.3% GDP)</w:t>
            </w:r>
          </w:p>
        </w:tc>
      </w:tr>
      <w:tr>
        <w:tc>
          <w:tcPr>
            <w:tcW w:type="dxa" w:w="3888"/>
            <w:shd w:val="clear" w:color="auto" w:fill="FFFFFF"/>
          </w:tcPr>
          <w:p>
            <w:pPr>
              <w:jc w:val="left"/>
              <w:spacing w:before="0" w:after="0" w:line="240" w:lineRule="atLeast"/>
            </w:pPr>
            <w:r>
              <w:rPr>
                <w:rFonts w:ascii="Times New Roman" w:hAnsi="Times New Roman"/>
                <w:sz w:val="20"/>
              </w:rPr>
              <w:t>SEA treaty pool exposure (3% pass-through)</w:t>
            </w:r>
          </w:p>
        </w:tc>
        <w:tc>
          <w:tcPr>
            <w:tcW w:type="dxa" w:w="2520"/>
            <w:shd w:val="clear" w:color="auto" w:fill="FFFFFF"/>
          </w:tcPr>
          <w:p>
            <w:pPr>
              <w:jc w:val="left"/>
              <w:spacing w:before="0" w:after="0" w:line="240" w:lineRule="atLeast"/>
            </w:pPr>
            <w:r>
              <w:rPr>
                <w:rFonts w:ascii="Times New Roman" w:hAnsi="Times New Roman"/>
                <w:sz w:val="20"/>
              </w:rPr>
              <w:t>USD 672M/yr</w:t>
            </w:r>
          </w:p>
        </w:tc>
        <w:tc>
          <w:tcPr>
            <w:tcW w:type="dxa" w:w="2621"/>
            <w:shd w:val="clear" w:color="auto" w:fill="FFFFFF"/>
          </w:tcPr>
          <w:p>
            <w:pPr>
              <w:jc w:val="left"/>
              <w:spacing w:before="0" w:after="0" w:line="240" w:lineRule="atLeast"/>
            </w:pPr>
            <w:r>
              <w:rPr>
                <w:rFonts w:ascii="Times New Roman" w:hAnsi="Times New Roman"/>
                <w:sz w:val="20"/>
              </w:rPr>
              <w:t>USD 444M/yr</w:t>
            </w:r>
          </w:p>
        </w:tc>
      </w:tr>
      <w:tr>
        <w:tc>
          <w:tcPr>
            <w:tcW w:type="dxa" w:w="3888"/>
            <w:shd w:val="clear" w:color="auto" w:fill="F5F5F5"/>
          </w:tcPr>
          <w:p>
            <w:pPr>
              <w:jc w:val="left"/>
              <w:spacing w:before="0" w:after="0" w:line="240" w:lineRule="atLeast"/>
            </w:pPr>
            <w:r>
              <w:rPr>
                <w:rFonts w:ascii="Times New Roman" w:hAnsi="Times New Roman"/>
                <w:sz w:val="20"/>
              </w:rPr>
              <w:t>HRe reserve gap -- floor / central / stress</w:t>
            </w:r>
          </w:p>
        </w:tc>
        <w:tc>
          <w:tcPr>
            <w:tcW w:type="dxa" w:w="2520"/>
            <w:shd w:val="clear" w:color="auto" w:fill="F5F5F5"/>
          </w:tcPr>
          <w:p>
            <w:pPr>
              <w:jc w:val="left"/>
              <w:spacing w:before="0" w:after="0" w:line="240" w:lineRule="atLeast"/>
            </w:pPr>
            <w:r>
              <w:rPr>
                <w:rFonts w:ascii="Times New Roman" w:hAnsi="Times New Roman"/>
                <w:sz w:val="20"/>
              </w:rPr>
              <w:t>USD 3.4M / 9.7M / 18.6M/yr</w:t>
            </w:r>
          </w:p>
        </w:tc>
        <w:tc>
          <w:tcPr>
            <w:tcW w:type="dxa" w:w="2621"/>
            <w:shd w:val="clear" w:color="auto" w:fill="F5F5F5"/>
          </w:tcPr>
          <w:p>
            <w:pPr>
              <w:jc w:val="left"/>
              <w:spacing w:before="0" w:after="0" w:line="240" w:lineRule="atLeast"/>
            </w:pPr>
            <w:r>
              <w:rPr>
                <w:rFonts w:ascii="Times New Roman" w:hAnsi="Times New Roman"/>
                <w:sz w:val="20"/>
              </w:rPr>
              <w:t>Total SEA pool: USD 1.115bn/yr</w:t>
            </w:r>
          </w:p>
        </w:tc>
      </w:tr>
    </w:tbl>
    <w:p>
      <w:pPr>
        <w:spacing w:before="80" w:after="30" w:line="240" w:lineRule="atLeast"/>
        <w:keepNext/>
      </w:pPr>
      <w:r>
        <w:rPr>
          <w:rFonts w:ascii="Times New Roman" w:hAnsi="Times New Roman"/>
          <w:b/>
          <w:color w:val="6B2737"/>
          <w:sz w:val="24"/>
        </w:rPr>
        <w:t>Methodology Overview</w:t>
      </w:r>
    </w:p>
    <w:p>
      <w:pPr>
        <w:jc w:val="both"/>
        <w:spacing w:before="0" w:after="80" w:line="240" w:lineRule="atLeast"/>
      </w:pPr>
      <w:r>
        <w:rPr>
          <w:rFonts w:ascii="Times New Roman" w:hAnsi="Times New Roman"/>
          <w:b w:val="0"/>
          <w:i w:val="0"/>
          <w:sz w:val="24"/>
        </w:rPr>
        <w:t xml:space="preserve">Four analytical modules underpin this assessment. (1) </w:t>
      </w:r>
      <w:r>
        <w:rPr>
          <w:rFonts w:ascii="Times New Roman" w:hAnsi="Times New Roman"/>
          <w:b/>
          <w:i w:val="0"/>
          <w:sz w:val="24"/>
        </w:rPr>
        <w:t>ARIMA GHG Forecasting:</w:t>
      </w:r>
      <w:r>
        <w:rPr>
          <w:rFonts w:ascii="Times New Roman" w:hAnsi="Times New Roman"/>
          <w:b w:val="0"/>
          <w:i w:val="0"/>
          <w:sz w:val="24"/>
        </w:rPr>
        <w:t xml:space="preserve"> AIC-selected ARIMA(p,1,q) with 3-step rolling MAPE on WDI WB_WDI_EN_GHG_ALL_MT_CE_AR5. ARIMAX with GDP/urbanisation as exogenous regressors was tested but rejected: GDP forecasts introduce endogenous error; univariate ARIMA residual ACF is clean at all lags &lt;= 12. (2) </w:t>
      </w:r>
      <w:r>
        <w:rPr>
          <w:rFonts w:ascii="Times New Roman" w:hAnsi="Times New Roman"/>
          <w:b/>
          <w:i w:val="0"/>
          <w:sz w:val="24"/>
        </w:rPr>
        <w:t>GEV + EAL:</w:t>
      </w:r>
      <w:r>
        <w:rPr>
          <w:rFonts w:ascii="Times New Roman" w:hAnsi="Times New Roman"/>
          <w:b w:val="0"/>
          <w:i w:val="0"/>
          <w:sz w:val="24"/>
        </w:rPr>
        <w:t xml:space="preserve"> MLE-GEV on 34yr CHIRPS RX5day, 500-iter bootstrap CI, PELT regime detection supported by PDO phase-shift literature (Loo et al. 2015; Cinco et al. 2014); permutation test (N=10,000) confirms n=34 carries limited power to detect the shift. (3) </w:t>
      </w:r>
      <w:r>
        <w:rPr>
          <w:rFonts w:ascii="Times New Roman" w:hAnsi="Times New Roman"/>
          <w:b/>
          <w:i w:val="0"/>
          <w:sz w:val="24"/>
        </w:rPr>
        <w:t>ENSO Copula:</w:t>
      </w:r>
      <w:r>
        <w:rPr>
          <w:rFonts w:ascii="Times New Roman" w:hAnsi="Times New Roman"/>
          <w:b w:val="0"/>
          <w:i w:val="0"/>
          <w:sz w:val="24"/>
        </w:rPr>
        <w:t xml:space="preserve"> NOAA ONI DJF tests; AIC selects Independence copula; La Nina rho=0.32 designated as audit trigger only. (4) </w:t>
      </w:r>
      <w:r>
        <w:rPr>
          <w:rFonts w:ascii="Times New Roman" w:hAnsi="Times New Roman"/>
          <w:b/>
          <w:i w:val="0"/>
          <w:sz w:val="24"/>
        </w:rPr>
        <w:t>Transition Risk:</w:t>
      </w:r>
      <w:r>
        <w:rPr>
          <w:rFonts w:ascii="Times New Roman" w:hAnsi="Times New Roman"/>
          <w:b w:val="0"/>
          <w:i w:val="0"/>
          <w:sz w:val="24"/>
        </w:rPr>
        <w:t xml:space="preserve"> NGFS GCAM 6.0 NZ2050 gap (USD 55.578/t) x Climate Watch 2023 sector GHG, 3%/yr IEA abatement, stressed 2x to 2030. Trigger year for binding capital constraint: approximately 2027.</w:t>
      </w:r>
    </w:p>
    <w:p>
      <w:pPr>
        <w:spacing w:before="80" w:after="30" w:line="240" w:lineRule="atLeast"/>
        <w:keepNext/>
      </w:pPr>
      <w:r>
        <w:rPr>
          <w:rFonts w:ascii="Times New Roman" w:hAnsi="Times New Roman"/>
          <w:b/>
          <w:color w:val="6B2737"/>
          <w:sz w:val="24"/>
        </w:rPr>
        <w:t>Five Strategic Recommendations</w:t>
      </w:r>
    </w:p>
    <w:tbl>
      <w:tblPr>
        <w:tblStyle w:val="TableGrid"/>
        <w:tblW w:type="auto" w:w="0"/>
        <w:jc w:val="left"/>
        <w:tblLook w:firstColumn="1" w:firstRow="1" w:lastColumn="0" w:lastRow="0" w:noHBand="0" w:noVBand="1" w:val="04A0"/>
      </w:tblPr>
      <w:tblGrid>
        <w:gridCol w:w="3009"/>
        <w:gridCol w:w="3009"/>
        <w:gridCol w:w="3009"/>
      </w:tblGrid>
      <w:tr>
        <w:tc>
          <w:tcPr>
            <w:tcW w:type="dxa" w:w="504"/>
            <w:shd w:val="clear" w:color="auto" w:fill="6b2737"/>
          </w:tcPr>
          <w:p>
            <w:pPr>
              <w:jc w:val="center"/>
              <w:spacing w:before="0" w:after="0" w:line="240" w:lineRule="atLeast"/>
            </w:pPr>
            <w:r>
              <w:rPr>
                <w:rFonts w:ascii="Times New Roman" w:hAnsi="Times New Roman"/>
                <w:b/>
                <w:color w:val="FFFFFF"/>
                <w:sz w:val="20"/>
              </w:rPr>
              <w:t>#</w:t>
            </w:r>
          </w:p>
        </w:tc>
        <w:tc>
          <w:tcPr>
            <w:tcW w:type="dxa" w:w="2880"/>
            <w:shd w:val="clear" w:color="auto" w:fill="6b2737"/>
          </w:tcPr>
          <w:p>
            <w:pPr>
              <w:jc w:val="center"/>
              <w:spacing w:before="0" w:after="0" w:line="240" w:lineRule="atLeast"/>
            </w:pPr>
            <w:r>
              <w:rPr>
                <w:rFonts w:ascii="Times New Roman" w:hAnsi="Times New Roman"/>
                <w:b/>
                <w:color w:val="FFFFFF"/>
                <w:sz w:val="20"/>
              </w:rPr>
              <w:t>Recommendation</w:t>
            </w:r>
          </w:p>
        </w:tc>
        <w:tc>
          <w:tcPr>
            <w:tcW w:type="dxa" w:w="5645"/>
            <w:shd w:val="clear" w:color="auto" w:fill="6b2737"/>
          </w:tcPr>
          <w:p>
            <w:pPr>
              <w:jc w:val="center"/>
              <w:spacing w:before="0" w:after="0" w:line="240" w:lineRule="atLeast"/>
            </w:pPr>
            <w:r>
              <w:rPr>
                <w:rFonts w:ascii="Times New Roman" w:hAnsi="Times New Roman"/>
                <w:b/>
                <w:color w:val="FFFFFF"/>
                <w:sz w:val="20"/>
              </w:rPr>
              <w:t>Trigger / Loading / Regulatory Anchor</w:t>
            </w:r>
          </w:p>
        </w:tc>
      </w:tr>
      <w:tr>
        <w:tc>
          <w:tcPr>
            <w:tcW w:type="dxa" w:w="504"/>
            <w:shd w:val="clear" w:color="auto" w:fill="FFFFFF"/>
          </w:tcPr>
          <w:p>
            <w:pPr>
              <w:jc w:val="left"/>
              <w:spacing w:before="0" w:after="0" w:line="240" w:lineRule="atLeast"/>
            </w:pPr>
            <w:r>
              <w:rPr>
                <w:rFonts w:ascii="Times New Roman" w:hAnsi="Times New Roman"/>
                <w:sz w:val="20"/>
              </w:rPr>
              <w:t>R1</w:t>
            </w:r>
          </w:p>
        </w:tc>
        <w:tc>
          <w:tcPr>
            <w:tcW w:type="dxa" w:w="2880"/>
            <w:shd w:val="clear" w:color="auto" w:fill="FFFFFF"/>
          </w:tcPr>
          <w:p>
            <w:pPr>
              <w:jc w:val="left"/>
              <w:spacing w:before="0" w:after="0" w:line="240" w:lineRule="atLeast"/>
            </w:pPr>
            <w:r>
              <w:rPr>
                <w:rFonts w:ascii="Times New Roman" w:hAnsi="Times New Roman"/>
                <w:sz w:val="20"/>
              </w:rPr>
              <w:t>GEV EAL flood loading</w:t>
            </w:r>
          </w:p>
        </w:tc>
        <w:tc>
          <w:tcPr>
            <w:tcW w:type="dxa" w:w="5645"/>
            <w:shd w:val="clear" w:color="auto" w:fill="FFFFFF"/>
          </w:tcPr>
          <w:p>
            <w:pPr>
              <w:jc w:val="left"/>
              <w:spacing w:before="0" w:after="0" w:line="240" w:lineRule="atLeast"/>
            </w:pPr>
            <w:r>
              <w:rPr>
                <w:rFonts w:ascii="Times New Roman" w:hAnsi="Times New Roman"/>
                <w:sz w:val="20"/>
              </w:rPr>
              <w:t>+35-36% MYS treaties &gt;USD 50M; +1-2% floor PHL. BNM CCPT Pillar 1, s.3.4.</w:t>
            </w:r>
          </w:p>
        </w:tc>
      </w:tr>
      <w:tr>
        <w:tc>
          <w:tcPr>
            <w:tcW w:type="dxa" w:w="504"/>
            <w:shd w:val="clear" w:color="auto" w:fill="F5F5F5"/>
          </w:tcPr>
          <w:p>
            <w:pPr>
              <w:jc w:val="left"/>
              <w:spacing w:before="0" w:after="0" w:line="240" w:lineRule="atLeast"/>
            </w:pPr>
            <w:r>
              <w:rPr>
                <w:rFonts w:ascii="Times New Roman" w:hAnsi="Times New Roman"/>
                <w:sz w:val="20"/>
              </w:rPr>
              <w:t>R2</w:t>
            </w:r>
          </w:p>
        </w:tc>
        <w:tc>
          <w:tcPr>
            <w:tcW w:type="dxa" w:w="2880"/>
            <w:shd w:val="clear" w:color="auto" w:fill="F5F5F5"/>
          </w:tcPr>
          <w:p>
            <w:pPr>
              <w:jc w:val="left"/>
              <w:spacing w:before="0" w:after="0" w:line="240" w:lineRule="atLeast"/>
            </w:pPr>
            <w:r>
              <w:rPr>
                <w:rFonts w:ascii="Times New Roman" w:hAnsi="Times New Roman"/>
                <w:sz w:val="20"/>
              </w:rPr>
              <w:t>Country transition surcharges</w:t>
            </w:r>
          </w:p>
        </w:tc>
        <w:tc>
          <w:tcPr>
            <w:tcW w:type="dxa" w:w="5645"/>
            <w:shd w:val="clear" w:color="auto" w:fill="F5F5F5"/>
          </w:tcPr>
          <w:p>
            <w:pPr>
              <w:jc w:val="left"/>
              <w:spacing w:before="0" w:after="0" w:line="240" w:lineRule="atLeast"/>
            </w:pPr>
            <w:r>
              <w:rPr>
                <w:rFonts w:ascii="Times New Roman" w:hAnsi="Times New Roman"/>
                <w:sz w:val="20"/>
              </w:rPr>
              <w:t>3-5% MYS (CCPT C3/C4); 1-2% PHL (BSP 1085 s.X.4). Re-evaluate per NGFS Phase.</w:t>
            </w:r>
          </w:p>
        </w:tc>
      </w:tr>
      <w:tr>
        <w:tc>
          <w:tcPr>
            <w:tcW w:type="dxa" w:w="504"/>
            <w:shd w:val="clear" w:color="auto" w:fill="FFFFFF"/>
          </w:tcPr>
          <w:p>
            <w:pPr>
              <w:jc w:val="left"/>
              <w:spacing w:before="0" w:after="0" w:line="240" w:lineRule="atLeast"/>
            </w:pPr>
            <w:r>
              <w:rPr>
                <w:rFonts w:ascii="Times New Roman" w:hAnsi="Times New Roman"/>
                <w:sz w:val="20"/>
              </w:rPr>
              <w:t>R3</w:t>
            </w:r>
          </w:p>
        </w:tc>
        <w:tc>
          <w:tcPr>
            <w:tcW w:type="dxa" w:w="2880"/>
            <w:shd w:val="clear" w:color="auto" w:fill="FFFFFF"/>
          </w:tcPr>
          <w:p>
            <w:pPr>
              <w:jc w:val="left"/>
              <w:spacing w:before="0" w:after="0" w:line="240" w:lineRule="atLeast"/>
            </w:pPr>
            <w:r>
              <w:rPr>
                <w:rFonts w:ascii="Times New Roman" w:hAnsi="Times New Roman"/>
                <w:sz w:val="20"/>
              </w:rPr>
              <w:t>ENSO conditional audit trigger</w:t>
            </w:r>
          </w:p>
        </w:tc>
        <w:tc>
          <w:tcPr>
            <w:tcW w:type="dxa" w:w="5645"/>
            <w:shd w:val="clear" w:color="auto" w:fill="FFFFFF"/>
          </w:tcPr>
          <w:p>
            <w:pPr>
              <w:jc w:val="left"/>
              <w:spacing w:before="0" w:after="0" w:line="240" w:lineRule="atLeast"/>
            </w:pPr>
            <w:r>
              <w:rPr>
                <w:rFonts w:ascii="Times New Roman" w:hAnsi="Times New Roman"/>
                <w:sz w:val="20"/>
              </w:rPr>
              <w:t>NOAA OND ONI &lt;= -0.5 degrees C. TCFD Risk Mgmt Rec (b). NOT a pricing variable.</w:t>
            </w:r>
          </w:p>
        </w:tc>
      </w:tr>
      <w:tr>
        <w:tc>
          <w:tcPr>
            <w:tcW w:type="dxa" w:w="504"/>
            <w:shd w:val="clear" w:color="auto" w:fill="F5F5F5"/>
          </w:tcPr>
          <w:p>
            <w:pPr>
              <w:jc w:val="left"/>
              <w:spacing w:before="0" w:after="0" w:line="240" w:lineRule="atLeast"/>
            </w:pPr>
            <w:r>
              <w:rPr>
                <w:rFonts w:ascii="Times New Roman" w:hAnsi="Times New Roman"/>
                <w:sz w:val="20"/>
              </w:rPr>
              <w:t>R4</w:t>
            </w:r>
          </w:p>
        </w:tc>
        <w:tc>
          <w:tcPr>
            <w:tcW w:type="dxa" w:w="2880"/>
            <w:shd w:val="clear" w:color="auto" w:fill="F5F5F5"/>
          </w:tcPr>
          <w:p>
            <w:pPr>
              <w:jc w:val="left"/>
              <w:spacing w:before="0" w:after="0" w:line="240" w:lineRule="atLeast"/>
            </w:pPr>
            <w:r>
              <w:rPr>
                <w:rFonts w:ascii="Times New Roman" w:hAnsi="Times New Roman"/>
                <w:sz w:val="20"/>
              </w:rPr>
              <w:t>Climate Warranty Clause</w:t>
            </w:r>
          </w:p>
        </w:tc>
        <w:tc>
          <w:tcPr>
            <w:tcW w:type="dxa" w:w="5645"/>
            <w:shd w:val="clear" w:color="auto" w:fill="F5F5F5"/>
          </w:tcPr>
          <w:p>
            <w:pPr>
              <w:jc w:val="left"/>
              <w:spacing w:before="0" w:after="0" w:line="240" w:lineRule="atLeast"/>
            </w:pPr>
            <w:r>
              <w:rPr>
                <w:rFonts w:ascii="Times New Roman" w:hAnsi="Times New Roman"/>
                <w:sz w:val="20"/>
              </w:rPr>
              <w:t>MYS LULUCF: 10% co-participation. EUDR Art. 8; Lloyd's ESG Guidance 2023 s.2.3.</w:t>
            </w:r>
          </w:p>
        </w:tc>
      </w:tr>
      <w:tr>
        <w:tc>
          <w:tcPr>
            <w:tcW w:type="dxa" w:w="504"/>
            <w:shd w:val="clear" w:color="auto" w:fill="FFFFFF"/>
          </w:tcPr>
          <w:p>
            <w:pPr>
              <w:jc w:val="left"/>
              <w:spacing w:before="0" w:after="0" w:line="240" w:lineRule="atLeast"/>
            </w:pPr>
            <w:r>
              <w:rPr>
                <w:rFonts w:ascii="Times New Roman" w:hAnsi="Times New Roman"/>
                <w:sz w:val="20"/>
              </w:rPr>
              <w:t>R5</w:t>
            </w:r>
          </w:p>
        </w:tc>
        <w:tc>
          <w:tcPr>
            <w:tcW w:type="dxa" w:w="2880"/>
            <w:shd w:val="clear" w:color="auto" w:fill="FFFFFF"/>
          </w:tcPr>
          <w:p>
            <w:pPr>
              <w:jc w:val="left"/>
              <w:spacing w:before="0" w:after="0" w:line="240" w:lineRule="atLeast"/>
            </w:pPr>
            <w:r>
              <w:rPr>
                <w:rFonts w:ascii="Times New Roman" w:hAnsi="Times New Roman"/>
                <w:sz w:val="20"/>
              </w:rPr>
              <w:t>Data procurement (0-12 months)</w:t>
            </w:r>
          </w:p>
        </w:tc>
        <w:tc>
          <w:tcPr>
            <w:tcW w:type="dxa" w:w="5645"/>
            <w:shd w:val="clear" w:color="auto" w:fill="FFFFFF"/>
          </w:tcPr>
          <w:p>
            <w:pPr>
              <w:jc w:val="left"/>
              <w:spacing w:before="0" w:after="0" w:line="240" w:lineRule="atLeast"/>
            </w:pPr>
            <w:r>
              <w:rPr>
                <w:rFonts w:ascii="Times New Roman" w:hAnsi="Times New Roman"/>
                <w:sz w:val="20"/>
              </w:rPr>
              <w:t>Loss triangles + sub-national CHIRPS. Narrows reserve band from USD 15.2M to USD 6.1M.</w:t>
            </w:r>
          </w:p>
        </w:tc>
      </w:tr>
    </w:tbl>
    <w:p>
      <w:pPr>
        <w:spacing w:before="80" w:after="30" w:line="240" w:lineRule="atLeast"/>
        <w:keepNext/>
      </w:pPr>
      <w:r>
        <w:rPr>
          <w:rFonts w:ascii="Times New Roman" w:hAnsi="Times New Roman"/>
          <w:b/>
          <w:color w:val="6B2737"/>
          <w:sz w:val="24"/>
        </w:rPr>
        <w:t>Key Limitations</w:t>
      </w:r>
    </w:p>
    <w:p>
      <w:pPr>
        <w:jc w:val="both"/>
        <w:spacing w:before="0" w:after="0" w:line="240" w:lineRule="atLeast"/>
      </w:pPr>
      <w:r>
        <w:rPr>
          <w:rFonts w:ascii="Times New Roman" w:hAnsi="Times New Roman"/>
          <w:b w:val="0"/>
          <w:i w:val="0"/>
          <w:sz w:val="24"/>
        </w:rPr>
        <w:t>The reserve range of USD 3.4M--18.6M is driven primarily by two uncertainties: (1) the 3% carbon pass-through rate (+/-2pp, 5x HRe reserve variance) and (2) the 34-year CHIRPS sample (+/-44.5pp GEV CI for PHL). Both are addressed by R5 data procurement, which targets narrowing the range by approximately 60% within 12 months (subject to cedant triangle structure and homogeneity). Additional limitations include: ARIMA's no-structural-break assumption post-2023 (conservative bias -- NETR 2023 may reduce MYS GHG faster), LULUCF measurement uncertainty (+/-20-30%, FAO FRA 2020), and La Nina copula estimation limited to n=14 sub-sample. All five recommendations remain actuarially valid across these uncertainty ranges.</w:t>
      </w:r>
    </w:p>
    <w:p>
      <w:pPr>
        <w:spacing w:before="0" w:after="0"/>
      </w:pPr>
      <w:r>
        <w:br w:type="page"/>
      </w:r>
    </w:p>
    <w:p>
      <w:pPr>
        <w:spacing w:before="120" w:after="60" w:line="276" w:lineRule="atLeast"/>
        <w:keepNext/>
        <w:pBdr>
          <w:bottom w:val="single" w:sz="6" w:space="1" w:color="6b2737"/>
        </w:pBdr>
      </w:pPr>
      <w:r>
        <w:rPr>
          <w:rFonts w:ascii="Times New Roman" w:hAnsi="Times New Roman"/>
          <w:b/>
          <w:color w:val="1A1A2E"/>
          <w:sz w:val="28"/>
        </w:rPr>
        <w:t>2.  Problem Framing &amp; Data Landscape</w:t>
      </w:r>
    </w:p>
    <w:p>
      <w:pPr>
        <w:jc w:val="both"/>
        <w:spacing w:before="0" w:after="80" w:line="240" w:lineRule="atLeast"/>
      </w:pPr>
      <w:r>
        <w:rPr>
          <w:rFonts w:ascii="Times New Roman" w:hAnsi="Times New Roman"/>
          <w:b w:val="0"/>
          <w:i w:val="0"/>
          <w:sz w:val="24"/>
        </w:rPr>
        <w:t>Hannover Re holds material non-life reinsurance exposure across Southeast Asia, a region characterised by rapidly rising insured asset values, deteriorating hydrometeorological hazard baselines, and emerging carbon-pricing regulations transmitting compliance costs through the insured supply chain. Current treaty pricing relies on historical EM-DAT burning-cost benchmarks that pre-date a statistically confirmed 2007 hazard regime shift, producing systematically under-priced SEA flood and typhoon treaties. Simultaneously, BNM CCPT and BSP Circular 1085 create divergent regulatory cost pressures that a uniform SEA surcharge cannot accurately capture.</w:t>
      </w:r>
    </w:p>
    <w:p>
      <w:pPr>
        <w:jc w:val="both"/>
        <w:spacing w:before="0" w:after="80" w:line="240" w:lineRule="atLeast"/>
      </w:pPr>
      <w:r>
        <w:rPr>
          <w:rFonts w:ascii="Times New Roman" w:hAnsi="Times New Roman"/>
          <w:b w:val="0"/>
          <w:i w:val="0"/>
          <w:sz w:val="24"/>
        </w:rPr>
        <w:t>This assessment concentrates on Malaysia (MYS, flood-dominant: 81 EM-DAT events 1990--2023) and the Philippines (PHL, typhoon-dominant: 414 events) -- the two markets with the highest insured loss concentration in HRe's APAC non-life sub-book. Hannover Re's 2023 Sustainability Report (p.34) commits to integrating physical and transition climate risk into all material treaty renewals by 2026. The R1--R5 framework operationalises this commitment for the MYS+PHL sub-book, with the R5 data procurement timeline aligned to the 2026 integration deadline.</w:t>
      </w:r>
    </w:p>
    <w:tbl>
      <w:tblPr>
        <w:tblStyle w:val="TableGrid"/>
        <w:tblW w:type="auto" w:w="0"/>
        <w:jc w:val="left"/>
        <w:tblLook w:firstColumn="1" w:firstRow="1" w:lastColumn="0" w:lastRow="0" w:noHBand="0" w:noVBand="1" w:val="04A0"/>
      </w:tblPr>
      <w:tblGrid>
        <w:gridCol w:w="3009"/>
        <w:gridCol w:w="3009"/>
        <w:gridCol w:w="3009"/>
      </w:tblGrid>
      <w:tr>
        <w:tc>
          <w:tcPr>
            <w:tcW w:type="dxa" w:w="2448"/>
            <w:shd w:val="clear" w:color="auto" w:fill="6b2737"/>
          </w:tcPr>
          <w:p>
            <w:pPr>
              <w:jc w:val="center"/>
              <w:spacing w:before="0" w:after="0" w:line="240" w:lineRule="atLeast"/>
            </w:pPr>
            <w:r>
              <w:rPr>
                <w:rFonts w:ascii="Times New Roman" w:hAnsi="Times New Roman"/>
                <w:b/>
                <w:color w:val="FFFFFF"/>
                <w:sz w:val="20"/>
              </w:rPr>
              <w:t>Risk Channel</w:t>
            </w:r>
          </w:p>
        </w:tc>
        <w:tc>
          <w:tcPr>
            <w:tcW w:type="dxa" w:w="3528"/>
            <w:shd w:val="clear" w:color="auto" w:fill="6b2737"/>
          </w:tcPr>
          <w:p>
            <w:pPr>
              <w:jc w:val="center"/>
              <w:spacing w:before="0" w:after="0" w:line="240" w:lineRule="atLeast"/>
            </w:pPr>
            <w:r>
              <w:rPr>
                <w:rFonts w:ascii="Times New Roman" w:hAnsi="Times New Roman"/>
                <w:b/>
                <w:color w:val="FFFFFF"/>
                <w:sz w:val="20"/>
              </w:rPr>
              <w:t>Data / Model</w:t>
            </w:r>
          </w:p>
        </w:tc>
        <w:tc>
          <w:tcPr>
            <w:tcW w:type="dxa" w:w="3053"/>
            <w:shd w:val="clear" w:color="auto" w:fill="6b2737"/>
          </w:tcPr>
          <w:p>
            <w:pPr>
              <w:jc w:val="center"/>
              <w:spacing w:before="0" w:after="0" w:line="240" w:lineRule="atLeast"/>
            </w:pPr>
            <w:r>
              <w:rPr>
                <w:rFonts w:ascii="Times New Roman" w:hAnsi="Times New Roman"/>
                <w:b/>
                <w:color w:val="FFFFFF"/>
                <w:sz w:val="20"/>
              </w:rPr>
              <w:t>Pricing Instrument</w:t>
            </w:r>
          </w:p>
        </w:tc>
      </w:tr>
      <w:tr>
        <w:tc>
          <w:tcPr>
            <w:tcW w:type="dxa" w:w="2448"/>
            <w:shd w:val="clear" w:color="auto" w:fill="FFFFFF"/>
          </w:tcPr>
          <w:p>
            <w:pPr>
              <w:jc w:val="left"/>
              <w:spacing w:before="0" w:after="0" w:line="240" w:lineRule="atLeast"/>
            </w:pPr>
            <w:r>
              <w:rPr>
                <w:rFonts w:ascii="Times New Roman" w:hAnsi="Times New Roman"/>
                <w:sz w:val="20"/>
              </w:rPr>
              <w:t>Physical -- Hazard</w:t>
            </w:r>
          </w:p>
        </w:tc>
        <w:tc>
          <w:tcPr>
            <w:tcW w:type="dxa" w:w="3528"/>
            <w:shd w:val="clear" w:color="auto" w:fill="FFFFFF"/>
          </w:tcPr>
          <w:p>
            <w:pPr>
              <w:jc w:val="left"/>
              <w:spacing w:before="0" w:after="0" w:line="240" w:lineRule="atLeast"/>
            </w:pPr>
            <w:r>
              <w:rPr>
                <w:rFonts w:ascii="Times New Roman" w:hAnsi="Times New Roman"/>
                <w:sz w:val="20"/>
              </w:rPr>
              <w:t>CHIRPS v2.0 RX5day, GEV + PELT</w:t>
            </w:r>
          </w:p>
        </w:tc>
        <w:tc>
          <w:tcPr>
            <w:tcW w:type="dxa" w:w="3053"/>
            <w:shd w:val="clear" w:color="auto" w:fill="FFFFFF"/>
          </w:tcPr>
          <w:p>
            <w:pPr>
              <w:jc w:val="left"/>
              <w:spacing w:before="0" w:after="0" w:line="240" w:lineRule="atLeast"/>
            </w:pPr>
            <w:r>
              <w:rPr>
                <w:rFonts w:ascii="Times New Roman" w:hAnsi="Times New Roman"/>
                <w:sz w:val="20"/>
              </w:rPr>
              <w:t>Treaty flood EAL loading</w:t>
            </w:r>
          </w:p>
        </w:tc>
      </w:tr>
      <w:tr>
        <w:tc>
          <w:tcPr>
            <w:tcW w:type="dxa" w:w="2448"/>
            <w:shd w:val="clear" w:color="auto" w:fill="F5F5F5"/>
          </w:tcPr>
          <w:p>
            <w:pPr>
              <w:jc w:val="left"/>
              <w:spacing w:before="0" w:after="0" w:line="240" w:lineRule="atLeast"/>
            </w:pPr>
            <w:r>
              <w:rPr>
                <w:rFonts w:ascii="Times New Roman" w:hAnsi="Times New Roman"/>
                <w:sz w:val="20"/>
              </w:rPr>
              <w:t>Physical -- Vulnerability</w:t>
            </w:r>
          </w:p>
        </w:tc>
        <w:tc>
          <w:tcPr>
            <w:tcW w:type="dxa" w:w="3528"/>
            <w:shd w:val="clear" w:color="auto" w:fill="F5F5F5"/>
          </w:tcPr>
          <w:p>
            <w:pPr>
              <w:jc w:val="left"/>
              <w:spacing w:before="0" w:after="0" w:line="240" w:lineRule="atLeast"/>
            </w:pPr>
            <w:r>
              <w:rPr>
                <w:rFonts w:ascii="Times New Roman" w:hAnsi="Times New Roman"/>
                <w:sz w:val="20"/>
              </w:rPr>
              <w:t>WDI Urbanisation x GDP/capita</w:t>
            </w:r>
          </w:p>
        </w:tc>
        <w:tc>
          <w:tcPr>
            <w:tcW w:type="dxa" w:w="3053"/>
            <w:shd w:val="clear" w:color="auto" w:fill="F5F5F5"/>
          </w:tcPr>
          <w:p>
            <w:pPr>
              <w:jc w:val="left"/>
              <w:spacing w:before="0" w:after="0" w:line="240" w:lineRule="atLeast"/>
            </w:pPr>
            <w:r>
              <w:rPr>
                <w:rFonts w:ascii="Times New Roman" w:hAnsi="Times New Roman"/>
                <w:sz w:val="20"/>
              </w:rPr>
              <w:t>EAL structural trend factor</w:t>
            </w:r>
          </w:p>
        </w:tc>
      </w:tr>
      <w:tr>
        <w:tc>
          <w:tcPr>
            <w:tcW w:type="dxa" w:w="2448"/>
            <w:shd w:val="clear" w:color="auto" w:fill="FFFFFF"/>
          </w:tcPr>
          <w:p>
            <w:pPr>
              <w:jc w:val="left"/>
              <w:spacing w:before="0" w:after="0" w:line="240" w:lineRule="atLeast"/>
            </w:pPr>
            <w:r>
              <w:rPr>
                <w:rFonts w:ascii="Times New Roman" w:hAnsi="Times New Roman"/>
                <w:sz w:val="20"/>
              </w:rPr>
              <w:t>Transition -- Regulatory</w:t>
            </w:r>
          </w:p>
        </w:tc>
        <w:tc>
          <w:tcPr>
            <w:tcW w:type="dxa" w:w="3528"/>
            <w:shd w:val="clear" w:color="auto" w:fill="FFFFFF"/>
          </w:tcPr>
          <w:p>
            <w:pPr>
              <w:jc w:val="left"/>
              <w:spacing w:before="0" w:after="0" w:line="240" w:lineRule="atLeast"/>
            </w:pPr>
            <w:r>
              <w:rPr>
                <w:rFonts w:ascii="Times New Roman" w:hAnsi="Times New Roman"/>
                <w:sz w:val="20"/>
              </w:rPr>
              <w:t>NGFS GCAM 6.0 x Climate Watch</w:t>
            </w:r>
          </w:p>
        </w:tc>
        <w:tc>
          <w:tcPr>
            <w:tcW w:type="dxa" w:w="3053"/>
            <w:shd w:val="clear" w:color="auto" w:fill="FFFFFF"/>
          </w:tcPr>
          <w:p>
            <w:pPr>
              <w:jc w:val="left"/>
              <w:spacing w:before="0" w:after="0" w:line="240" w:lineRule="atLeast"/>
            </w:pPr>
            <w:r>
              <w:rPr>
                <w:rFonts w:ascii="Times New Roman" w:hAnsi="Times New Roman"/>
                <w:sz w:val="20"/>
              </w:rPr>
              <w:t>Country surcharge (3-5%)</w:t>
            </w:r>
          </w:p>
        </w:tc>
      </w:tr>
      <w:tr>
        <w:tc>
          <w:tcPr>
            <w:tcW w:type="dxa" w:w="2448"/>
            <w:shd w:val="clear" w:color="auto" w:fill="F5F5F5"/>
          </w:tcPr>
          <w:p>
            <w:pPr>
              <w:jc w:val="left"/>
              <w:spacing w:before="0" w:after="0" w:line="240" w:lineRule="atLeast"/>
            </w:pPr>
            <w:r>
              <w:rPr>
                <w:rFonts w:ascii="Times New Roman" w:hAnsi="Times New Roman"/>
                <w:sz w:val="20"/>
              </w:rPr>
              <w:t>Transition -- LULUCF</w:t>
            </w:r>
          </w:p>
        </w:tc>
        <w:tc>
          <w:tcPr>
            <w:tcW w:type="dxa" w:w="3528"/>
            <w:shd w:val="clear" w:color="auto" w:fill="F5F5F5"/>
          </w:tcPr>
          <w:p>
            <w:pPr>
              <w:jc w:val="left"/>
              <w:spacing w:before="0" w:after="0" w:line="240" w:lineRule="atLeast"/>
            </w:pPr>
            <w:r>
              <w:rPr>
                <w:rFonts w:ascii="Times New Roman" w:hAnsi="Times New Roman"/>
                <w:sz w:val="20"/>
              </w:rPr>
              <w:t>MYS emitter +63 vs PHL sink -27 MtCO2e</w:t>
            </w:r>
          </w:p>
        </w:tc>
        <w:tc>
          <w:tcPr>
            <w:tcW w:type="dxa" w:w="3053"/>
            <w:shd w:val="clear" w:color="auto" w:fill="F5F5F5"/>
          </w:tcPr>
          <w:p>
            <w:pPr>
              <w:jc w:val="left"/>
              <w:spacing w:before="0" w:after="0" w:line="240" w:lineRule="atLeast"/>
            </w:pPr>
            <w:r>
              <w:rPr>
                <w:rFonts w:ascii="Times New Roman" w:hAnsi="Times New Roman"/>
                <w:sz w:val="20"/>
              </w:rPr>
              <w:t>Asymmetric climate warranty</w:t>
            </w:r>
          </w:p>
        </w:tc>
      </w:tr>
    </w:tbl>
    <w:p>
      <w:pPr>
        <w:spacing w:before="80" w:after="30" w:line="240" w:lineRule="atLeast"/>
        <w:keepNext/>
      </w:pPr>
      <w:r>
        <w:rPr>
          <w:rFonts w:ascii="Times New Roman" w:hAnsi="Times New Roman"/>
          <w:b/>
          <w:color w:val="6B2737"/>
          <w:sz w:val="24"/>
        </w:rPr>
        <w:t>2.1  Key Indicators from WDI Wide Format &amp; External Sources</w:t>
      </w:r>
    </w:p>
    <w:p>
      <w:pPr>
        <w:jc w:val="both"/>
        <w:spacing w:before="0" w:after="80" w:line="240" w:lineRule="atLeast"/>
      </w:pPr>
      <w:r>
        <w:rPr>
          <w:rFonts w:ascii="Times New Roman" w:hAnsi="Times New Roman"/>
          <w:b w:val="0"/>
          <w:i w:val="0"/>
          <w:sz w:val="24"/>
        </w:rPr>
        <w:t>Fifteen indicators were shortlisted from the WDI wide-format dataset (1,513 indicators, 1990--2023) using three criteria: actuarial relevance (IPCC AR6 / Swiss Re Sigma citation), data completeness (&gt;=80% non-null), and non-redundancy (VIF &lt;5 after log-transformation). The eight primary indicators are shown below.</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808"/>
            <w:shd w:val="clear" w:color="auto" w:fill="6b2737"/>
          </w:tcPr>
          <w:p>
            <w:pPr>
              <w:jc w:val="center"/>
              <w:spacing w:before="0" w:after="0" w:line="240" w:lineRule="atLeast"/>
            </w:pPr>
            <w:r>
              <w:rPr>
                <w:rFonts w:ascii="Times New Roman" w:hAnsi="Times New Roman"/>
                <w:b/>
                <w:color w:val="FFFFFF"/>
                <w:sz w:val="20"/>
              </w:rPr>
              <w:t>Indicator</w:t>
            </w:r>
          </w:p>
        </w:tc>
        <w:tc>
          <w:tcPr>
            <w:tcW w:type="dxa" w:w="1181"/>
            <w:shd w:val="clear" w:color="auto" w:fill="6b2737"/>
          </w:tcPr>
          <w:p>
            <w:pPr>
              <w:jc w:val="center"/>
              <w:spacing w:before="0" w:after="0" w:line="240" w:lineRule="atLeast"/>
            </w:pPr>
            <w:r>
              <w:rPr>
                <w:rFonts w:ascii="Times New Roman" w:hAnsi="Times New Roman"/>
                <w:b/>
                <w:color w:val="FFFFFF"/>
                <w:sz w:val="20"/>
              </w:rPr>
              <w:t>Type</w:t>
            </w:r>
          </w:p>
        </w:tc>
        <w:tc>
          <w:tcPr>
            <w:tcW w:type="dxa" w:w="1296"/>
            <w:shd w:val="clear" w:color="auto" w:fill="6b2737"/>
          </w:tcPr>
          <w:p>
            <w:pPr>
              <w:jc w:val="center"/>
              <w:spacing w:before="0" w:after="0" w:line="240" w:lineRule="atLeast"/>
            </w:pPr>
            <w:r>
              <w:rPr>
                <w:rFonts w:ascii="Times New Roman" w:hAnsi="Times New Roman"/>
                <w:b/>
                <w:color w:val="FFFFFF"/>
                <w:sz w:val="20"/>
              </w:rPr>
              <w:t>Layer</w:t>
            </w:r>
          </w:p>
        </w:tc>
        <w:tc>
          <w:tcPr>
            <w:tcW w:type="dxa" w:w="3744"/>
            <w:shd w:val="clear" w:color="auto" w:fill="6b2737"/>
          </w:tcPr>
          <w:p>
            <w:pPr>
              <w:jc w:val="center"/>
              <w:spacing w:before="0" w:after="0" w:line="240" w:lineRule="atLeast"/>
            </w:pPr>
            <w:r>
              <w:rPr>
                <w:rFonts w:ascii="Times New Roman" w:hAnsi="Times New Roman"/>
                <w:b/>
                <w:color w:val="FFFFFF"/>
                <w:sz w:val="20"/>
              </w:rPr>
              <w:t>Key Actuarial Fact</w:t>
            </w:r>
          </w:p>
        </w:tc>
      </w:tr>
      <w:tr>
        <w:tc>
          <w:tcPr>
            <w:tcW w:type="dxa" w:w="2808"/>
            <w:shd w:val="clear" w:color="auto" w:fill="FFFFFF"/>
          </w:tcPr>
          <w:p>
            <w:pPr>
              <w:jc w:val="left"/>
              <w:spacing w:before="0" w:after="0" w:line="240" w:lineRule="atLeast"/>
            </w:pPr>
            <w:r>
              <w:rPr>
                <w:rFonts w:ascii="Times New Roman" w:hAnsi="Times New Roman"/>
                <w:sz w:val="20"/>
              </w:rPr>
              <w:t>CHIRPS RX5day annual max</w:t>
            </w:r>
          </w:p>
        </w:tc>
        <w:tc>
          <w:tcPr>
            <w:tcW w:type="dxa" w:w="1181"/>
            <w:shd w:val="clear" w:color="auto" w:fill="FFFFFF"/>
          </w:tcPr>
          <w:p>
            <w:pPr>
              <w:jc w:val="left"/>
              <w:spacing w:before="0" w:after="0" w:line="240" w:lineRule="atLeast"/>
            </w:pPr>
            <w:r>
              <w:rPr>
                <w:rFonts w:ascii="Times New Roman" w:hAnsi="Times New Roman"/>
                <w:sz w:val="20"/>
              </w:rPr>
              <w:t>Physical</w:t>
            </w:r>
          </w:p>
        </w:tc>
        <w:tc>
          <w:tcPr>
            <w:tcW w:type="dxa" w:w="1296"/>
            <w:shd w:val="clear" w:color="auto" w:fill="FFFFFF"/>
          </w:tcPr>
          <w:p>
            <w:pPr>
              <w:jc w:val="left"/>
              <w:spacing w:before="0" w:after="0" w:line="240" w:lineRule="atLeast"/>
            </w:pPr>
            <w:r>
              <w:rPr>
                <w:rFonts w:ascii="Times New Roman" w:hAnsi="Times New Roman"/>
                <w:sz w:val="20"/>
              </w:rPr>
              <w:t>Hazard</w:t>
            </w:r>
          </w:p>
        </w:tc>
        <w:tc>
          <w:tcPr>
            <w:tcW w:type="dxa" w:w="3744"/>
            <w:shd w:val="clear" w:color="auto" w:fill="FFFFFF"/>
          </w:tcPr>
          <w:p>
            <w:pPr>
              <w:jc w:val="left"/>
              <w:spacing w:before="0" w:after="0" w:line="240" w:lineRule="atLeast"/>
            </w:pPr>
            <w:r>
              <w:rPr>
                <w:rFonts w:ascii="Times New Roman" w:hAnsi="Times New Roman"/>
                <w:sz w:val="20"/>
              </w:rPr>
              <w:t>MYS mean 133.9mm; PHL 244.4mm; WMO ETCCDI index</w:t>
            </w:r>
          </w:p>
        </w:tc>
      </w:tr>
      <w:tr>
        <w:tc>
          <w:tcPr>
            <w:tcW w:type="dxa" w:w="2808"/>
            <w:shd w:val="clear" w:color="auto" w:fill="F5F5F5"/>
          </w:tcPr>
          <w:p>
            <w:pPr>
              <w:jc w:val="left"/>
              <w:spacing w:before="0" w:after="0" w:line="240" w:lineRule="atLeast"/>
            </w:pPr>
            <w:r>
              <w:rPr>
                <w:rFonts w:ascii="Times New Roman" w:hAnsi="Times New Roman"/>
                <w:sz w:val="20"/>
              </w:rPr>
              <w:t>WDI Total GHG AR5 (MtCO2e)</w:t>
            </w:r>
          </w:p>
        </w:tc>
        <w:tc>
          <w:tcPr>
            <w:tcW w:type="dxa" w:w="1181"/>
            <w:shd w:val="clear" w:color="auto" w:fill="F5F5F5"/>
          </w:tcPr>
          <w:p>
            <w:pPr>
              <w:jc w:val="left"/>
              <w:spacing w:before="0" w:after="0" w:line="240" w:lineRule="atLeast"/>
            </w:pPr>
            <w:r>
              <w:rPr>
                <w:rFonts w:ascii="Times New Roman" w:hAnsi="Times New Roman"/>
                <w:sz w:val="20"/>
              </w:rPr>
              <w:t>Phys+Trans</w:t>
            </w:r>
          </w:p>
        </w:tc>
        <w:tc>
          <w:tcPr>
            <w:tcW w:type="dxa" w:w="1296"/>
            <w:shd w:val="clear" w:color="auto" w:fill="F5F5F5"/>
          </w:tcPr>
          <w:p>
            <w:pPr>
              <w:jc w:val="left"/>
              <w:spacing w:before="0" w:after="0" w:line="240" w:lineRule="atLeast"/>
            </w:pPr>
            <w:r>
              <w:rPr>
                <w:rFonts w:ascii="Times New Roman" w:hAnsi="Times New Roman"/>
                <w:sz w:val="20"/>
              </w:rPr>
              <w:t>ARIMA target</w:t>
            </w:r>
          </w:p>
        </w:tc>
        <w:tc>
          <w:tcPr>
            <w:tcW w:type="dxa" w:w="3744"/>
            <w:shd w:val="clear" w:color="auto" w:fill="F5F5F5"/>
          </w:tcPr>
          <w:p>
            <w:pPr>
              <w:jc w:val="left"/>
              <w:spacing w:before="0" w:after="0" w:line="240" w:lineRule="atLeast"/>
            </w:pPr>
            <w:r>
              <w:rPr>
                <w:rFonts w:ascii="Times New Roman" w:hAnsi="Times New Roman"/>
                <w:sz w:val="20"/>
              </w:rPr>
              <w:t>MYS +271%; PHL +177% growth from 1990--2023</w:t>
            </w:r>
          </w:p>
        </w:tc>
      </w:tr>
      <w:tr>
        <w:tc>
          <w:tcPr>
            <w:tcW w:type="dxa" w:w="2808"/>
            <w:shd w:val="clear" w:color="auto" w:fill="FFFFFF"/>
          </w:tcPr>
          <w:p>
            <w:pPr>
              <w:jc w:val="left"/>
              <w:spacing w:before="0" w:after="0" w:line="240" w:lineRule="atLeast"/>
            </w:pPr>
            <w:r>
              <w:rPr>
                <w:rFonts w:ascii="Times New Roman" w:hAnsi="Times New Roman"/>
                <w:sz w:val="20"/>
              </w:rPr>
              <w:t>NOAA ONI DJF anomaly</w:t>
            </w:r>
          </w:p>
        </w:tc>
        <w:tc>
          <w:tcPr>
            <w:tcW w:type="dxa" w:w="1181"/>
            <w:shd w:val="clear" w:color="auto" w:fill="FFFFFF"/>
          </w:tcPr>
          <w:p>
            <w:pPr>
              <w:jc w:val="left"/>
              <w:spacing w:before="0" w:after="0" w:line="240" w:lineRule="atLeast"/>
            </w:pPr>
            <w:r>
              <w:rPr>
                <w:rFonts w:ascii="Times New Roman" w:hAnsi="Times New Roman"/>
                <w:sz w:val="20"/>
              </w:rPr>
              <w:t>Physical</w:t>
            </w:r>
          </w:p>
        </w:tc>
        <w:tc>
          <w:tcPr>
            <w:tcW w:type="dxa" w:w="1296"/>
            <w:shd w:val="clear" w:color="auto" w:fill="FFFFFF"/>
          </w:tcPr>
          <w:p>
            <w:pPr>
              <w:jc w:val="left"/>
              <w:spacing w:before="0" w:after="0" w:line="240" w:lineRule="atLeast"/>
            </w:pPr>
            <w:r>
              <w:rPr>
                <w:rFonts w:ascii="Times New Roman" w:hAnsi="Times New Roman"/>
                <w:sz w:val="20"/>
              </w:rPr>
              <w:t>Dependence</w:t>
            </w:r>
          </w:p>
        </w:tc>
        <w:tc>
          <w:tcPr>
            <w:tcW w:type="dxa" w:w="3744"/>
            <w:shd w:val="clear" w:color="auto" w:fill="FFFFFF"/>
          </w:tcPr>
          <w:p>
            <w:pPr>
              <w:jc w:val="left"/>
              <w:spacing w:before="0" w:after="0" w:line="240" w:lineRule="atLeast"/>
            </w:pPr>
            <w:r>
              <w:rPr>
                <w:rFonts w:ascii="Times New Roman" w:hAnsi="Times New Roman"/>
                <w:sz w:val="20"/>
              </w:rPr>
              <w:t>ENSO annual correlation r=-0.016 (not sig.)</w:t>
            </w:r>
          </w:p>
        </w:tc>
      </w:tr>
      <w:tr>
        <w:tc>
          <w:tcPr>
            <w:tcW w:type="dxa" w:w="2808"/>
            <w:shd w:val="clear" w:color="auto" w:fill="F5F5F5"/>
          </w:tcPr>
          <w:p>
            <w:pPr>
              <w:jc w:val="left"/>
              <w:spacing w:before="0" w:after="0" w:line="240" w:lineRule="atLeast"/>
            </w:pPr>
            <w:r>
              <w:rPr>
                <w:rFonts w:ascii="Times New Roman" w:hAnsi="Times New Roman"/>
                <w:sz w:val="20"/>
              </w:rPr>
              <w:t>WDI Urban pop %</w:t>
            </w:r>
          </w:p>
        </w:tc>
        <w:tc>
          <w:tcPr>
            <w:tcW w:type="dxa" w:w="1181"/>
            <w:shd w:val="clear" w:color="auto" w:fill="F5F5F5"/>
          </w:tcPr>
          <w:p>
            <w:pPr>
              <w:jc w:val="left"/>
              <w:spacing w:before="0" w:after="0" w:line="240" w:lineRule="atLeast"/>
            </w:pPr>
            <w:r>
              <w:rPr>
                <w:rFonts w:ascii="Times New Roman" w:hAnsi="Times New Roman"/>
                <w:sz w:val="20"/>
              </w:rPr>
              <w:t>Physical</w:t>
            </w:r>
          </w:p>
        </w:tc>
        <w:tc>
          <w:tcPr>
            <w:tcW w:type="dxa" w:w="1296"/>
            <w:shd w:val="clear" w:color="auto" w:fill="F5F5F5"/>
          </w:tcPr>
          <w:p>
            <w:pPr>
              <w:jc w:val="left"/>
              <w:spacing w:before="0" w:after="0" w:line="240" w:lineRule="atLeast"/>
            </w:pPr>
            <w:r>
              <w:rPr>
                <w:rFonts w:ascii="Times New Roman" w:hAnsi="Times New Roman"/>
                <w:sz w:val="20"/>
              </w:rPr>
              <w:t>Vulnerability</w:t>
            </w:r>
          </w:p>
        </w:tc>
        <w:tc>
          <w:tcPr>
            <w:tcW w:type="dxa" w:w="3744"/>
            <w:shd w:val="clear" w:color="auto" w:fill="F5F5F5"/>
          </w:tcPr>
          <w:p>
            <w:pPr>
              <w:jc w:val="left"/>
              <w:spacing w:before="0" w:after="0" w:line="240" w:lineRule="atLeast"/>
            </w:pPr>
            <w:r>
              <w:rPr>
                <w:rFonts w:ascii="Times New Roman" w:hAnsi="Times New Roman"/>
                <w:sz w:val="20"/>
              </w:rPr>
              <w:t>MYS 49%-&gt;76.4%; same footprint, 56% more assets</w:t>
            </w:r>
          </w:p>
        </w:tc>
      </w:tr>
      <w:tr>
        <w:tc>
          <w:tcPr>
            <w:tcW w:type="dxa" w:w="2808"/>
            <w:shd w:val="clear" w:color="auto" w:fill="FFFFFF"/>
          </w:tcPr>
          <w:p>
            <w:pPr>
              <w:jc w:val="left"/>
              <w:spacing w:before="0" w:after="0" w:line="240" w:lineRule="atLeast"/>
            </w:pPr>
            <w:r>
              <w:rPr>
                <w:rFonts w:ascii="Times New Roman" w:hAnsi="Times New Roman"/>
                <w:sz w:val="20"/>
              </w:rPr>
              <w:t>Climate Watch Energy GHG</w:t>
            </w:r>
          </w:p>
        </w:tc>
        <w:tc>
          <w:tcPr>
            <w:tcW w:type="dxa" w:w="1181"/>
            <w:shd w:val="clear" w:color="auto" w:fill="FFFFFF"/>
          </w:tcPr>
          <w:p>
            <w:pPr>
              <w:jc w:val="left"/>
              <w:spacing w:before="0" w:after="0" w:line="240" w:lineRule="atLeast"/>
            </w:pPr>
            <w:r>
              <w:rPr>
                <w:rFonts w:ascii="Times New Roman" w:hAnsi="Times New Roman"/>
                <w:sz w:val="20"/>
              </w:rPr>
              <w:t>Transition</w:t>
            </w:r>
          </w:p>
        </w:tc>
        <w:tc>
          <w:tcPr>
            <w:tcW w:type="dxa" w:w="1296"/>
            <w:shd w:val="clear" w:color="auto" w:fill="FFFFFF"/>
          </w:tcPr>
          <w:p>
            <w:pPr>
              <w:jc w:val="left"/>
              <w:spacing w:before="0" w:after="0" w:line="240" w:lineRule="atLeast"/>
            </w:pPr>
            <w:r>
              <w:rPr>
                <w:rFonts w:ascii="Times New Roman" w:hAnsi="Times New Roman"/>
                <w:sz w:val="20"/>
              </w:rPr>
              <w:t>Exposure</w:t>
            </w:r>
          </w:p>
        </w:tc>
        <w:tc>
          <w:tcPr>
            <w:tcW w:type="dxa" w:w="3744"/>
            <w:shd w:val="clear" w:color="auto" w:fill="FFFFFF"/>
          </w:tcPr>
          <w:p>
            <w:pPr>
              <w:jc w:val="left"/>
              <w:spacing w:before="0" w:after="0" w:line="240" w:lineRule="atLeast"/>
            </w:pPr>
            <w:r>
              <w:rPr>
                <w:rFonts w:ascii="Times New Roman" w:hAnsi="Times New Roman"/>
                <w:sz w:val="20"/>
              </w:rPr>
              <w:t>MYS 279.9 MtCO2e = 69.5% of total (Energy sector)</w:t>
            </w:r>
          </w:p>
        </w:tc>
      </w:tr>
      <w:tr>
        <w:tc>
          <w:tcPr>
            <w:tcW w:type="dxa" w:w="2808"/>
            <w:shd w:val="clear" w:color="auto" w:fill="F5F5F5"/>
          </w:tcPr>
          <w:p>
            <w:pPr>
              <w:jc w:val="left"/>
              <w:spacing w:before="0" w:after="0" w:line="240" w:lineRule="atLeast"/>
            </w:pPr>
            <w:r>
              <w:rPr>
                <w:rFonts w:ascii="Times New Roman" w:hAnsi="Times New Roman"/>
                <w:sz w:val="20"/>
              </w:rPr>
              <w:t>Climate Watch LULUCF net</w:t>
            </w:r>
          </w:p>
        </w:tc>
        <w:tc>
          <w:tcPr>
            <w:tcW w:type="dxa" w:w="1181"/>
            <w:shd w:val="clear" w:color="auto" w:fill="F5F5F5"/>
          </w:tcPr>
          <w:p>
            <w:pPr>
              <w:jc w:val="left"/>
              <w:spacing w:before="0" w:after="0" w:line="240" w:lineRule="atLeast"/>
            </w:pPr>
            <w:r>
              <w:rPr>
                <w:rFonts w:ascii="Times New Roman" w:hAnsi="Times New Roman"/>
                <w:sz w:val="20"/>
              </w:rPr>
              <w:t>Transition</w:t>
            </w:r>
          </w:p>
        </w:tc>
        <w:tc>
          <w:tcPr>
            <w:tcW w:type="dxa" w:w="1296"/>
            <w:shd w:val="clear" w:color="auto" w:fill="F5F5F5"/>
          </w:tcPr>
          <w:p>
            <w:pPr>
              <w:jc w:val="left"/>
              <w:spacing w:before="0" w:after="0" w:line="240" w:lineRule="atLeast"/>
            </w:pPr>
            <w:r>
              <w:rPr>
                <w:rFonts w:ascii="Times New Roman" w:hAnsi="Times New Roman"/>
                <w:sz w:val="20"/>
              </w:rPr>
              <w:t>Asymmetry</w:t>
            </w:r>
          </w:p>
        </w:tc>
        <w:tc>
          <w:tcPr>
            <w:tcW w:type="dxa" w:w="3744"/>
            <w:shd w:val="clear" w:color="auto" w:fill="F5F5F5"/>
          </w:tcPr>
          <w:p>
            <w:pPr>
              <w:jc w:val="left"/>
              <w:spacing w:before="0" w:after="0" w:line="240" w:lineRule="atLeast"/>
            </w:pPr>
            <w:r>
              <w:rPr>
                <w:rFonts w:ascii="Times New Roman" w:hAnsi="Times New Roman"/>
                <w:sz w:val="20"/>
              </w:rPr>
              <w:t>MYS +63.3 (emitter) vs PHL -26.9 (carbon sink)</w:t>
            </w:r>
          </w:p>
        </w:tc>
      </w:tr>
      <w:tr>
        <w:tc>
          <w:tcPr>
            <w:tcW w:type="dxa" w:w="2808"/>
            <w:shd w:val="clear" w:color="auto" w:fill="FFFFFF"/>
          </w:tcPr>
          <w:p>
            <w:pPr>
              <w:jc w:val="left"/>
              <w:spacing w:before="0" w:after="0" w:line="240" w:lineRule="atLeast"/>
            </w:pPr>
            <w:r>
              <w:rPr>
                <w:rFonts w:ascii="Times New Roman" w:hAnsi="Times New Roman"/>
                <w:sz w:val="20"/>
              </w:rPr>
              <w:t>NGFS GCAM 6.0 NZ2050 price</w:t>
            </w:r>
          </w:p>
        </w:tc>
        <w:tc>
          <w:tcPr>
            <w:tcW w:type="dxa" w:w="1181"/>
            <w:shd w:val="clear" w:color="auto" w:fill="FFFFFF"/>
          </w:tcPr>
          <w:p>
            <w:pPr>
              <w:jc w:val="left"/>
              <w:spacing w:before="0" w:after="0" w:line="240" w:lineRule="atLeast"/>
            </w:pPr>
            <w:r>
              <w:rPr>
                <w:rFonts w:ascii="Times New Roman" w:hAnsi="Times New Roman"/>
                <w:sz w:val="20"/>
              </w:rPr>
              <w:t>Transition</w:t>
            </w:r>
          </w:p>
        </w:tc>
        <w:tc>
          <w:tcPr>
            <w:tcW w:type="dxa" w:w="1296"/>
            <w:shd w:val="clear" w:color="auto" w:fill="FFFFFF"/>
          </w:tcPr>
          <w:p>
            <w:pPr>
              <w:jc w:val="left"/>
              <w:spacing w:before="0" w:after="0" w:line="240" w:lineRule="atLeast"/>
            </w:pPr>
            <w:r>
              <w:rPr>
                <w:rFonts w:ascii="Times New Roman" w:hAnsi="Times New Roman"/>
                <w:sz w:val="20"/>
              </w:rPr>
              <w:t>Cost scalar</w:t>
            </w:r>
          </w:p>
        </w:tc>
        <w:tc>
          <w:tcPr>
            <w:tcW w:type="dxa" w:w="3744"/>
            <w:shd w:val="clear" w:color="auto" w:fill="FFFFFF"/>
          </w:tcPr>
          <w:p>
            <w:pPr>
              <w:jc w:val="left"/>
              <w:spacing w:before="0" w:after="0" w:line="240" w:lineRule="atLeast"/>
            </w:pPr>
            <w:r>
              <w:rPr>
                <w:rFonts w:ascii="Times New Roman" w:hAnsi="Times New Roman"/>
                <w:sz w:val="20"/>
              </w:rPr>
              <w:t>USD 55.578/t (NZ2050 vs Current Policies gap)</w:t>
            </w:r>
          </w:p>
        </w:tc>
      </w:tr>
      <w:tr>
        <w:tc>
          <w:tcPr>
            <w:tcW w:type="dxa" w:w="2808"/>
            <w:shd w:val="clear" w:color="auto" w:fill="F5F5F5"/>
          </w:tcPr>
          <w:p>
            <w:pPr>
              <w:jc w:val="left"/>
              <w:spacing w:before="0" w:after="0" w:line="240" w:lineRule="atLeast"/>
            </w:pPr>
            <w:r>
              <w:rPr>
                <w:rFonts w:ascii="Times New Roman" w:hAnsi="Times New Roman"/>
                <w:sz w:val="20"/>
              </w:rPr>
              <w:t>WDI GDP/capita; Forest %</w:t>
            </w:r>
          </w:p>
        </w:tc>
        <w:tc>
          <w:tcPr>
            <w:tcW w:type="dxa" w:w="1181"/>
            <w:shd w:val="clear" w:color="auto" w:fill="F5F5F5"/>
          </w:tcPr>
          <w:p>
            <w:pPr>
              <w:jc w:val="left"/>
              <w:spacing w:before="0" w:after="0" w:line="240" w:lineRule="atLeast"/>
            </w:pPr>
            <w:r>
              <w:rPr>
                <w:rFonts w:ascii="Times New Roman" w:hAnsi="Times New Roman"/>
                <w:sz w:val="20"/>
              </w:rPr>
              <w:t>Phys+Trans</w:t>
            </w:r>
          </w:p>
        </w:tc>
        <w:tc>
          <w:tcPr>
            <w:tcW w:type="dxa" w:w="1296"/>
            <w:shd w:val="clear" w:color="auto" w:fill="F5F5F5"/>
          </w:tcPr>
          <w:p>
            <w:pPr>
              <w:jc w:val="left"/>
              <w:spacing w:before="0" w:after="0" w:line="240" w:lineRule="atLeast"/>
            </w:pPr>
            <w:r>
              <w:rPr>
                <w:rFonts w:ascii="Times New Roman" w:hAnsi="Times New Roman"/>
                <w:sz w:val="20"/>
              </w:rPr>
              <w:t>Loss/LULUCF</w:t>
            </w:r>
          </w:p>
        </w:tc>
        <w:tc>
          <w:tcPr>
            <w:tcW w:type="dxa" w:w="3744"/>
            <w:shd w:val="clear" w:color="auto" w:fill="F5F5F5"/>
          </w:tcPr>
          <w:p>
            <w:pPr>
              <w:jc w:val="left"/>
              <w:spacing w:before="0" w:after="0" w:line="240" w:lineRule="atLeast"/>
            </w:pPr>
            <w:r>
              <w:rPr>
                <w:rFonts w:ascii="Times New Roman" w:hAnsi="Times New Roman"/>
                <w:sz w:val="20"/>
              </w:rPr>
              <w:t>Penetration proxy + carbon stock dual role</w:t>
            </w:r>
          </w:p>
        </w:tc>
      </w:tr>
    </w:tbl>
    <w:p>
      <w:pPr>
        <w:jc w:val="center"/>
        <w:spacing w:before="20" w:after="80" w:line="240" w:lineRule="atLeast"/>
      </w:pPr>
      <w:r>
        <w:rPr>
          <w:rFonts w:ascii="Times New Roman" w:hAnsi="Times New Roman"/>
          <w:i/>
          <w:color w:val="555555"/>
          <w:sz w:val="18"/>
        </w:rPr>
        <w:t>Table 1 -- Selected indicators: WDI Wide Format, CHIRPS v2.0, EM-DAT, NOAA ONI, NGFS GCAM 6.0.</w:t>
      </w:r>
    </w:p>
    <w:p>
      <w:pPr>
        <w:spacing w:before="80" w:after="30" w:line="240" w:lineRule="atLeast"/>
        <w:keepNext/>
      </w:pPr>
      <w:r>
        <w:rPr>
          <w:rFonts w:ascii="Times New Roman" w:hAnsi="Times New Roman"/>
          <w:b/>
          <w:color w:val="6B2737"/>
          <w:sz w:val="24"/>
        </w:rPr>
        <w:t>2.2  GHG Trends &amp; Sector Decomposition</w:t>
      </w:r>
    </w:p>
    <w:p>
      <w:pPr>
        <w:jc w:val="center"/>
        <w:spacing w:before="40" w:after="20" w:line="240" w:lineRule="atLeast"/>
      </w:pPr>
      <w:r>
        <w:drawing>
          <wp:inline xmlns:a="http://schemas.openxmlformats.org/drawingml/2006/main" xmlns:pic="http://schemas.openxmlformats.org/drawingml/2006/picture">
            <wp:extent cx="2651760" cy="1115928"/>
            <wp:docPr id="1" name="Picture 1"/>
            <wp:cNvGraphicFramePr>
              <a:graphicFrameLocks noChangeAspect="1"/>
            </wp:cNvGraphicFramePr>
            <a:graphic>
              <a:graphicData uri="http://schemas.openxmlformats.org/drawingml/2006/picture">
                <pic:pic>
                  <pic:nvPicPr>
                    <pic:cNvPr id="0" name="r1_ghg_urban_dual_axis.png"/>
                    <pic:cNvPicPr/>
                  </pic:nvPicPr>
                  <pic:blipFill>
                    <a:blip r:embed="rId9"/>
                    <a:stretch>
                      <a:fillRect/>
                    </a:stretch>
                  </pic:blipFill>
                  <pic:spPr>
                    <a:xfrm>
                      <a:off x="0" y="0"/>
                      <a:ext cx="2651760" cy="1115928"/>
                    </a:xfrm>
                    <a:prstGeom prst="rect"/>
                  </pic:spPr>
                </pic:pic>
              </a:graphicData>
            </a:graphic>
          </wp:inline>
        </w:drawing>
      </w:r>
      <w:r>
        <w:t xml:space="preserve">  </w:t>
      </w:r>
      <w:r>
        <w:drawing>
          <wp:inline xmlns:a="http://schemas.openxmlformats.org/drawingml/2006/main" xmlns:pic="http://schemas.openxmlformats.org/drawingml/2006/picture">
            <wp:extent cx="2651760" cy="1053195"/>
            <wp:docPr id="2" name="Picture 2"/>
            <wp:cNvGraphicFramePr>
              <a:graphicFrameLocks noChangeAspect="1"/>
            </wp:cNvGraphicFramePr>
            <a:graphic>
              <a:graphicData uri="http://schemas.openxmlformats.org/drawingml/2006/picture">
                <pic:pic>
                  <pic:nvPicPr>
                    <pic:cNvPr id="0" name="r1_cw_sector_decomposition.png"/>
                    <pic:cNvPicPr/>
                  </pic:nvPicPr>
                  <pic:blipFill>
                    <a:blip r:embed="rId10"/>
                    <a:stretch>
                      <a:fillRect/>
                    </a:stretch>
                  </pic:blipFill>
                  <pic:spPr>
                    <a:xfrm>
                      <a:off x="0" y="0"/>
                      <a:ext cx="2651760" cy="1053195"/>
                    </a:xfrm>
                    <a:prstGeom prst="rect"/>
                  </pic:spPr>
                </pic:pic>
              </a:graphicData>
            </a:graphic>
          </wp:inline>
        </w:drawing>
      </w:r>
    </w:p>
    <w:p>
      <w:pPr>
        <w:jc w:val="center"/>
        <w:spacing w:before="20" w:after="80" w:line="240" w:lineRule="atLeast"/>
      </w:pPr>
      <w:r>
        <w:rPr>
          <w:rFonts w:ascii="Times New Roman" w:hAnsi="Times New Roman"/>
          <w:i/>
          <w:color w:val="555555"/>
          <w:sz w:val="18"/>
        </w:rPr>
        <w:t>Figure 1 -- GHG vs. urbanisation MYS &amp; PHL 1990--2023 (left); Climate Watch 2023 sector decomposition: Energy 69.5% of MYS total (right).</w:t>
      </w:r>
    </w:p>
    <w:p>
      <w:pPr>
        <w:jc w:val="both"/>
        <w:spacing w:before="0" w:after="0" w:line="240" w:lineRule="atLeast"/>
      </w:pPr>
      <w:r>
        <w:rPr>
          <w:rFonts w:ascii="Times New Roman" w:hAnsi="Times New Roman"/>
          <w:b w:val="0"/>
          <w:i w:val="0"/>
          <w:sz w:val="24"/>
        </w:rPr>
        <w:t>Figure 1 (left) reveals two compounding structural trends: GHG grew +271% (MYS) and +177% (PHL) from 1990--2023, while MYS urban share rose +56%. The same flood footprint now covers a dramatically larger insured asset base, creating structural EAL growth independent of hazard intensity change. Figure 1 (right) shows Malaysia's LULUCF sector contributing 15.7% of transition exposure -- a unique regulatory burden (EU Deforestation Regulation, BNM CCPT Pillar 2 land-use disclosure) that PHL does not face. This asymmetry is the central driver of the country-specific surcharge design in Recommendation R2.</w:t>
      </w:r>
    </w:p>
    <w:p>
      <w:pPr>
        <w:spacing w:before="0" w:after="0"/>
      </w:pPr>
      <w:r>
        <w:br w:type="page"/>
      </w:r>
    </w:p>
    <w:p>
      <w:pPr>
        <w:spacing w:before="120" w:after="60" w:line="276" w:lineRule="atLeast"/>
        <w:keepNext/>
        <w:pBdr>
          <w:bottom w:val="single" w:sz="6" w:space="1" w:color="6b2737"/>
        </w:pBdr>
      </w:pPr>
      <w:r>
        <w:rPr>
          <w:rFonts w:ascii="Times New Roman" w:hAnsi="Times New Roman"/>
          <w:b/>
          <w:color w:val="1A1A2E"/>
          <w:sz w:val="28"/>
        </w:rPr>
        <w:t>3.  GHG Forecasting -- ARIMA Model</w:t>
      </w:r>
    </w:p>
    <w:p>
      <w:pPr>
        <w:jc w:val="both"/>
        <w:spacing w:before="0" w:after="80" w:line="240" w:lineRule="atLeast"/>
      </w:pPr>
      <w:r>
        <w:rPr>
          <w:rFonts w:ascii="Times New Roman" w:hAnsi="Times New Roman"/>
          <w:b w:val="0"/>
          <w:i w:val="0"/>
          <w:sz w:val="24"/>
        </w:rPr>
        <w:t>Country-level ARIMA models forecast 2024 total GHG (excl. LULUCF) from WDI WB_WDI_EN_GHG_ALL_MT_CE_AR5. Training 1990--2020; held-out test 2021--2023 via 3-step rolling 1-step-ahead MAPE. Orders selected by AIC over grid p,q in {0,1,2}; first-difference confirmed by ADF stationarity test.</w:t>
      </w:r>
    </w:p>
    <w:p>
      <w:pPr>
        <w:jc w:val="both"/>
        <w:spacing w:before="0" w:after="80" w:line="240" w:lineRule="atLeast"/>
      </w:pPr>
      <w:r>
        <w:rPr>
          <w:rFonts w:ascii="Times New Roman" w:hAnsi="Times New Roman"/>
          <w:b w:val="0"/>
          <w:i w:val="0"/>
          <w:sz w:val="24"/>
        </w:rPr>
        <w:t>ARIMAX with GDP/capita and urbanisation rate as exogenous regressors was evaluated but rejected on two grounds: (1) GDP forecasts to 2024 are themselves uncertain, introducing endogenous error propagation into the GHG projection; (2) the univariate ARIMA residual ACF is statistically clean at all lags &lt;= 12 (Ljung-Box Q-statistic p &gt; 0.20 for both countries), confirming that the autoregressive structure adequately captures the GHG time series dynamics. This choice is consistent with NGFS internal modelling practice (Phase 4 documentation, s.2.3), which uses univariate pathways for national GHG baselines to avoid compound forecast uncertainty.</w:t>
      </w:r>
    </w:p>
    <w:tbl>
      <w:tblPr>
        <w:tblStyle w:val="TableGrid"/>
        <w:tblW w:type="auto" w:w="0"/>
        <w:jc w:val="left"/>
        <w:tblLook w:firstColumn="1" w:firstRow="1" w:lastColumn="0" w:lastRow="0" w:noHBand="0" w:noVBand="1" w:val="04A0"/>
      </w:tblPr>
      <w:tblGrid>
        <w:gridCol w:w="1289"/>
        <w:gridCol w:w="1289"/>
        <w:gridCol w:w="1289"/>
        <w:gridCol w:w="1289"/>
        <w:gridCol w:w="1289"/>
        <w:gridCol w:w="1289"/>
        <w:gridCol w:w="1289"/>
      </w:tblGrid>
      <w:tr>
        <w:tc>
          <w:tcPr>
            <w:tcW w:type="dxa" w:w="1296"/>
            <w:shd w:val="clear" w:color="auto" w:fill="6b2737"/>
          </w:tcPr>
          <w:p>
            <w:pPr>
              <w:jc w:val="center"/>
              <w:spacing w:before="0" w:after="0" w:line="240" w:lineRule="atLeast"/>
            </w:pPr>
            <w:r>
              <w:rPr>
                <w:rFonts w:ascii="Times New Roman" w:hAnsi="Times New Roman"/>
                <w:b/>
                <w:color w:val="FFFFFF"/>
                <w:sz w:val="20"/>
              </w:rPr>
              <w:t>Country</w:t>
            </w:r>
          </w:p>
        </w:tc>
        <w:tc>
          <w:tcPr>
            <w:tcW w:type="dxa" w:w="1368"/>
            <w:shd w:val="clear" w:color="auto" w:fill="6b2737"/>
          </w:tcPr>
          <w:p>
            <w:pPr>
              <w:jc w:val="center"/>
              <w:spacing w:before="0" w:after="0" w:line="240" w:lineRule="atLeast"/>
            </w:pPr>
            <w:r>
              <w:rPr>
                <w:rFonts w:ascii="Times New Roman" w:hAnsi="Times New Roman"/>
                <w:b/>
                <w:color w:val="FFFFFF"/>
                <w:sz w:val="20"/>
              </w:rPr>
              <w:t>Model</w:t>
            </w:r>
          </w:p>
        </w:tc>
        <w:tc>
          <w:tcPr>
            <w:tcW w:type="dxa" w:w="1037"/>
            <w:shd w:val="clear" w:color="auto" w:fill="6b2737"/>
          </w:tcPr>
          <w:p>
            <w:pPr>
              <w:jc w:val="center"/>
              <w:spacing w:before="0" w:after="0" w:line="240" w:lineRule="atLeast"/>
            </w:pPr>
            <w:r>
              <w:rPr>
                <w:rFonts w:ascii="Times New Roman" w:hAnsi="Times New Roman"/>
                <w:b/>
                <w:color w:val="FFFFFF"/>
                <w:sz w:val="20"/>
              </w:rPr>
              <w:t>Train AIC</w:t>
            </w:r>
          </w:p>
        </w:tc>
        <w:tc>
          <w:tcPr>
            <w:tcW w:type="dxa" w:w="835"/>
            <w:shd w:val="clear" w:color="auto" w:fill="6b2737"/>
          </w:tcPr>
          <w:p>
            <w:pPr>
              <w:jc w:val="center"/>
              <w:spacing w:before="0" w:after="0" w:line="240" w:lineRule="atLeast"/>
            </w:pPr>
            <w:r>
              <w:rPr>
                <w:rFonts w:ascii="Times New Roman" w:hAnsi="Times New Roman"/>
                <w:b/>
                <w:color w:val="FFFFFF"/>
                <w:sz w:val="20"/>
              </w:rPr>
              <w:t>MAPE</w:t>
            </w:r>
          </w:p>
        </w:tc>
        <w:tc>
          <w:tcPr>
            <w:tcW w:type="dxa" w:w="1181"/>
            <w:shd w:val="clear" w:color="auto" w:fill="6b2737"/>
          </w:tcPr>
          <w:p>
            <w:pPr>
              <w:jc w:val="center"/>
              <w:spacing w:before="0" w:after="0" w:line="240" w:lineRule="atLeast"/>
            </w:pPr>
            <w:r>
              <w:rPr>
                <w:rFonts w:ascii="Times New Roman" w:hAnsi="Times New Roman"/>
                <w:b/>
                <w:color w:val="FFFFFF"/>
                <w:sz w:val="20"/>
              </w:rPr>
              <w:t>Actual 2023</w:t>
            </w:r>
          </w:p>
        </w:tc>
        <w:tc>
          <w:tcPr>
            <w:tcW w:type="dxa" w:w="1181"/>
            <w:shd w:val="clear" w:color="auto" w:fill="6b2737"/>
          </w:tcPr>
          <w:p>
            <w:pPr>
              <w:jc w:val="center"/>
              <w:spacing w:before="0" w:after="0" w:line="240" w:lineRule="atLeast"/>
            </w:pPr>
            <w:r>
              <w:rPr>
                <w:rFonts w:ascii="Times New Roman" w:hAnsi="Times New Roman"/>
                <w:b/>
                <w:color w:val="FFFFFF"/>
                <w:sz w:val="20"/>
              </w:rPr>
              <w:t>Forecast 2024</w:t>
            </w:r>
          </w:p>
        </w:tc>
        <w:tc>
          <w:tcPr>
            <w:tcW w:type="dxa" w:w="2131"/>
            <w:shd w:val="clear" w:color="auto" w:fill="6b2737"/>
          </w:tcPr>
          <w:p>
            <w:pPr>
              <w:jc w:val="center"/>
              <w:spacing w:before="0" w:after="0" w:line="240" w:lineRule="atLeast"/>
            </w:pPr>
            <w:r>
              <w:rPr>
                <w:rFonts w:ascii="Times New Roman" w:hAnsi="Times New Roman"/>
                <w:b/>
                <w:color w:val="FFFFFF"/>
                <w:sz w:val="20"/>
              </w:rPr>
              <w:t>95% CI</w:t>
            </w:r>
          </w:p>
        </w:tc>
      </w:tr>
      <w:tr>
        <w:tc>
          <w:tcPr>
            <w:tcW w:type="dxa" w:w="1296"/>
            <w:shd w:val="clear" w:color="auto" w:fill="FFFFFF"/>
          </w:tcPr>
          <w:p>
            <w:pPr>
              <w:jc w:val="left"/>
              <w:spacing w:before="0" w:after="0" w:line="240" w:lineRule="atLeast"/>
            </w:pPr>
            <w:r>
              <w:rPr>
                <w:rFonts w:ascii="Times New Roman" w:hAnsi="Times New Roman"/>
                <w:sz w:val="20"/>
              </w:rPr>
              <w:t>Malaysia</w:t>
            </w:r>
          </w:p>
        </w:tc>
        <w:tc>
          <w:tcPr>
            <w:tcW w:type="dxa" w:w="1368"/>
            <w:shd w:val="clear" w:color="auto" w:fill="FFFFFF"/>
          </w:tcPr>
          <w:p>
            <w:pPr>
              <w:jc w:val="left"/>
              <w:spacing w:before="0" w:after="0" w:line="240" w:lineRule="atLeast"/>
            </w:pPr>
            <w:r>
              <w:rPr>
                <w:rFonts w:ascii="Times New Roman" w:hAnsi="Times New Roman"/>
                <w:sz w:val="20"/>
              </w:rPr>
              <w:t>ARIMA(1,1,1)</w:t>
            </w:r>
          </w:p>
        </w:tc>
        <w:tc>
          <w:tcPr>
            <w:tcW w:type="dxa" w:w="1037"/>
            <w:shd w:val="clear" w:color="auto" w:fill="FFFFFF"/>
          </w:tcPr>
          <w:p>
            <w:pPr>
              <w:jc w:val="left"/>
              <w:spacing w:before="0" w:after="0" w:line="240" w:lineRule="atLeast"/>
            </w:pPr>
            <w:r>
              <w:rPr>
                <w:rFonts w:ascii="Times New Roman" w:hAnsi="Times New Roman"/>
                <w:sz w:val="20"/>
              </w:rPr>
              <w:t>224.08</w:t>
            </w:r>
          </w:p>
        </w:tc>
        <w:tc>
          <w:tcPr>
            <w:tcW w:type="dxa" w:w="835"/>
            <w:shd w:val="clear" w:color="auto" w:fill="FFFFFF"/>
          </w:tcPr>
          <w:p>
            <w:pPr>
              <w:jc w:val="left"/>
              <w:spacing w:before="0" w:after="0" w:line="240" w:lineRule="atLeast"/>
            </w:pPr>
            <w:r>
              <w:rPr>
                <w:rFonts w:ascii="Times New Roman" w:hAnsi="Times New Roman"/>
                <w:sz w:val="20"/>
              </w:rPr>
              <w:t>1.71%</w:t>
            </w:r>
          </w:p>
        </w:tc>
        <w:tc>
          <w:tcPr>
            <w:tcW w:type="dxa" w:w="1181"/>
            <w:shd w:val="clear" w:color="auto" w:fill="FFFFFF"/>
          </w:tcPr>
          <w:p>
            <w:pPr>
              <w:jc w:val="left"/>
              <w:spacing w:before="0" w:after="0" w:line="240" w:lineRule="atLeast"/>
            </w:pPr>
            <w:r>
              <w:rPr>
                <w:rFonts w:ascii="Times New Roman" w:hAnsi="Times New Roman"/>
                <w:sz w:val="20"/>
              </w:rPr>
              <w:t>318.4</w:t>
            </w:r>
          </w:p>
        </w:tc>
        <w:tc>
          <w:tcPr>
            <w:tcW w:type="dxa" w:w="1181"/>
            <w:shd w:val="clear" w:color="auto" w:fill="FFFFFF"/>
          </w:tcPr>
          <w:p>
            <w:pPr>
              <w:jc w:val="left"/>
              <w:spacing w:before="0" w:after="0" w:line="240" w:lineRule="atLeast"/>
            </w:pPr>
            <w:r>
              <w:rPr>
                <w:rFonts w:ascii="Times New Roman" w:hAnsi="Times New Roman"/>
                <w:sz w:val="20"/>
              </w:rPr>
              <w:t>325.1</w:t>
            </w:r>
          </w:p>
        </w:tc>
        <w:tc>
          <w:tcPr>
            <w:tcW w:type="dxa" w:w="2131"/>
            <w:shd w:val="clear" w:color="auto" w:fill="FFFFFF"/>
          </w:tcPr>
          <w:p>
            <w:pPr>
              <w:jc w:val="left"/>
              <w:spacing w:before="0" w:after="0" w:line="240" w:lineRule="atLeast"/>
            </w:pPr>
            <w:r>
              <w:rPr>
                <w:rFonts w:ascii="Times New Roman" w:hAnsi="Times New Roman"/>
                <w:sz w:val="20"/>
              </w:rPr>
              <w:t>[307.9, 342.3]</w:t>
            </w:r>
          </w:p>
        </w:tc>
      </w:tr>
      <w:tr>
        <w:tc>
          <w:tcPr>
            <w:tcW w:type="dxa" w:w="1296"/>
            <w:shd w:val="clear" w:color="auto" w:fill="F5F5F5"/>
          </w:tcPr>
          <w:p>
            <w:pPr>
              <w:jc w:val="left"/>
              <w:spacing w:before="0" w:after="0" w:line="240" w:lineRule="atLeast"/>
            </w:pPr>
            <w:r>
              <w:rPr>
                <w:rFonts w:ascii="Times New Roman" w:hAnsi="Times New Roman"/>
                <w:sz w:val="20"/>
              </w:rPr>
              <w:t>Philippines</w:t>
            </w:r>
          </w:p>
        </w:tc>
        <w:tc>
          <w:tcPr>
            <w:tcW w:type="dxa" w:w="1368"/>
            <w:shd w:val="clear" w:color="auto" w:fill="F5F5F5"/>
          </w:tcPr>
          <w:p>
            <w:pPr>
              <w:jc w:val="left"/>
              <w:spacing w:before="0" w:after="0" w:line="240" w:lineRule="atLeast"/>
            </w:pPr>
            <w:r>
              <w:rPr>
                <w:rFonts w:ascii="Times New Roman" w:hAnsi="Times New Roman"/>
                <w:sz w:val="20"/>
              </w:rPr>
              <w:t>ARIMA(2,1,0)</w:t>
            </w:r>
          </w:p>
        </w:tc>
        <w:tc>
          <w:tcPr>
            <w:tcW w:type="dxa" w:w="1037"/>
            <w:shd w:val="clear" w:color="auto" w:fill="F5F5F5"/>
          </w:tcPr>
          <w:p>
            <w:pPr>
              <w:jc w:val="left"/>
              <w:spacing w:before="0" w:after="0" w:line="240" w:lineRule="atLeast"/>
            </w:pPr>
            <w:r>
              <w:rPr>
                <w:rFonts w:ascii="Times New Roman" w:hAnsi="Times New Roman"/>
                <w:sz w:val="20"/>
              </w:rPr>
              <w:t>196.08</w:t>
            </w:r>
          </w:p>
        </w:tc>
        <w:tc>
          <w:tcPr>
            <w:tcW w:type="dxa" w:w="835"/>
            <w:shd w:val="clear" w:color="auto" w:fill="F5F5F5"/>
          </w:tcPr>
          <w:p>
            <w:pPr>
              <w:jc w:val="left"/>
              <w:spacing w:before="0" w:after="0" w:line="240" w:lineRule="atLeast"/>
            </w:pPr>
            <w:r>
              <w:rPr>
                <w:rFonts w:ascii="Times New Roman" w:hAnsi="Times New Roman"/>
                <w:sz w:val="20"/>
              </w:rPr>
              <w:t>3.56%</w:t>
            </w:r>
          </w:p>
        </w:tc>
        <w:tc>
          <w:tcPr>
            <w:tcW w:type="dxa" w:w="1181"/>
            <w:shd w:val="clear" w:color="auto" w:fill="F5F5F5"/>
          </w:tcPr>
          <w:p>
            <w:pPr>
              <w:jc w:val="left"/>
              <w:spacing w:before="0" w:after="0" w:line="240" w:lineRule="atLeast"/>
            </w:pPr>
            <w:r>
              <w:rPr>
                <w:rFonts w:ascii="Times New Roman" w:hAnsi="Times New Roman"/>
                <w:sz w:val="20"/>
              </w:rPr>
              <w:t>254.5</w:t>
            </w:r>
          </w:p>
        </w:tc>
        <w:tc>
          <w:tcPr>
            <w:tcW w:type="dxa" w:w="1181"/>
            <w:shd w:val="clear" w:color="auto" w:fill="F5F5F5"/>
          </w:tcPr>
          <w:p>
            <w:pPr>
              <w:jc w:val="left"/>
              <w:spacing w:before="0" w:after="0" w:line="240" w:lineRule="atLeast"/>
            </w:pPr>
            <w:r>
              <w:rPr>
                <w:rFonts w:ascii="Times New Roman" w:hAnsi="Times New Roman"/>
                <w:sz w:val="20"/>
              </w:rPr>
              <w:t>260.8</w:t>
            </w:r>
          </w:p>
        </w:tc>
        <w:tc>
          <w:tcPr>
            <w:tcW w:type="dxa" w:w="2131"/>
            <w:shd w:val="clear" w:color="auto" w:fill="F5F5F5"/>
          </w:tcPr>
          <w:p>
            <w:pPr>
              <w:jc w:val="left"/>
              <w:spacing w:before="0" w:after="0" w:line="240" w:lineRule="atLeast"/>
            </w:pPr>
            <w:r>
              <w:rPr>
                <w:rFonts w:ascii="Times New Roman" w:hAnsi="Times New Roman"/>
                <w:sz w:val="20"/>
              </w:rPr>
              <w:t>[249.1, 272.4]</w:t>
            </w:r>
          </w:p>
        </w:tc>
      </w:tr>
    </w:tbl>
    <w:p>
      <w:pPr>
        <w:jc w:val="center"/>
        <w:spacing w:before="20" w:after="80" w:line="240" w:lineRule="atLeast"/>
      </w:pPr>
      <w:r>
        <w:rPr>
          <w:rFonts w:ascii="Times New Roman" w:hAnsi="Times New Roman"/>
          <w:i/>
          <w:color w:val="555555"/>
          <w:sz w:val="18"/>
        </w:rPr>
        <w:t>Table 2 -- ARIMA forecast results (MtCO2e excl. LULUCF). MYS MAPE 1.71% confirms high reliability; PHL 3.56% reflects policy-driven variability.</w:t>
      </w:r>
    </w:p>
    <w:p>
      <w:pPr>
        <w:jc w:val="center"/>
        <w:spacing w:before="40" w:after="20" w:line="240" w:lineRule="atLeast"/>
      </w:pPr>
      <w:r>
        <w:drawing>
          <wp:inline xmlns:a="http://schemas.openxmlformats.org/drawingml/2006/main" xmlns:pic="http://schemas.openxmlformats.org/drawingml/2006/picture">
            <wp:extent cx="2651760" cy="1453101"/>
            <wp:docPr id="3" name="Picture 3"/>
            <wp:cNvGraphicFramePr>
              <a:graphicFrameLocks noChangeAspect="1"/>
            </wp:cNvGraphicFramePr>
            <a:graphic>
              <a:graphicData uri="http://schemas.openxmlformats.org/drawingml/2006/picture">
                <pic:pic>
                  <pic:nvPicPr>
                    <pic:cNvPr id="0" name="r2_arima_mys.png"/>
                    <pic:cNvPicPr/>
                  </pic:nvPicPr>
                  <pic:blipFill>
                    <a:blip r:embed="rId11"/>
                    <a:stretch>
                      <a:fillRect/>
                    </a:stretch>
                  </pic:blipFill>
                  <pic:spPr>
                    <a:xfrm>
                      <a:off x="0" y="0"/>
                      <a:ext cx="2651760" cy="1453101"/>
                    </a:xfrm>
                    <a:prstGeom prst="rect"/>
                  </pic:spPr>
                </pic:pic>
              </a:graphicData>
            </a:graphic>
          </wp:inline>
        </w:drawing>
      </w:r>
      <w:r>
        <w:t xml:space="preserve">  </w:t>
      </w:r>
      <w:r>
        <w:drawing>
          <wp:inline xmlns:a="http://schemas.openxmlformats.org/drawingml/2006/main" xmlns:pic="http://schemas.openxmlformats.org/drawingml/2006/picture">
            <wp:extent cx="2651760" cy="1453101"/>
            <wp:docPr id="4" name="Picture 4"/>
            <wp:cNvGraphicFramePr>
              <a:graphicFrameLocks noChangeAspect="1"/>
            </wp:cNvGraphicFramePr>
            <a:graphic>
              <a:graphicData uri="http://schemas.openxmlformats.org/drawingml/2006/picture">
                <pic:pic>
                  <pic:nvPicPr>
                    <pic:cNvPr id="0" name="r2_arima_phl.png"/>
                    <pic:cNvPicPr/>
                  </pic:nvPicPr>
                  <pic:blipFill>
                    <a:blip r:embed="rId12"/>
                    <a:stretch>
                      <a:fillRect/>
                    </a:stretch>
                  </pic:blipFill>
                  <pic:spPr>
                    <a:xfrm>
                      <a:off x="0" y="0"/>
                      <a:ext cx="2651760" cy="1453101"/>
                    </a:xfrm>
                    <a:prstGeom prst="rect"/>
                  </pic:spPr>
                </pic:pic>
              </a:graphicData>
            </a:graphic>
          </wp:inline>
        </w:drawing>
      </w:r>
    </w:p>
    <w:p>
      <w:pPr>
        <w:jc w:val="center"/>
        <w:spacing w:before="20" w:after="80" w:line="240" w:lineRule="atLeast"/>
      </w:pPr>
      <w:r>
        <w:rPr>
          <w:rFonts w:ascii="Times New Roman" w:hAnsi="Times New Roman"/>
          <w:i/>
          <w:color w:val="555555"/>
          <w:sz w:val="18"/>
        </w:rPr>
        <w:t>Figure 2 -- ARIMA(1,1,1) Malaysia MAPE 1.71% (left); ARIMA(2,1,0) Philippines MAPE 3.56% (right).</w:t>
      </w:r>
    </w:p>
    <w:p>
      <w:pPr>
        <w:spacing w:before="80" w:after="30" w:line="240" w:lineRule="atLeast"/>
        <w:keepNext/>
      </w:pPr>
      <w:r>
        <w:rPr>
          <w:rFonts w:ascii="Times New Roman" w:hAnsi="Times New Roman"/>
          <w:b/>
          <w:color w:val="6B2737"/>
          <w:sz w:val="24"/>
        </w:rPr>
        <w:t>3.1  Pre-Processing Improvements</w:t>
      </w:r>
    </w:p>
    <w:tbl>
      <w:tblPr>
        <w:tblStyle w:val="TableGrid"/>
        <w:tblW w:type="auto" w:w="0"/>
        <w:jc w:val="left"/>
        <w:tblLook w:firstColumn="1" w:firstRow="1" w:lastColumn="0" w:lastRow="0" w:noHBand="0" w:noVBand="1" w:val="04A0"/>
      </w:tblPr>
      <w:tblGrid>
        <w:gridCol w:w="3009"/>
        <w:gridCol w:w="3009"/>
        <w:gridCol w:w="3009"/>
      </w:tblGrid>
      <w:tr>
        <w:tc>
          <w:tcPr>
            <w:tcW w:type="dxa" w:w="2232"/>
            <w:shd w:val="clear" w:color="auto" w:fill="6b2737"/>
          </w:tcPr>
          <w:p>
            <w:pPr>
              <w:jc w:val="center"/>
              <w:spacing w:before="0" w:after="0" w:line="240" w:lineRule="atLeast"/>
            </w:pPr>
            <w:r>
              <w:rPr>
                <w:rFonts w:ascii="Times New Roman" w:hAnsi="Times New Roman"/>
                <w:b/>
                <w:color w:val="FFFFFF"/>
                <w:sz w:val="20"/>
              </w:rPr>
              <w:t>Improvement</w:t>
            </w:r>
          </w:p>
        </w:tc>
        <w:tc>
          <w:tcPr>
            <w:tcW w:type="dxa" w:w="3168"/>
            <w:shd w:val="clear" w:color="auto" w:fill="6b2737"/>
          </w:tcPr>
          <w:p>
            <w:pPr>
              <w:jc w:val="center"/>
              <w:spacing w:before="0" w:after="0" w:line="240" w:lineRule="atLeast"/>
            </w:pPr>
            <w:r>
              <w:rPr>
                <w:rFonts w:ascii="Times New Roman" w:hAnsi="Times New Roman"/>
                <w:b/>
                <w:color w:val="FFFFFF"/>
                <w:sz w:val="20"/>
              </w:rPr>
              <w:t>Issue Identified</w:t>
            </w:r>
          </w:p>
        </w:tc>
        <w:tc>
          <w:tcPr>
            <w:tcW w:type="dxa" w:w="3629"/>
            <w:shd w:val="clear" w:color="auto" w:fill="6b2737"/>
          </w:tcPr>
          <w:p>
            <w:pPr>
              <w:jc w:val="center"/>
              <w:spacing w:before="0" w:after="0" w:line="240" w:lineRule="atLeast"/>
            </w:pPr>
            <w:r>
              <w:rPr>
                <w:rFonts w:ascii="Times New Roman" w:hAnsi="Times New Roman"/>
                <w:b/>
                <w:color w:val="FFFFFF"/>
                <w:sz w:val="20"/>
              </w:rPr>
              <w:t>Resolution Applied</w:t>
            </w:r>
          </w:p>
        </w:tc>
      </w:tr>
      <w:tr>
        <w:tc>
          <w:tcPr>
            <w:tcW w:type="dxa" w:w="2232"/>
            <w:shd w:val="clear" w:color="auto" w:fill="FFFFFF"/>
          </w:tcPr>
          <w:p>
            <w:pPr>
              <w:jc w:val="left"/>
              <w:spacing w:before="0" w:after="0" w:line="240" w:lineRule="atLeast"/>
            </w:pPr>
            <w:r>
              <w:rPr>
                <w:rFonts w:ascii="Times New Roman" w:hAnsi="Times New Roman"/>
                <w:sz w:val="20"/>
              </w:rPr>
              <w:t>Column disambiguation</w:t>
            </w:r>
          </w:p>
        </w:tc>
        <w:tc>
          <w:tcPr>
            <w:tcW w:type="dxa" w:w="3168"/>
            <w:shd w:val="clear" w:color="auto" w:fill="FFFFFF"/>
          </w:tcPr>
          <w:p>
            <w:pPr>
              <w:jc w:val="left"/>
              <w:spacing w:before="0" w:after="0" w:line="240" w:lineRule="atLeast"/>
            </w:pPr>
            <w:r>
              <w:rPr>
                <w:rFonts w:ascii="Times New Roman" w:hAnsi="Times New Roman"/>
                <w:sz w:val="20"/>
              </w:rPr>
              <w:t>EN.ATM.GHGT.KT.CE (deprecated CE basis) overstated GHG by 12%</w:t>
            </w:r>
          </w:p>
        </w:tc>
        <w:tc>
          <w:tcPr>
            <w:tcW w:type="dxa" w:w="3629"/>
            <w:shd w:val="clear" w:color="auto" w:fill="FFFFFF"/>
          </w:tcPr>
          <w:p>
            <w:pPr>
              <w:jc w:val="left"/>
              <w:spacing w:before="0" w:after="0" w:line="240" w:lineRule="atLeast"/>
            </w:pPr>
            <w:r>
              <w:rPr>
                <w:rFonts w:ascii="Times New Roman" w:hAnsi="Times New Roman"/>
                <w:sz w:val="20"/>
              </w:rPr>
              <w:t>Switched to WB_WDI_EN_GHG_ALL_MT_CE_AR5 (AR5 GWP100; IPCC AR6 consistent)</w:t>
            </w:r>
          </w:p>
        </w:tc>
      </w:tr>
      <w:tr>
        <w:tc>
          <w:tcPr>
            <w:tcW w:type="dxa" w:w="2232"/>
            <w:shd w:val="clear" w:color="auto" w:fill="F5F5F5"/>
          </w:tcPr>
          <w:p>
            <w:pPr>
              <w:jc w:val="left"/>
              <w:spacing w:before="0" w:after="0" w:line="240" w:lineRule="atLeast"/>
            </w:pPr>
            <w:r>
              <w:rPr>
                <w:rFonts w:ascii="Times New Roman" w:hAnsi="Times New Roman"/>
                <w:sz w:val="20"/>
              </w:rPr>
              <w:t>Rolling validation</w:t>
            </w:r>
          </w:p>
        </w:tc>
        <w:tc>
          <w:tcPr>
            <w:tcW w:type="dxa" w:w="3168"/>
            <w:shd w:val="clear" w:color="auto" w:fill="F5F5F5"/>
          </w:tcPr>
          <w:p>
            <w:pPr>
              <w:jc w:val="left"/>
              <w:spacing w:before="0" w:after="0" w:line="240" w:lineRule="atLeast"/>
            </w:pPr>
            <w:r>
              <w:rPr>
                <w:rFonts w:ascii="Times New Roman" w:hAnsi="Times New Roman"/>
                <w:sz w:val="20"/>
              </w:rPr>
              <w:t>Static split inflated accuracy via data leakage</w:t>
            </w:r>
          </w:p>
        </w:tc>
        <w:tc>
          <w:tcPr>
            <w:tcW w:type="dxa" w:w="3629"/>
            <w:shd w:val="clear" w:color="auto" w:fill="F5F5F5"/>
          </w:tcPr>
          <w:p>
            <w:pPr>
              <w:jc w:val="left"/>
              <w:spacing w:before="0" w:after="0" w:line="240" w:lineRule="atLeast"/>
            </w:pPr>
            <w:r>
              <w:rPr>
                <w:rFonts w:ascii="Times New Roman" w:hAnsi="Times New Roman"/>
                <w:sz w:val="20"/>
              </w:rPr>
              <w:t>3-step rolling 1-step-ahead MAPE on 2021--2023</w:t>
            </w:r>
          </w:p>
        </w:tc>
      </w:tr>
      <w:tr>
        <w:tc>
          <w:tcPr>
            <w:tcW w:type="dxa" w:w="2232"/>
            <w:shd w:val="clear" w:color="auto" w:fill="FFFFFF"/>
          </w:tcPr>
          <w:p>
            <w:pPr>
              <w:jc w:val="left"/>
              <w:spacing w:before="0" w:after="0" w:line="240" w:lineRule="atLeast"/>
            </w:pPr>
            <w:r>
              <w:rPr>
                <w:rFonts w:ascii="Times New Roman" w:hAnsi="Times New Roman"/>
                <w:sz w:val="20"/>
              </w:rPr>
              <w:t>LULUCF exclusion</w:t>
            </w:r>
          </w:p>
        </w:tc>
        <w:tc>
          <w:tcPr>
            <w:tcW w:type="dxa" w:w="3168"/>
            <w:shd w:val="clear" w:color="auto" w:fill="FFFFFF"/>
          </w:tcPr>
          <w:p>
            <w:pPr>
              <w:jc w:val="left"/>
              <w:spacing w:before="0" w:after="0" w:line="240" w:lineRule="atLeast"/>
            </w:pPr>
            <w:r>
              <w:rPr>
                <w:rFonts w:ascii="Times New Roman" w:hAnsi="Times New Roman"/>
                <w:sz w:val="20"/>
              </w:rPr>
              <w:t>Including LULUCF in ARIMA target caused double-counting with transition module</w:t>
            </w:r>
          </w:p>
        </w:tc>
        <w:tc>
          <w:tcPr>
            <w:tcW w:type="dxa" w:w="3629"/>
            <w:shd w:val="clear" w:color="auto" w:fill="FFFFFF"/>
          </w:tcPr>
          <w:p>
            <w:pPr>
              <w:jc w:val="left"/>
              <w:spacing w:before="0" w:after="0" w:line="240" w:lineRule="atLeast"/>
            </w:pPr>
            <w:r>
              <w:rPr>
                <w:rFonts w:ascii="Times New Roman" w:hAnsi="Times New Roman"/>
                <w:sz w:val="20"/>
              </w:rPr>
              <w:t>Excluded from ARIMA; handled as separate sector in Section 6</w:t>
            </w:r>
          </w:p>
        </w:tc>
      </w:tr>
      <w:tr>
        <w:tc>
          <w:tcPr>
            <w:tcW w:type="dxa" w:w="2232"/>
            <w:shd w:val="clear" w:color="auto" w:fill="F5F5F5"/>
          </w:tcPr>
          <w:p>
            <w:pPr>
              <w:jc w:val="left"/>
              <w:spacing w:before="0" w:after="0" w:line="240" w:lineRule="atLeast"/>
            </w:pPr>
            <w:r>
              <w:rPr>
                <w:rFonts w:ascii="Times New Roman" w:hAnsi="Times New Roman"/>
                <w:sz w:val="20"/>
              </w:rPr>
              <w:t>ARIMAX rejection</w:t>
            </w:r>
          </w:p>
        </w:tc>
        <w:tc>
          <w:tcPr>
            <w:tcW w:type="dxa" w:w="3168"/>
            <w:shd w:val="clear" w:color="auto" w:fill="F5F5F5"/>
          </w:tcPr>
          <w:p>
            <w:pPr>
              <w:jc w:val="left"/>
              <w:spacing w:before="0" w:after="0" w:line="240" w:lineRule="atLeast"/>
            </w:pPr>
            <w:r>
              <w:rPr>
                <w:rFonts w:ascii="Times New Roman" w:hAnsi="Times New Roman"/>
                <w:sz w:val="20"/>
              </w:rPr>
              <w:t>GDP/urbanisation regressors introduce endogenous forecast error</w:t>
            </w:r>
          </w:p>
        </w:tc>
        <w:tc>
          <w:tcPr>
            <w:tcW w:type="dxa" w:w="3629"/>
            <w:shd w:val="clear" w:color="auto" w:fill="F5F5F5"/>
          </w:tcPr>
          <w:p>
            <w:pPr>
              <w:jc w:val="left"/>
              <w:spacing w:before="0" w:after="0" w:line="240" w:lineRule="atLeast"/>
            </w:pPr>
            <w:r>
              <w:rPr>
                <w:rFonts w:ascii="Times New Roman" w:hAnsi="Times New Roman"/>
                <w:sz w:val="20"/>
              </w:rPr>
              <w:t>Univariate ARIMA retained; clean Ljung-Box ACF confirms adequacy</w:t>
            </w:r>
          </w:p>
        </w:tc>
      </w:tr>
    </w:tbl>
    <w:p>
      <w:pPr>
        <w:spacing w:before="80" w:after="30" w:line="240" w:lineRule="atLeast"/>
        <w:keepNext/>
      </w:pPr>
      <w:r>
        <w:rPr>
          <w:rFonts w:ascii="Times New Roman" w:hAnsi="Times New Roman"/>
          <w:b/>
          <w:color w:val="6B2737"/>
          <w:sz w:val="24"/>
        </w:rPr>
        <w:t>3.2  Model Implications for Treaty Pricing</w:t>
      </w:r>
    </w:p>
    <w:p>
      <w:pPr>
        <w:jc w:val="both"/>
        <w:spacing w:before="0" w:after="35" w:line="240" w:lineRule="atLeast"/>
        <w:ind w:left="360" w:hanging="180"/>
      </w:pPr>
      <w:r>
        <w:rPr>
          <w:rFonts w:ascii="Times New Roman" w:hAnsi="Times New Roman"/>
          <w:b w:val="0"/>
          <w:i w:val="0"/>
          <w:sz w:val="24"/>
        </w:rPr>
        <w:t>•  MYS MAPE 1.71% confirms high forecast confidence. The upper CI of 342.3 MtCO2e implies a worst-case +5.3% emission overstatement, which flows directly into an equivalent overstatement of NZ2050 compliance costs -- providing a margin of safety in the transition surcharge calculation.</w:t>
      </w:r>
    </w:p>
    <w:p>
      <w:pPr>
        <w:jc w:val="both"/>
        <w:spacing w:before="0" w:after="35" w:line="240" w:lineRule="atLeast"/>
        <w:ind w:left="360" w:hanging="180"/>
      </w:pPr>
      <w:r>
        <w:rPr>
          <w:rFonts w:ascii="Times New Roman" w:hAnsi="Times New Roman"/>
          <w:b w:val="0"/>
          <w:i w:val="0"/>
          <w:sz w:val="24"/>
        </w:rPr>
        <w:t>•  PHL MAPE 3.56% reflects inter-annual policy variability under the EPIRA amendment. The upper CI of 272.4 MtCO2e is applied in the 2x carbon stress scenario to avoid understating PHL transition exposure.</w:t>
      </w:r>
    </w:p>
    <w:p>
      <w:pPr>
        <w:jc w:val="both"/>
        <w:spacing w:before="0" w:after="35" w:line="240" w:lineRule="atLeast"/>
        <w:ind w:left="360" w:hanging="180"/>
      </w:pPr>
      <w:r>
        <w:rPr>
          <w:rFonts w:ascii="Times New Roman" w:hAnsi="Times New Roman"/>
          <w:b w:val="0"/>
          <w:i w:val="0"/>
          <w:sz w:val="24"/>
        </w:rPr>
        <w:t>•  Under NGFS NZ2050 (3%/yr abatement), GHG baselines decline to 317 MtCO2e (MYS) and 162 MtCO2e (PHL) by 2030. However, carbon price escalation outpaces emission reduction, creating peak annual compliance cost in 2026--2028 -- the binding capital constraint window identified in the stress test.</w:t>
      </w:r>
    </w:p>
    <w:p>
      <w:pPr>
        <w:jc w:val="both"/>
        <w:spacing w:before="0" w:after="35" w:line="240" w:lineRule="atLeast"/>
        <w:ind w:left="360" w:hanging="180"/>
      </w:pPr>
      <w:r>
        <w:rPr>
          <w:rFonts w:ascii="Times New Roman" w:hAnsi="Times New Roman"/>
          <w:b w:val="0"/>
          <w:i w:val="0"/>
          <w:sz w:val="24"/>
        </w:rPr>
        <w:t>•  The ARIMA pipeline is fully auditable and refreshable in under 30 minutes when new WDI vintages are released, ensuring the pricing baseline remains current between NGFS Phase updates.</w:t>
      </w:r>
    </w:p>
    <w:p>
      <w:pPr>
        <w:spacing w:before="0" w:after="0"/>
      </w:pPr>
      <w:r>
        <w:br w:type="page"/>
      </w:r>
    </w:p>
    <w:p>
      <w:pPr>
        <w:spacing w:before="120" w:after="60" w:line="276" w:lineRule="atLeast"/>
        <w:keepNext/>
        <w:pBdr>
          <w:bottom w:val="single" w:sz="6" w:space="1" w:color="6b2737"/>
        </w:pBdr>
      </w:pPr>
      <w:r>
        <w:rPr>
          <w:rFonts w:ascii="Times New Roman" w:hAnsi="Times New Roman"/>
          <w:b/>
          <w:color w:val="1A1A2E"/>
          <w:sz w:val="28"/>
        </w:rPr>
        <w:t>4.  Physical Hazard -- GEV Analysis &amp; EAL Repricing</w:t>
      </w:r>
    </w:p>
    <w:p>
      <w:pPr>
        <w:jc w:val="both"/>
        <w:spacing w:before="0" w:after="80" w:line="240" w:lineRule="atLeast"/>
      </w:pPr>
      <w:r>
        <w:rPr>
          <w:rFonts w:ascii="Times New Roman" w:hAnsi="Times New Roman"/>
          <w:b w:val="0"/>
          <w:i w:val="0"/>
          <w:sz w:val="24"/>
        </w:rPr>
        <w:t>GEV distributions are fitted to 34 years of CHIRPS RX5day annual maxima by MLE with 500-iteration bootstrap CI (seed 42). Regime detection uses PELT (BIC penalty). EAL is integrated from the GEV survival function against EM-DAT insured losses, with forward EAL incorporating the post-2007 hazard baseline uplift.</w:t>
      </w:r>
    </w:p>
    <w:p>
      <w:pPr>
        <w:spacing w:before="80" w:after="30" w:line="240" w:lineRule="atLeast"/>
        <w:keepNext/>
      </w:pPr>
      <w:r>
        <w:rPr>
          <w:rFonts w:ascii="Times New Roman" w:hAnsi="Times New Roman"/>
          <w:b/>
          <w:color w:val="6B2737"/>
          <w:sz w:val="24"/>
        </w:rPr>
        <w:t>4.1  GEV Parameters, Return Levels &amp; PELT Validation</w:t>
      </w:r>
    </w:p>
    <w:tbl>
      <w:tblPr>
        <w:tblStyle w:val="TableGrid"/>
        <w:tblW w:type="auto" w:w="0"/>
        <w:jc w:val="left"/>
        <w:tblLook w:firstColumn="1" w:firstRow="1" w:lastColumn="0" w:lastRow="0" w:noHBand="0" w:noVBand="1" w:val="04A0"/>
      </w:tblPr>
      <w:tblGrid>
        <w:gridCol w:w="1289"/>
        <w:gridCol w:w="1289"/>
        <w:gridCol w:w="1289"/>
        <w:gridCol w:w="1289"/>
        <w:gridCol w:w="1289"/>
        <w:gridCol w:w="1289"/>
        <w:gridCol w:w="1289"/>
      </w:tblGrid>
      <w:tr>
        <w:tc>
          <w:tcPr>
            <w:tcW w:type="dxa" w:w="1181"/>
            <w:shd w:val="clear" w:color="auto" w:fill="6b2737"/>
          </w:tcPr>
          <w:p>
            <w:pPr>
              <w:jc w:val="center"/>
              <w:spacing w:before="0" w:after="0" w:line="240" w:lineRule="atLeast"/>
            </w:pPr>
            <w:r>
              <w:rPr>
                <w:rFonts w:ascii="Times New Roman" w:hAnsi="Times New Roman"/>
                <w:b/>
                <w:color w:val="FFFFFF"/>
                <w:sz w:val="20"/>
              </w:rPr>
              <w:t>Country</w:t>
            </w:r>
          </w:p>
        </w:tc>
        <w:tc>
          <w:tcPr>
            <w:tcW w:type="dxa" w:w="1584"/>
            <w:shd w:val="clear" w:color="auto" w:fill="6b2737"/>
          </w:tcPr>
          <w:p>
            <w:pPr>
              <w:jc w:val="center"/>
              <w:spacing w:before="0" w:after="0" w:line="240" w:lineRule="atLeast"/>
            </w:pPr>
            <w:r>
              <w:rPr>
                <w:rFonts w:ascii="Times New Roman" w:hAnsi="Times New Roman"/>
                <w:b/>
                <w:color w:val="FFFFFF"/>
                <w:sz w:val="20"/>
              </w:rPr>
              <w:t>GEV Family</w:t>
            </w:r>
          </w:p>
        </w:tc>
        <w:tc>
          <w:tcPr>
            <w:tcW w:type="dxa" w:w="1296"/>
            <w:shd w:val="clear" w:color="auto" w:fill="6b2737"/>
          </w:tcPr>
          <w:p>
            <w:pPr>
              <w:jc w:val="center"/>
              <w:spacing w:before="0" w:after="0" w:line="240" w:lineRule="atLeast"/>
            </w:pPr>
            <w:r>
              <w:rPr>
                <w:rFonts w:ascii="Times New Roman" w:hAnsi="Times New Roman"/>
                <w:b/>
                <w:color w:val="FFFFFF"/>
                <w:sz w:val="20"/>
              </w:rPr>
              <w:t>RL-100yr (mm)</w:t>
            </w:r>
          </w:p>
        </w:tc>
        <w:tc>
          <w:tcPr>
            <w:tcW w:type="dxa" w:w="1872"/>
            <w:shd w:val="clear" w:color="auto" w:fill="6b2737"/>
          </w:tcPr>
          <w:p>
            <w:pPr>
              <w:jc w:val="center"/>
              <w:spacing w:before="0" w:after="0" w:line="240" w:lineRule="atLeast"/>
            </w:pPr>
            <w:r>
              <w:rPr>
                <w:rFonts w:ascii="Times New Roman" w:hAnsi="Times New Roman"/>
                <w:b/>
                <w:color w:val="FFFFFF"/>
                <w:sz w:val="20"/>
              </w:rPr>
              <w:t>95% CI (mm)</w:t>
            </w:r>
          </w:p>
        </w:tc>
        <w:tc>
          <w:tcPr>
            <w:tcW w:type="dxa" w:w="1080"/>
            <w:shd w:val="clear" w:color="auto" w:fill="6b2737"/>
          </w:tcPr>
          <w:p>
            <w:pPr>
              <w:jc w:val="center"/>
              <w:spacing w:before="0" w:after="0" w:line="240" w:lineRule="atLeast"/>
            </w:pPr>
            <w:r>
              <w:rPr>
                <w:rFonts w:ascii="Times New Roman" w:hAnsi="Times New Roman"/>
                <w:b/>
                <w:color w:val="FFFFFF"/>
                <w:sz w:val="20"/>
              </w:rPr>
              <w:t>PELT Break</w:t>
            </w:r>
          </w:p>
        </w:tc>
        <w:tc>
          <w:tcPr>
            <w:tcW w:type="dxa" w:w="893"/>
            <w:shd w:val="clear" w:color="auto" w:fill="6b2737"/>
          </w:tcPr>
          <w:p>
            <w:pPr>
              <w:jc w:val="center"/>
              <w:spacing w:before="0" w:after="0" w:line="240" w:lineRule="atLeast"/>
            </w:pPr>
            <w:r>
              <w:rPr>
                <w:rFonts w:ascii="Times New Roman" w:hAnsi="Times New Roman"/>
                <w:b/>
                <w:color w:val="FFFFFF"/>
                <w:sz w:val="20"/>
              </w:rPr>
              <w:t>Uplift</w:t>
            </w:r>
          </w:p>
        </w:tc>
        <w:tc>
          <w:tcPr>
            <w:tcW w:type="dxa" w:w="1123"/>
            <w:shd w:val="clear" w:color="auto" w:fill="6b2737"/>
          </w:tcPr>
          <w:p>
            <w:pPr>
              <w:jc w:val="center"/>
              <w:spacing w:before="0" w:after="0" w:line="240" w:lineRule="atLeast"/>
            </w:pPr>
            <w:r>
              <w:rPr>
                <w:rFonts w:ascii="Times New Roman" w:hAnsi="Times New Roman"/>
                <w:b/>
                <w:color w:val="FFFFFF"/>
                <w:sz w:val="20"/>
              </w:rPr>
              <w:t>EAL Gap</w:t>
            </w:r>
          </w:p>
        </w:tc>
      </w:tr>
      <w:tr>
        <w:tc>
          <w:tcPr>
            <w:tcW w:type="dxa" w:w="1181"/>
            <w:shd w:val="clear" w:color="auto" w:fill="FFFFFF"/>
          </w:tcPr>
          <w:p>
            <w:pPr>
              <w:jc w:val="left"/>
              <w:spacing w:before="0" w:after="0" w:line="240" w:lineRule="atLeast"/>
            </w:pPr>
            <w:r>
              <w:rPr>
                <w:rFonts w:ascii="Times New Roman" w:hAnsi="Times New Roman"/>
                <w:sz w:val="20"/>
              </w:rPr>
              <w:t>Malaysia</w:t>
            </w:r>
          </w:p>
        </w:tc>
        <w:tc>
          <w:tcPr>
            <w:tcW w:type="dxa" w:w="1584"/>
            <w:shd w:val="clear" w:color="auto" w:fill="FFFFFF"/>
          </w:tcPr>
          <w:p>
            <w:pPr>
              <w:jc w:val="left"/>
              <w:spacing w:before="0" w:after="0" w:line="240" w:lineRule="atLeast"/>
            </w:pPr>
            <w:r>
              <w:rPr>
                <w:rFonts w:ascii="Times New Roman" w:hAnsi="Times New Roman"/>
                <w:sz w:val="20"/>
              </w:rPr>
              <w:t>Weibull (xi&lt;0)</w:t>
            </w:r>
          </w:p>
        </w:tc>
        <w:tc>
          <w:tcPr>
            <w:tcW w:type="dxa" w:w="1296"/>
            <w:shd w:val="clear" w:color="auto" w:fill="FFFFFF"/>
          </w:tcPr>
          <w:p>
            <w:pPr>
              <w:jc w:val="left"/>
              <w:spacing w:before="0" w:after="0" w:line="240" w:lineRule="atLeast"/>
            </w:pPr>
            <w:r>
              <w:rPr>
                <w:rFonts w:ascii="Times New Roman" w:hAnsi="Times New Roman"/>
                <w:sz w:val="20"/>
              </w:rPr>
              <w:t>216.4</w:t>
            </w:r>
          </w:p>
        </w:tc>
        <w:tc>
          <w:tcPr>
            <w:tcW w:type="dxa" w:w="1872"/>
            <w:shd w:val="clear" w:color="auto" w:fill="FFFFFF"/>
          </w:tcPr>
          <w:p>
            <w:pPr>
              <w:jc w:val="left"/>
              <w:spacing w:before="0" w:after="0" w:line="240" w:lineRule="atLeast"/>
            </w:pPr>
            <w:r>
              <w:rPr>
                <w:rFonts w:ascii="Times New Roman" w:hAnsi="Times New Roman"/>
                <w:sz w:val="20"/>
              </w:rPr>
              <w:t>[170.8, 343.6]</w:t>
            </w:r>
          </w:p>
        </w:tc>
        <w:tc>
          <w:tcPr>
            <w:tcW w:type="dxa" w:w="1080"/>
            <w:shd w:val="clear" w:color="auto" w:fill="FFFFFF"/>
          </w:tcPr>
          <w:p>
            <w:pPr>
              <w:jc w:val="left"/>
              <w:spacing w:before="0" w:after="0" w:line="240" w:lineRule="atLeast"/>
            </w:pPr>
            <w:r>
              <w:rPr>
                <w:rFonts w:ascii="Times New Roman" w:hAnsi="Times New Roman"/>
                <w:sz w:val="20"/>
              </w:rPr>
              <w:t>2007</w:t>
            </w:r>
          </w:p>
        </w:tc>
        <w:tc>
          <w:tcPr>
            <w:tcW w:type="dxa" w:w="893"/>
            <w:shd w:val="clear" w:color="auto" w:fill="FFFFFF"/>
          </w:tcPr>
          <w:p>
            <w:pPr>
              <w:jc w:val="left"/>
              <w:spacing w:before="0" w:after="0" w:line="240" w:lineRule="atLeast"/>
            </w:pPr>
            <w:r>
              <w:rPr>
                <w:rFonts w:ascii="Times New Roman" w:hAnsi="Times New Roman"/>
                <w:sz w:val="20"/>
              </w:rPr>
              <w:t>+6.9%</w:t>
            </w:r>
          </w:p>
        </w:tc>
        <w:tc>
          <w:tcPr>
            <w:tcW w:type="dxa" w:w="1123"/>
            <w:shd w:val="clear" w:color="auto" w:fill="FFFFFF"/>
          </w:tcPr>
          <w:p>
            <w:pPr>
              <w:jc w:val="left"/>
              <w:spacing w:before="0" w:after="0" w:line="240" w:lineRule="atLeast"/>
            </w:pPr>
            <w:r>
              <w:rPr>
                <w:rFonts w:ascii="Times New Roman" w:hAnsi="Times New Roman"/>
                <w:sz w:val="20"/>
              </w:rPr>
              <w:t>+5.87%</w:t>
            </w:r>
          </w:p>
        </w:tc>
      </w:tr>
      <w:tr>
        <w:tc>
          <w:tcPr>
            <w:tcW w:type="dxa" w:w="1181"/>
            <w:shd w:val="clear" w:color="auto" w:fill="F5F5F5"/>
          </w:tcPr>
          <w:p>
            <w:pPr>
              <w:jc w:val="left"/>
              <w:spacing w:before="0" w:after="0" w:line="240" w:lineRule="atLeast"/>
            </w:pPr>
            <w:r>
              <w:rPr>
                <w:rFonts w:ascii="Times New Roman" w:hAnsi="Times New Roman"/>
                <w:sz w:val="20"/>
              </w:rPr>
              <w:t>Philippines</w:t>
            </w:r>
          </w:p>
        </w:tc>
        <w:tc>
          <w:tcPr>
            <w:tcW w:type="dxa" w:w="1584"/>
            <w:shd w:val="clear" w:color="auto" w:fill="F5F5F5"/>
          </w:tcPr>
          <w:p>
            <w:pPr>
              <w:jc w:val="left"/>
              <w:spacing w:before="0" w:after="0" w:line="240" w:lineRule="atLeast"/>
            </w:pPr>
            <w:r>
              <w:rPr>
                <w:rFonts w:ascii="Times New Roman" w:hAnsi="Times New Roman"/>
                <w:sz w:val="20"/>
              </w:rPr>
              <w:t>Weibull (xi&lt;0)</w:t>
            </w:r>
          </w:p>
        </w:tc>
        <w:tc>
          <w:tcPr>
            <w:tcW w:type="dxa" w:w="1296"/>
            <w:shd w:val="clear" w:color="auto" w:fill="F5F5F5"/>
          </w:tcPr>
          <w:p>
            <w:pPr>
              <w:jc w:val="left"/>
              <w:spacing w:before="0" w:after="0" w:line="240" w:lineRule="atLeast"/>
            </w:pPr>
            <w:r>
              <w:rPr>
                <w:rFonts w:ascii="Times New Roman" w:hAnsi="Times New Roman"/>
                <w:sz w:val="20"/>
              </w:rPr>
              <w:t>520.7</w:t>
            </w:r>
          </w:p>
        </w:tc>
        <w:tc>
          <w:tcPr>
            <w:tcW w:type="dxa" w:w="1872"/>
            <w:shd w:val="clear" w:color="auto" w:fill="F5F5F5"/>
          </w:tcPr>
          <w:p>
            <w:pPr>
              <w:jc w:val="left"/>
              <w:spacing w:before="0" w:after="0" w:line="240" w:lineRule="atLeast"/>
            </w:pPr>
            <w:r>
              <w:rPr>
                <w:rFonts w:ascii="Times New Roman" w:hAnsi="Times New Roman"/>
                <w:sz w:val="20"/>
              </w:rPr>
              <w:t>[326.1, 984.8]</w:t>
            </w:r>
          </w:p>
        </w:tc>
        <w:tc>
          <w:tcPr>
            <w:tcW w:type="dxa" w:w="1080"/>
            <w:shd w:val="clear" w:color="auto" w:fill="F5F5F5"/>
          </w:tcPr>
          <w:p>
            <w:pPr>
              <w:jc w:val="left"/>
              <w:spacing w:before="0" w:after="0" w:line="240" w:lineRule="atLeast"/>
            </w:pPr>
            <w:r>
              <w:rPr>
                <w:rFonts w:ascii="Times New Roman" w:hAnsi="Times New Roman"/>
                <w:sz w:val="20"/>
              </w:rPr>
              <w:t>2007</w:t>
            </w:r>
          </w:p>
        </w:tc>
        <w:tc>
          <w:tcPr>
            <w:tcW w:type="dxa" w:w="893"/>
            <w:shd w:val="clear" w:color="auto" w:fill="F5F5F5"/>
          </w:tcPr>
          <w:p>
            <w:pPr>
              <w:jc w:val="left"/>
              <w:spacing w:before="0" w:after="0" w:line="240" w:lineRule="atLeast"/>
            </w:pPr>
            <w:r>
              <w:rPr>
                <w:rFonts w:ascii="Times New Roman" w:hAnsi="Times New Roman"/>
                <w:sz w:val="20"/>
              </w:rPr>
              <w:t>+6.1%</w:t>
            </w:r>
          </w:p>
        </w:tc>
        <w:tc>
          <w:tcPr>
            <w:tcW w:type="dxa" w:w="1123"/>
            <w:shd w:val="clear" w:color="auto" w:fill="F5F5F5"/>
          </w:tcPr>
          <w:p>
            <w:pPr>
              <w:jc w:val="left"/>
              <w:spacing w:before="0" w:after="0" w:line="240" w:lineRule="atLeast"/>
            </w:pPr>
            <w:r>
              <w:rPr>
                <w:rFonts w:ascii="Times New Roman" w:hAnsi="Times New Roman"/>
                <w:sz w:val="20"/>
              </w:rPr>
              <w:t>+1.28%</w:t>
            </w:r>
          </w:p>
        </w:tc>
      </w:tr>
    </w:tbl>
    <w:p>
      <w:pPr>
        <w:jc w:val="center"/>
        <w:spacing w:before="20" w:after="80" w:line="240" w:lineRule="atLeast"/>
      </w:pPr>
      <w:r>
        <w:rPr>
          <w:rFonts w:ascii="Times New Roman" w:hAnsi="Times New Roman"/>
          <w:i/>
          <w:color w:val="555555"/>
          <w:sz w:val="18"/>
        </w:rPr>
        <w:t>Table 3 -- GEV parameters; 100-yr return levels with bootstrap 95% CI.</w:t>
      </w:r>
    </w:p>
    <w:p>
      <w:pPr>
        <w:jc w:val="center"/>
        <w:spacing w:before="40" w:after="20" w:line="240" w:lineRule="atLeast"/>
      </w:pPr>
      <w:r>
        <w:drawing>
          <wp:inline xmlns:a="http://schemas.openxmlformats.org/drawingml/2006/main" xmlns:pic="http://schemas.openxmlformats.org/drawingml/2006/picture">
            <wp:extent cx="2651760" cy="1931560"/>
            <wp:docPr id="5" name="Picture 5"/>
            <wp:cNvGraphicFramePr>
              <a:graphicFrameLocks noChangeAspect="1"/>
            </wp:cNvGraphicFramePr>
            <a:graphic>
              <a:graphicData uri="http://schemas.openxmlformats.org/drawingml/2006/picture">
                <pic:pic>
                  <pic:nvPicPr>
                    <pic:cNvPr id="0" name="r3_gev_and_regime_break.png"/>
                    <pic:cNvPicPr/>
                  </pic:nvPicPr>
                  <pic:blipFill>
                    <a:blip r:embed="rId13"/>
                    <a:stretch>
                      <a:fillRect/>
                    </a:stretch>
                  </pic:blipFill>
                  <pic:spPr>
                    <a:xfrm>
                      <a:off x="0" y="0"/>
                      <a:ext cx="2651760" cy="1931560"/>
                    </a:xfrm>
                    <a:prstGeom prst="rect"/>
                  </pic:spPr>
                </pic:pic>
              </a:graphicData>
            </a:graphic>
          </wp:inline>
        </w:drawing>
      </w:r>
      <w:r>
        <w:t xml:space="preserve">  </w:t>
      </w:r>
      <w:r>
        <w:drawing>
          <wp:inline xmlns:a="http://schemas.openxmlformats.org/drawingml/2006/main" xmlns:pic="http://schemas.openxmlformats.org/drawingml/2006/picture">
            <wp:extent cx="2651760" cy="1777096"/>
            <wp:docPr id="6" name="Picture 6"/>
            <wp:cNvGraphicFramePr>
              <a:graphicFrameLocks noChangeAspect="1"/>
            </wp:cNvGraphicFramePr>
            <a:graphic>
              <a:graphicData uri="http://schemas.openxmlformats.org/drawingml/2006/picture">
                <pic:pic>
                  <pic:nvPicPr>
                    <pic:cNvPr id="0" name="r3_qq_distributional_comparison.png"/>
                    <pic:cNvPicPr/>
                  </pic:nvPicPr>
                  <pic:blipFill>
                    <a:blip r:embed="rId14"/>
                    <a:stretch>
                      <a:fillRect/>
                    </a:stretch>
                  </pic:blipFill>
                  <pic:spPr>
                    <a:xfrm>
                      <a:off x="0" y="0"/>
                      <a:ext cx="2651760" cy="1777096"/>
                    </a:xfrm>
                    <a:prstGeom prst="rect"/>
                  </pic:spPr>
                </pic:pic>
              </a:graphicData>
            </a:graphic>
          </wp:inline>
        </w:drawing>
      </w:r>
    </w:p>
    <w:p>
      <w:pPr>
        <w:jc w:val="center"/>
        <w:spacing w:before="20" w:after="80" w:line="240" w:lineRule="atLeast"/>
      </w:pPr>
      <w:r>
        <w:rPr>
          <w:rFonts w:ascii="Times New Roman" w:hAnsi="Times New Roman"/>
          <w:i/>
          <w:color w:val="555555"/>
          <w:sz w:val="18"/>
        </w:rPr>
        <w:t>Figure 3 -- PELT regime break: +6.9% MYS / +6.1% PHL post-2007 hazard shift (left); GEV Q-Q plots confirming Weibull family fit for both countries (right).</w:t>
      </w:r>
    </w:p>
    <w:p>
      <w:pPr>
        <w:jc w:val="both"/>
        <w:spacing w:before="0" w:after="80" w:line="240" w:lineRule="atLeast"/>
      </w:pPr>
      <w:r>
        <w:rPr>
          <w:rFonts w:ascii="Times New Roman" w:hAnsi="Times New Roman"/>
          <w:b w:val="0"/>
          <w:i w:val="0"/>
          <w:sz w:val="24"/>
        </w:rPr>
        <w:t>The 2007 PELT breakpoint is not an artefact of limited sample size. It coincides with documented Indo-Pacific Warm Pool intensification and post-2006 monsoonal extreme-precipitation shifts reported in Loo et al. (2015, Int. J. Climatology) for Peninsular Malaysia and Cinco et al. (2014, Clim. Res.) for the Philippines. Permutation testing (N=10,000 random shuffles of each rainfall series) was conducted on the CHIRPS RX5day series. At n=34 the test carries approximately 25% power to detect a 1-sigma location shift, which is insufficient to reach conventional significance thresholds. The physical basis for the 2007 break rests on independent evidence: documented PDO phase-shift intensification and post-2006 monsoonal extreme-precipitation shifts reported in Loo et al. (2015, Int. J. Climatology) and Cinco et al. (2014, Clim. Res.). We accordingly apply the GEV uplift as a literature-supported loading for MYS (+6.9%) and as a conservative floor loading for PHL (elevated monitoring zone pending R5 sub-national data), rather than a point-estimate pricing adjustment.</w:t>
      </w:r>
    </w:p>
    <w:p>
      <w:pPr>
        <w:spacing w:before="80" w:after="30" w:line="240" w:lineRule="atLeast"/>
        <w:keepNext/>
      </w:pPr>
      <w:r>
        <w:rPr>
          <w:rFonts w:ascii="Times New Roman" w:hAnsi="Times New Roman"/>
          <w:b/>
          <w:color w:val="6B2737"/>
          <w:sz w:val="24"/>
        </w:rPr>
        <w:t>4.2  EAL Repricing &amp; Sensitivity Analysis</w:t>
      </w:r>
    </w:p>
    <w:tbl>
      <w:tblPr>
        <w:tblStyle w:val="TableGrid"/>
        <w:tblW w:type="auto" w:w="0"/>
        <w:jc w:val="left"/>
        <w:tblLook w:firstColumn="1" w:firstRow="1" w:lastColumn="0" w:lastRow="0" w:noHBand="0" w:noVBand="1" w:val="04A0"/>
      </w:tblPr>
      <w:tblGrid>
        <w:gridCol w:w="1289"/>
        <w:gridCol w:w="1289"/>
        <w:gridCol w:w="1289"/>
        <w:gridCol w:w="1289"/>
        <w:gridCol w:w="1289"/>
        <w:gridCol w:w="1289"/>
        <w:gridCol w:w="1289"/>
      </w:tblGrid>
      <w:tr>
        <w:tc>
          <w:tcPr>
            <w:tcW w:type="dxa" w:w="1152"/>
            <w:shd w:val="clear" w:color="auto" w:fill="6b2737"/>
          </w:tcPr>
          <w:p>
            <w:pPr>
              <w:jc w:val="center"/>
              <w:spacing w:before="0" w:after="0" w:line="240" w:lineRule="atLeast"/>
            </w:pPr>
            <w:r>
              <w:rPr>
                <w:rFonts w:ascii="Times New Roman" w:hAnsi="Times New Roman"/>
                <w:b/>
                <w:color w:val="FFFFFF"/>
                <w:sz w:val="20"/>
              </w:rPr>
              <w:t>Country</w:t>
            </w:r>
          </w:p>
        </w:tc>
        <w:tc>
          <w:tcPr>
            <w:tcW w:type="dxa" w:w="1584"/>
            <w:shd w:val="clear" w:color="auto" w:fill="6b2737"/>
          </w:tcPr>
          <w:p>
            <w:pPr>
              <w:jc w:val="center"/>
              <w:spacing w:before="0" w:after="0" w:line="240" w:lineRule="atLeast"/>
            </w:pPr>
            <w:r>
              <w:rPr>
                <w:rFonts w:ascii="Times New Roman" w:hAnsi="Times New Roman"/>
                <w:b/>
                <w:color w:val="FFFFFF"/>
                <w:sz w:val="20"/>
              </w:rPr>
              <w:t>Burning Cost</w:t>
            </w:r>
          </w:p>
        </w:tc>
        <w:tc>
          <w:tcPr>
            <w:tcW w:type="dxa" w:w="1224"/>
            <w:shd w:val="clear" w:color="auto" w:fill="6b2737"/>
          </w:tcPr>
          <w:p>
            <w:pPr>
              <w:jc w:val="center"/>
              <w:spacing w:before="0" w:after="0" w:line="240" w:lineRule="atLeast"/>
            </w:pPr>
            <w:r>
              <w:rPr>
                <w:rFonts w:ascii="Times New Roman" w:hAnsi="Times New Roman"/>
                <w:b/>
                <w:color w:val="FFFFFF"/>
                <w:sz w:val="20"/>
              </w:rPr>
              <w:t>Obs. Mean RX5</w:t>
            </w:r>
          </w:p>
        </w:tc>
        <w:tc>
          <w:tcPr>
            <w:tcW w:type="dxa" w:w="1181"/>
            <w:shd w:val="clear" w:color="auto" w:fill="6b2737"/>
          </w:tcPr>
          <w:p>
            <w:pPr>
              <w:jc w:val="center"/>
              <w:spacing w:before="0" w:after="0" w:line="240" w:lineRule="atLeast"/>
            </w:pPr>
            <w:r>
              <w:rPr>
                <w:rFonts w:ascii="Times New Roman" w:hAnsi="Times New Roman"/>
                <w:b/>
                <w:color w:val="FFFFFF"/>
                <w:sz w:val="20"/>
              </w:rPr>
              <w:t>GEV Mean</w:t>
            </w:r>
          </w:p>
        </w:tc>
        <w:tc>
          <w:tcPr>
            <w:tcW w:type="dxa" w:w="1440"/>
            <w:shd w:val="clear" w:color="auto" w:fill="6b2737"/>
          </w:tcPr>
          <w:p>
            <w:pPr>
              <w:jc w:val="center"/>
              <w:spacing w:before="0" w:after="0" w:line="240" w:lineRule="atLeast"/>
            </w:pPr>
            <w:r>
              <w:rPr>
                <w:rFonts w:ascii="Times New Roman" w:hAnsi="Times New Roman"/>
                <w:b/>
                <w:color w:val="FFFFFF"/>
                <w:sz w:val="20"/>
              </w:rPr>
              <w:t>Forward EAL</w:t>
            </w:r>
          </w:p>
        </w:tc>
        <w:tc>
          <w:tcPr>
            <w:tcW w:type="dxa" w:w="1224"/>
            <w:shd w:val="clear" w:color="auto" w:fill="6b2737"/>
          </w:tcPr>
          <w:p>
            <w:pPr>
              <w:jc w:val="center"/>
              <w:spacing w:before="0" w:after="0" w:line="240" w:lineRule="atLeast"/>
            </w:pPr>
            <w:r>
              <w:rPr>
                <w:rFonts w:ascii="Times New Roman" w:hAnsi="Times New Roman"/>
                <w:b/>
                <w:color w:val="FFFFFF"/>
                <w:sz w:val="20"/>
              </w:rPr>
              <w:t>$ Gap</w:t>
            </w:r>
          </w:p>
        </w:tc>
        <w:tc>
          <w:tcPr>
            <w:tcW w:type="dxa" w:w="1080"/>
            <w:shd w:val="clear" w:color="auto" w:fill="6b2737"/>
          </w:tcPr>
          <w:p>
            <w:pPr>
              <w:jc w:val="center"/>
              <w:spacing w:before="0" w:after="0" w:line="240" w:lineRule="atLeast"/>
            </w:pPr>
            <w:r>
              <w:rPr>
                <w:rFonts w:ascii="Times New Roman" w:hAnsi="Times New Roman"/>
                <w:b/>
                <w:color w:val="FFFFFF"/>
                <w:sz w:val="20"/>
              </w:rPr>
              <w:t>% Gap</w:t>
            </w:r>
          </w:p>
        </w:tc>
      </w:tr>
      <w:tr>
        <w:tc>
          <w:tcPr>
            <w:tcW w:type="dxa" w:w="1152"/>
            <w:shd w:val="clear" w:color="auto" w:fill="FFFFFF"/>
          </w:tcPr>
          <w:p>
            <w:pPr>
              <w:jc w:val="left"/>
              <w:spacing w:before="0" w:after="0" w:line="240" w:lineRule="atLeast"/>
            </w:pPr>
            <w:r>
              <w:rPr>
                <w:rFonts w:ascii="Times New Roman" w:hAnsi="Times New Roman"/>
                <w:sz w:val="20"/>
              </w:rPr>
              <w:t>Malaysia</w:t>
            </w:r>
          </w:p>
        </w:tc>
        <w:tc>
          <w:tcPr>
            <w:tcW w:type="dxa" w:w="1584"/>
            <w:shd w:val="clear" w:color="auto" w:fill="FFFFFF"/>
          </w:tcPr>
          <w:p>
            <w:pPr>
              <w:jc w:val="left"/>
              <w:spacing w:before="0" w:after="0" w:line="240" w:lineRule="atLeast"/>
            </w:pPr>
            <w:r>
              <w:rPr>
                <w:rFonts w:ascii="Times New Roman" w:hAnsi="Times New Roman"/>
                <w:sz w:val="20"/>
              </w:rPr>
              <w:t>USD 110.8M</w:t>
            </w:r>
          </w:p>
        </w:tc>
        <w:tc>
          <w:tcPr>
            <w:tcW w:type="dxa" w:w="1224"/>
            <w:shd w:val="clear" w:color="auto" w:fill="FFFFFF"/>
          </w:tcPr>
          <w:p>
            <w:pPr>
              <w:jc w:val="left"/>
              <w:spacing w:before="0" w:after="0" w:line="240" w:lineRule="atLeast"/>
            </w:pPr>
            <w:r>
              <w:rPr>
                <w:rFonts w:ascii="Times New Roman" w:hAnsi="Times New Roman"/>
                <w:sz w:val="20"/>
              </w:rPr>
              <w:t>133.9mm</w:t>
            </w:r>
          </w:p>
        </w:tc>
        <w:tc>
          <w:tcPr>
            <w:tcW w:type="dxa" w:w="1181"/>
            <w:shd w:val="clear" w:color="auto" w:fill="FFFFFF"/>
          </w:tcPr>
          <w:p>
            <w:pPr>
              <w:jc w:val="left"/>
              <w:spacing w:before="0" w:after="0" w:line="240" w:lineRule="atLeast"/>
            </w:pPr>
            <w:r>
              <w:rPr>
                <w:rFonts w:ascii="Times New Roman" w:hAnsi="Times New Roman"/>
                <w:sz w:val="20"/>
              </w:rPr>
              <w:t>132.6mm</w:t>
            </w:r>
          </w:p>
        </w:tc>
        <w:tc>
          <w:tcPr>
            <w:tcW w:type="dxa" w:w="1440"/>
            <w:shd w:val="clear" w:color="auto" w:fill="FFFFFF"/>
          </w:tcPr>
          <w:p>
            <w:pPr>
              <w:jc w:val="left"/>
              <w:spacing w:before="0" w:after="0" w:line="240" w:lineRule="atLeast"/>
            </w:pPr>
            <w:r>
              <w:rPr>
                <w:rFonts w:ascii="Times New Roman" w:hAnsi="Times New Roman"/>
                <w:sz w:val="20"/>
              </w:rPr>
              <w:t>USD 117.3M</w:t>
            </w:r>
          </w:p>
        </w:tc>
        <w:tc>
          <w:tcPr>
            <w:tcW w:type="dxa" w:w="1224"/>
            <w:shd w:val="clear" w:color="auto" w:fill="FFFFFF"/>
          </w:tcPr>
          <w:p>
            <w:pPr>
              <w:jc w:val="left"/>
              <w:spacing w:before="0" w:after="0" w:line="240" w:lineRule="atLeast"/>
            </w:pPr>
            <w:r>
              <w:rPr>
                <w:rFonts w:ascii="Times New Roman" w:hAnsi="Times New Roman"/>
                <w:sz w:val="20"/>
              </w:rPr>
              <w:t>USD 6.5M</w:t>
            </w:r>
          </w:p>
        </w:tc>
        <w:tc>
          <w:tcPr>
            <w:tcW w:type="dxa" w:w="1080"/>
            <w:shd w:val="clear" w:color="auto" w:fill="FFFFFF"/>
          </w:tcPr>
          <w:p>
            <w:pPr>
              <w:jc w:val="left"/>
              <w:spacing w:before="0" w:after="0" w:line="240" w:lineRule="atLeast"/>
            </w:pPr>
            <w:r>
              <w:rPr>
                <w:rFonts w:ascii="Times New Roman" w:hAnsi="Times New Roman"/>
                <w:sz w:val="20"/>
              </w:rPr>
              <w:t>+5.87%</w:t>
            </w:r>
          </w:p>
        </w:tc>
      </w:tr>
      <w:tr>
        <w:tc>
          <w:tcPr>
            <w:tcW w:type="dxa" w:w="1152"/>
            <w:shd w:val="clear" w:color="auto" w:fill="F5F5F5"/>
          </w:tcPr>
          <w:p>
            <w:pPr>
              <w:jc w:val="left"/>
              <w:spacing w:before="0" w:after="0" w:line="240" w:lineRule="atLeast"/>
            </w:pPr>
            <w:r>
              <w:rPr>
                <w:rFonts w:ascii="Times New Roman" w:hAnsi="Times New Roman"/>
                <w:sz w:val="20"/>
              </w:rPr>
              <w:t>Philippines</w:t>
            </w:r>
          </w:p>
        </w:tc>
        <w:tc>
          <w:tcPr>
            <w:tcW w:type="dxa" w:w="1584"/>
            <w:shd w:val="clear" w:color="auto" w:fill="F5F5F5"/>
          </w:tcPr>
          <w:p>
            <w:pPr>
              <w:jc w:val="left"/>
              <w:spacing w:before="0" w:after="0" w:line="240" w:lineRule="atLeast"/>
            </w:pPr>
            <w:r>
              <w:rPr>
                <w:rFonts w:ascii="Times New Roman" w:hAnsi="Times New Roman"/>
                <w:sz w:val="20"/>
              </w:rPr>
              <w:t>USD 926.5M</w:t>
            </w:r>
          </w:p>
        </w:tc>
        <w:tc>
          <w:tcPr>
            <w:tcW w:type="dxa" w:w="1224"/>
            <w:shd w:val="clear" w:color="auto" w:fill="F5F5F5"/>
          </w:tcPr>
          <w:p>
            <w:pPr>
              <w:jc w:val="left"/>
              <w:spacing w:before="0" w:after="0" w:line="240" w:lineRule="atLeast"/>
            </w:pPr>
            <w:r>
              <w:rPr>
                <w:rFonts w:ascii="Times New Roman" w:hAnsi="Times New Roman"/>
                <w:sz w:val="20"/>
              </w:rPr>
              <w:t>244.4mm</w:t>
            </w:r>
          </w:p>
        </w:tc>
        <w:tc>
          <w:tcPr>
            <w:tcW w:type="dxa" w:w="1181"/>
            <w:shd w:val="clear" w:color="auto" w:fill="F5F5F5"/>
          </w:tcPr>
          <w:p>
            <w:pPr>
              <w:jc w:val="left"/>
              <w:spacing w:before="0" w:after="0" w:line="240" w:lineRule="atLeast"/>
            </w:pPr>
            <w:r>
              <w:rPr>
                <w:rFonts w:ascii="Times New Roman" w:hAnsi="Times New Roman"/>
                <w:sz w:val="20"/>
              </w:rPr>
              <w:t>233.3mm</w:t>
            </w:r>
          </w:p>
        </w:tc>
        <w:tc>
          <w:tcPr>
            <w:tcW w:type="dxa" w:w="1440"/>
            <w:shd w:val="clear" w:color="auto" w:fill="F5F5F5"/>
          </w:tcPr>
          <w:p>
            <w:pPr>
              <w:jc w:val="left"/>
              <w:spacing w:before="0" w:after="0" w:line="240" w:lineRule="atLeast"/>
            </w:pPr>
            <w:r>
              <w:rPr>
                <w:rFonts w:ascii="Times New Roman" w:hAnsi="Times New Roman"/>
                <w:sz w:val="20"/>
              </w:rPr>
              <w:t>USD 938.4M</w:t>
            </w:r>
          </w:p>
        </w:tc>
        <w:tc>
          <w:tcPr>
            <w:tcW w:type="dxa" w:w="1224"/>
            <w:shd w:val="clear" w:color="auto" w:fill="F5F5F5"/>
          </w:tcPr>
          <w:p>
            <w:pPr>
              <w:jc w:val="left"/>
              <w:spacing w:before="0" w:after="0" w:line="240" w:lineRule="atLeast"/>
            </w:pPr>
            <w:r>
              <w:rPr>
                <w:rFonts w:ascii="Times New Roman" w:hAnsi="Times New Roman"/>
                <w:sz w:val="20"/>
              </w:rPr>
              <w:t>USD 11.9M</w:t>
            </w:r>
          </w:p>
        </w:tc>
        <w:tc>
          <w:tcPr>
            <w:tcW w:type="dxa" w:w="1080"/>
            <w:shd w:val="clear" w:color="auto" w:fill="F5F5F5"/>
          </w:tcPr>
          <w:p>
            <w:pPr>
              <w:jc w:val="left"/>
              <w:spacing w:before="0" w:after="0" w:line="240" w:lineRule="atLeast"/>
            </w:pPr>
            <w:r>
              <w:rPr>
                <w:rFonts w:ascii="Times New Roman" w:hAnsi="Times New Roman"/>
                <w:sz w:val="20"/>
              </w:rPr>
              <w:t>+1.28%</w:t>
            </w:r>
          </w:p>
        </w:tc>
      </w:tr>
    </w:tbl>
    <w:p>
      <w:pPr>
        <w:jc w:val="center"/>
        <w:spacing w:before="20" w:after="80" w:line="240" w:lineRule="atLeast"/>
      </w:pPr>
      <w:r>
        <w:rPr>
          <w:rFonts w:ascii="Times New Roman" w:hAnsi="Times New Roman"/>
          <w:i/>
          <w:color w:val="555555"/>
          <w:sz w:val="18"/>
        </w:rPr>
        <w:t>Table 4 -- Forward EAL vs. EM-DAT burning cost (GEV PELT-adjusted).</w:t>
      </w:r>
    </w:p>
    <w:p>
      <w:pPr>
        <w:jc w:val="center"/>
        <w:spacing w:before="40" w:after="20" w:line="240" w:lineRule="atLeast"/>
      </w:pPr>
      <w:r>
        <w:drawing>
          <wp:inline xmlns:a="http://schemas.openxmlformats.org/drawingml/2006/main" xmlns:pic="http://schemas.openxmlformats.org/drawingml/2006/picture">
            <wp:extent cx="2651760" cy="1300611"/>
            <wp:docPr id="7" name="Picture 7"/>
            <wp:cNvGraphicFramePr>
              <a:graphicFrameLocks noChangeAspect="1"/>
            </wp:cNvGraphicFramePr>
            <a:graphic>
              <a:graphicData uri="http://schemas.openxmlformats.org/drawingml/2006/picture">
                <pic:pic>
                  <pic:nvPicPr>
                    <pic:cNvPr id="0" name="r3_sensitivity_tornado.png"/>
                    <pic:cNvPicPr/>
                  </pic:nvPicPr>
                  <pic:blipFill>
                    <a:blip r:embed="rId15"/>
                    <a:stretch>
                      <a:fillRect/>
                    </a:stretch>
                  </pic:blipFill>
                  <pic:spPr>
                    <a:xfrm>
                      <a:off x="0" y="0"/>
                      <a:ext cx="2651760" cy="1300611"/>
                    </a:xfrm>
                    <a:prstGeom prst="rect"/>
                  </pic:spPr>
                </pic:pic>
              </a:graphicData>
            </a:graphic>
          </wp:inline>
        </w:drawing>
      </w:r>
      <w:r>
        <w:t xml:space="preserve">  </w:t>
      </w:r>
      <w:r>
        <w:drawing>
          <wp:inline xmlns:a="http://schemas.openxmlformats.org/drawingml/2006/main" xmlns:pic="http://schemas.openxmlformats.org/drawingml/2006/picture">
            <wp:extent cx="2651760" cy="1375934"/>
            <wp:docPr id="8" name="Picture 8"/>
            <wp:cNvGraphicFramePr>
              <a:graphicFrameLocks noChangeAspect="1"/>
            </wp:cNvGraphicFramePr>
            <a:graphic>
              <a:graphicData uri="http://schemas.openxmlformats.org/drawingml/2006/picture">
                <pic:pic>
                  <pic:nvPicPr>
                    <pic:cNvPr id="0" name="r3_eal_decomposition_waterfall.png"/>
                    <pic:cNvPicPr/>
                  </pic:nvPicPr>
                  <pic:blipFill>
                    <a:blip r:embed="rId16"/>
                    <a:stretch>
                      <a:fillRect/>
                    </a:stretch>
                  </pic:blipFill>
                  <pic:spPr>
                    <a:xfrm>
                      <a:off x="0" y="0"/>
                      <a:ext cx="2651760" cy="1375934"/>
                    </a:xfrm>
                    <a:prstGeom prst="rect"/>
                  </pic:spPr>
                </pic:pic>
              </a:graphicData>
            </a:graphic>
          </wp:inline>
        </w:drawing>
      </w:r>
    </w:p>
    <w:p>
      <w:pPr>
        <w:jc w:val="center"/>
        <w:spacing w:before="20" w:after="80" w:line="240" w:lineRule="atLeast"/>
      </w:pPr>
      <w:r>
        <w:rPr>
          <w:rFonts w:ascii="Times New Roman" w:hAnsi="Times New Roman"/>
          <w:i/>
          <w:color w:val="555555"/>
          <w:sz w:val="18"/>
        </w:rPr>
        <w:t>Figure 4 -- EAL sensitivity tornado: PELT break dominates (~60%) EAL uncertainty (left); EAL waterfall: hazard intensity, GEV correction, PELT uplift components (right).</w:t>
      </w:r>
    </w:p>
    <w:p>
      <w:pPr>
        <w:jc w:val="both"/>
        <w:spacing w:before="0" w:after="0" w:line="240" w:lineRule="atLeast"/>
      </w:pPr>
      <w:r>
        <w:rPr>
          <w:rFonts w:ascii="Times New Roman" w:hAnsi="Times New Roman"/>
          <w:b w:val="0"/>
          <w:i w:val="0"/>
          <w:sz w:val="24"/>
        </w:rPr>
        <w:t>The sensitivity tornado confirms that the 2007 PELT regime break contributes ~60% of total EAL loading, GEV shape uncertainty ~25%, and urbanisation velocity ~15%. The penetration gap (MYS ~15% vs PHL ~8% insurance penetration) means the insured EAL gap is proportionally smaller for PHL despite higher physical event frequency (Swiss Re Sigma 1/2024 SEA benchmarks). This hierarchy justifies the country-asymmetric loading structure in Recommendation R1.</w:t>
      </w:r>
    </w:p>
    <w:p>
      <w:pPr>
        <w:spacing w:before="0" w:after="0"/>
      </w:pPr>
      <w:r>
        <w:br w:type="page"/>
      </w:r>
    </w:p>
    <w:p>
      <w:pPr>
        <w:spacing w:before="120" w:after="60" w:line="276" w:lineRule="atLeast"/>
        <w:keepNext/>
        <w:pBdr>
          <w:bottom w:val="single" w:sz="6" w:space="1" w:color="6b2737"/>
        </w:pBdr>
      </w:pPr>
      <w:r>
        <w:rPr>
          <w:rFonts w:ascii="Times New Roman" w:hAnsi="Times New Roman"/>
          <w:b/>
          <w:color w:val="1A1A2E"/>
          <w:sz w:val="28"/>
        </w:rPr>
        <w:t>5.  Insurance Claims Comparison &amp; ENSO Dependence</w:t>
      </w:r>
    </w:p>
    <w:p>
      <w:pPr>
        <w:jc w:val="both"/>
        <w:spacing w:before="0" w:after="80" w:line="240" w:lineRule="atLeast"/>
      </w:pPr>
      <w:r>
        <w:rPr>
          <w:rFonts w:ascii="Times New Roman" w:hAnsi="Times New Roman"/>
          <w:b w:val="0"/>
          <w:i w:val="0"/>
          <w:sz w:val="24"/>
        </w:rPr>
        <w:t>A key pricing question for the combined MYS+PHL treaty book is whether ENSO creates correlated loss years -- MYS floods spiking simultaneously with PHL typhoon intensification -- which would undermine the independence assumption in standard combined-book cat pricing. We test this using NOAA ONI DJF indices (1990--2023) against EM-DAT annual insured losses, followed by formal AIC copula model selection.</w:t>
      </w:r>
    </w:p>
    <w:p>
      <w:pPr>
        <w:jc w:val="both"/>
        <w:spacing w:before="0" w:after="80" w:line="240" w:lineRule="atLeast"/>
      </w:pPr>
      <w:r>
        <w:rPr>
          <w:rFonts w:ascii="Times New Roman" w:hAnsi="Times New Roman"/>
          <w:b w:val="0"/>
          <w:i w:val="0"/>
          <w:sz w:val="24"/>
        </w:rPr>
        <w:t>Structurally, the two markets are fundamentally different: MYS is flood-dominant (81 EM-DAT events, 15% insurance penetration, net LULUCF emitter) while PHL is typhoon-dominant (414 events, 8% penetration, net LULUCF carbon sink). The PHL economic protection gap (USD 11.9M/yr) is 83% wider than MYS (USD 6.5M/yr), reflecting structural underinsurance despite far higher event frequency. These differences preclude any uniform SEA treaty structure and directly inform the country-specific surcharge rates in Recommendation R2.</w:t>
      </w:r>
    </w:p>
    <w:p>
      <w:pPr>
        <w:jc w:val="center"/>
        <w:spacing w:before="40" w:after="20" w:line="240" w:lineRule="atLeast"/>
      </w:pPr>
      <w:r>
        <w:drawing>
          <wp:inline xmlns:a="http://schemas.openxmlformats.org/drawingml/2006/main" xmlns:pic="http://schemas.openxmlformats.org/drawingml/2006/picture">
            <wp:extent cx="2651760" cy="1741967"/>
            <wp:docPr id="9" name="Picture 9"/>
            <wp:cNvGraphicFramePr>
              <a:graphicFrameLocks noChangeAspect="1"/>
            </wp:cNvGraphicFramePr>
            <a:graphic>
              <a:graphicData uri="http://schemas.openxmlformats.org/drawingml/2006/picture">
                <pic:pic>
                  <pic:nvPicPr>
                    <pic:cNvPr id="0" name="r3_enso_dependence.png"/>
                    <pic:cNvPicPr/>
                  </pic:nvPicPr>
                  <pic:blipFill>
                    <a:blip r:embed="rId17"/>
                    <a:stretch>
                      <a:fillRect/>
                    </a:stretch>
                  </pic:blipFill>
                  <pic:spPr>
                    <a:xfrm>
                      <a:off x="0" y="0"/>
                      <a:ext cx="2651760" cy="1741967"/>
                    </a:xfrm>
                    <a:prstGeom prst="rect"/>
                  </pic:spPr>
                </pic:pic>
              </a:graphicData>
            </a:graphic>
          </wp:inline>
        </w:drawing>
      </w:r>
      <w:r>
        <w:t xml:space="preserve">  </w:t>
      </w:r>
      <w:r>
        <w:drawing>
          <wp:inline xmlns:a="http://schemas.openxmlformats.org/drawingml/2006/main" xmlns:pic="http://schemas.openxmlformats.org/drawingml/2006/picture">
            <wp:extent cx="2651760" cy="2292525"/>
            <wp:docPr id="10" name="Picture 10"/>
            <wp:cNvGraphicFramePr>
              <a:graphicFrameLocks noChangeAspect="1"/>
            </wp:cNvGraphicFramePr>
            <a:graphic>
              <a:graphicData uri="http://schemas.openxmlformats.org/drawingml/2006/picture">
                <pic:pic>
                  <pic:nvPicPr>
                    <pic:cNvPr id="0" name="r8_copula_pit_scatter.png"/>
                    <pic:cNvPicPr/>
                  </pic:nvPicPr>
                  <pic:blipFill>
                    <a:blip r:embed="rId18"/>
                    <a:stretch>
                      <a:fillRect/>
                    </a:stretch>
                  </pic:blipFill>
                  <pic:spPr>
                    <a:xfrm>
                      <a:off x="0" y="0"/>
                      <a:ext cx="2651760" cy="2292525"/>
                    </a:xfrm>
                    <a:prstGeom prst="rect"/>
                  </pic:spPr>
                </pic:pic>
              </a:graphicData>
            </a:graphic>
          </wp:inline>
        </w:drawing>
      </w:r>
    </w:p>
    <w:p>
      <w:pPr>
        <w:jc w:val="center"/>
        <w:spacing w:before="20" w:after="80" w:line="240" w:lineRule="atLeast"/>
      </w:pPr>
      <w:r>
        <w:rPr>
          <w:rFonts w:ascii="Times New Roman" w:hAnsi="Times New Roman"/>
          <w:i/>
          <w:color w:val="555555"/>
          <w:sz w:val="18"/>
        </w:rPr>
        <w:t>Figure 5 -- ENSO ONI vs annual insured loss: r = -0.016, p = 0.93 (not significant) (left); Copula PIT scatter: AIC selects Independence copula over Clayton/Gumbel (right).</w:t>
      </w:r>
    </w:p>
    <w:p>
      <w:pPr>
        <w:spacing w:before="80" w:after="30" w:line="240" w:lineRule="atLeast"/>
        <w:keepNext/>
      </w:pPr>
      <w:r>
        <w:rPr>
          <w:rFonts w:ascii="Times New Roman" w:hAnsi="Times New Roman"/>
          <w:b/>
          <w:color w:val="6B2737"/>
          <w:sz w:val="24"/>
        </w:rPr>
        <w:t>5.1  Correlation Tests &amp; Copula Selection</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736"/>
            <w:shd w:val="clear" w:color="auto" w:fill="6b2737"/>
          </w:tcPr>
          <w:p>
            <w:pPr>
              <w:jc w:val="center"/>
              <w:spacing w:before="0" w:after="0" w:line="240" w:lineRule="atLeast"/>
            </w:pPr>
            <w:r>
              <w:rPr>
                <w:rFonts w:ascii="Times New Roman" w:hAnsi="Times New Roman"/>
                <w:b/>
                <w:color w:val="FFFFFF"/>
                <w:sz w:val="20"/>
              </w:rPr>
              <w:t>Test</w:t>
            </w:r>
          </w:p>
        </w:tc>
        <w:tc>
          <w:tcPr>
            <w:tcW w:type="dxa" w:w="2160"/>
            <w:shd w:val="clear" w:color="auto" w:fill="6b2737"/>
          </w:tcPr>
          <w:p>
            <w:pPr>
              <w:jc w:val="center"/>
              <w:spacing w:before="0" w:after="0" w:line="240" w:lineRule="atLeast"/>
            </w:pPr>
            <w:r>
              <w:rPr>
                <w:rFonts w:ascii="Times New Roman" w:hAnsi="Times New Roman"/>
                <w:b/>
                <w:color w:val="FFFFFF"/>
                <w:sz w:val="20"/>
              </w:rPr>
              <w:t>Statistic</w:t>
            </w:r>
          </w:p>
        </w:tc>
        <w:tc>
          <w:tcPr>
            <w:tcW w:type="dxa" w:w="1224"/>
            <w:shd w:val="clear" w:color="auto" w:fill="6b2737"/>
          </w:tcPr>
          <w:p>
            <w:pPr>
              <w:jc w:val="center"/>
              <w:spacing w:before="0" w:after="0" w:line="240" w:lineRule="atLeast"/>
            </w:pPr>
            <w:r>
              <w:rPr>
                <w:rFonts w:ascii="Times New Roman" w:hAnsi="Times New Roman"/>
                <w:b/>
                <w:color w:val="FFFFFF"/>
                <w:sz w:val="20"/>
              </w:rPr>
              <w:t>p-value / n</w:t>
            </w:r>
          </w:p>
        </w:tc>
        <w:tc>
          <w:tcPr>
            <w:tcW w:type="dxa" w:w="3024"/>
            <w:shd w:val="clear" w:color="auto" w:fill="6b2737"/>
          </w:tcPr>
          <w:p>
            <w:pPr>
              <w:jc w:val="center"/>
              <w:spacing w:before="0" w:after="0" w:line="240" w:lineRule="atLeast"/>
            </w:pPr>
            <w:r>
              <w:rPr>
                <w:rFonts w:ascii="Times New Roman" w:hAnsi="Times New Roman"/>
                <w:b/>
                <w:color w:val="FFFFFF"/>
                <w:sz w:val="20"/>
              </w:rPr>
              <w:t>Interpretation</w:t>
            </w:r>
          </w:p>
        </w:tc>
      </w:tr>
      <w:tr>
        <w:tc>
          <w:tcPr>
            <w:tcW w:type="dxa" w:w="2736"/>
            <w:shd w:val="clear" w:color="auto" w:fill="FFFFFF"/>
          </w:tcPr>
          <w:p>
            <w:pPr>
              <w:jc w:val="left"/>
              <w:spacing w:before="0" w:after="0" w:line="240" w:lineRule="atLeast"/>
            </w:pPr>
            <w:r>
              <w:rPr>
                <w:rFonts w:ascii="Times New Roman" w:hAnsi="Times New Roman"/>
                <w:sz w:val="20"/>
              </w:rPr>
              <w:t>Pearson r (MYS annual)</w:t>
            </w:r>
          </w:p>
        </w:tc>
        <w:tc>
          <w:tcPr>
            <w:tcW w:type="dxa" w:w="2160"/>
            <w:shd w:val="clear" w:color="auto" w:fill="FFFFFF"/>
          </w:tcPr>
          <w:p>
            <w:pPr>
              <w:jc w:val="left"/>
              <w:spacing w:before="0" w:after="0" w:line="240" w:lineRule="atLeast"/>
            </w:pPr>
            <w:r>
              <w:rPr>
                <w:rFonts w:ascii="Times New Roman" w:hAnsi="Times New Roman"/>
                <w:sz w:val="20"/>
              </w:rPr>
              <w:t>r = -0.016</w:t>
            </w:r>
          </w:p>
        </w:tc>
        <w:tc>
          <w:tcPr>
            <w:tcW w:type="dxa" w:w="1224"/>
            <w:shd w:val="clear" w:color="auto" w:fill="FFFFFF"/>
          </w:tcPr>
          <w:p>
            <w:pPr>
              <w:jc w:val="left"/>
              <w:spacing w:before="0" w:after="0" w:line="240" w:lineRule="atLeast"/>
            </w:pPr>
            <w:r>
              <w:rPr>
                <w:rFonts w:ascii="Times New Roman" w:hAnsi="Times New Roman"/>
                <w:sz w:val="20"/>
              </w:rPr>
              <w:t>p = 0.93</w:t>
            </w:r>
          </w:p>
        </w:tc>
        <w:tc>
          <w:tcPr>
            <w:tcW w:type="dxa" w:w="3024"/>
            <w:shd w:val="clear" w:color="auto" w:fill="FFFFFF"/>
          </w:tcPr>
          <w:p>
            <w:pPr>
              <w:jc w:val="left"/>
              <w:spacing w:before="0" w:after="0" w:line="240" w:lineRule="atLeast"/>
            </w:pPr>
            <w:r>
              <w:rPr>
                <w:rFonts w:ascii="Times New Roman" w:hAnsi="Times New Roman"/>
                <w:sz w:val="20"/>
              </w:rPr>
              <w:t>Not significant</w:t>
            </w:r>
          </w:p>
        </w:tc>
      </w:tr>
      <w:tr>
        <w:tc>
          <w:tcPr>
            <w:tcW w:type="dxa" w:w="2736"/>
            <w:shd w:val="clear" w:color="auto" w:fill="F5F5F5"/>
          </w:tcPr>
          <w:p>
            <w:pPr>
              <w:jc w:val="left"/>
              <w:spacing w:before="0" w:after="0" w:line="240" w:lineRule="atLeast"/>
            </w:pPr>
            <w:r>
              <w:rPr>
                <w:rFonts w:ascii="Times New Roman" w:hAnsi="Times New Roman"/>
                <w:sz w:val="20"/>
              </w:rPr>
              <w:t>Spearman rho (MYS)</w:t>
            </w:r>
          </w:p>
        </w:tc>
        <w:tc>
          <w:tcPr>
            <w:tcW w:type="dxa" w:w="2160"/>
            <w:shd w:val="clear" w:color="auto" w:fill="F5F5F5"/>
          </w:tcPr>
          <w:p>
            <w:pPr>
              <w:jc w:val="left"/>
              <w:spacing w:before="0" w:after="0" w:line="240" w:lineRule="atLeast"/>
            </w:pPr>
            <w:r>
              <w:rPr>
                <w:rFonts w:ascii="Times New Roman" w:hAnsi="Times New Roman"/>
                <w:sz w:val="20"/>
              </w:rPr>
              <w:t>rho = -0.071</w:t>
            </w:r>
          </w:p>
        </w:tc>
        <w:tc>
          <w:tcPr>
            <w:tcW w:type="dxa" w:w="1224"/>
            <w:shd w:val="clear" w:color="auto" w:fill="F5F5F5"/>
          </w:tcPr>
          <w:p>
            <w:pPr>
              <w:jc w:val="left"/>
              <w:spacing w:before="0" w:after="0" w:line="240" w:lineRule="atLeast"/>
            </w:pPr>
            <w:r>
              <w:rPr>
                <w:rFonts w:ascii="Times New Roman" w:hAnsi="Times New Roman"/>
                <w:sz w:val="20"/>
              </w:rPr>
              <w:t>p = 0.69</w:t>
            </w:r>
          </w:p>
        </w:tc>
        <w:tc>
          <w:tcPr>
            <w:tcW w:type="dxa" w:w="3024"/>
            <w:shd w:val="clear" w:color="auto" w:fill="F5F5F5"/>
          </w:tcPr>
          <w:p>
            <w:pPr>
              <w:jc w:val="left"/>
              <w:spacing w:before="0" w:after="0" w:line="240" w:lineRule="atLeast"/>
            </w:pPr>
            <w:r>
              <w:rPr>
                <w:rFonts w:ascii="Times New Roman" w:hAnsi="Times New Roman"/>
                <w:sz w:val="20"/>
              </w:rPr>
              <w:t>Not significant</w:t>
            </w:r>
          </w:p>
        </w:tc>
      </w:tr>
      <w:tr>
        <w:tc>
          <w:tcPr>
            <w:tcW w:type="dxa" w:w="2736"/>
            <w:shd w:val="clear" w:color="auto" w:fill="FFFFFF"/>
          </w:tcPr>
          <w:p>
            <w:pPr>
              <w:jc w:val="left"/>
              <w:spacing w:before="0" w:after="0" w:line="240" w:lineRule="atLeast"/>
            </w:pPr>
            <w:r>
              <w:rPr>
                <w:rFonts w:ascii="Times New Roman" w:hAnsi="Times New Roman"/>
                <w:sz w:val="20"/>
              </w:rPr>
              <w:t>Pearson r (PHL annual)</w:t>
            </w:r>
          </w:p>
        </w:tc>
        <w:tc>
          <w:tcPr>
            <w:tcW w:type="dxa" w:w="2160"/>
            <w:shd w:val="clear" w:color="auto" w:fill="FFFFFF"/>
          </w:tcPr>
          <w:p>
            <w:pPr>
              <w:jc w:val="left"/>
              <w:spacing w:before="0" w:after="0" w:line="240" w:lineRule="atLeast"/>
            </w:pPr>
            <w:r>
              <w:rPr>
                <w:rFonts w:ascii="Times New Roman" w:hAnsi="Times New Roman"/>
                <w:sz w:val="20"/>
              </w:rPr>
              <w:t>r = -0.026</w:t>
            </w:r>
          </w:p>
        </w:tc>
        <w:tc>
          <w:tcPr>
            <w:tcW w:type="dxa" w:w="1224"/>
            <w:shd w:val="clear" w:color="auto" w:fill="FFFFFF"/>
          </w:tcPr>
          <w:p>
            <w:pPr>
              <w:jc w:val="left"/>
              <w:spacing w:before="0" w:after="0" w:line="240" w:lineRule="atLeast"/>
            </w:pPr>
            <w:r>
              <w:rPr>
                <w:rFonts w:ascii="Times New Roman" w:hAnsi="Times New Roman"/>
                <w:sz w:val="20"/>
              </w:rPr>
              <w:t>p = 0.83</w:t>
            </w:r>
          </w:p>
        </w:tc>
        <w:tc>
          <w:tcPr>
            <w:tcW w:type="dxa" w:w="3024"/>
            <w:shd w:val="clear" w:color="auto" w:fill="FFFFFF"/>
          </w:tcPr>
          <w:p>
            <w:pPr>
              <w:jc w:val="left"/>
              <w:spacing w:before="0" w:after="0" w:line="240" w:lineRule="atLeast"/>
            </w:pPr>
            <w:r>
              <w:rPr>
                <w:rFonts w:ascii="Times New Roman" w:hAnsi="Times New Roman"/>
                <w:sz w:val="20"/>
              </w:rPr>
              <w:t>Not significant</w:t>
            </w:r>
          </w:p>
        </w:tc>
      </w:tr>
      <w:tr>
        <w:tc>
          <w:tcPr>
            <w:tcW w:type="dxa" w:w="2736"/>
            <w:shd w:val="clear" w:color="auto" w:fill="F5F5F5"/>
          </w:tcPr>
          <w:p>
            <w:pPr>
              <w:jc w:val="left"/>
              <w:spacing w:before="0" w:after="0" w:line="240" w:lineRule="atLeast"/>
            </w:pPr>
            <w:r>
              <w:rPr>
                <w:rFonts w:ascii="Times New Roman" w:hAnsi="Times New Roman"/>
                <w:sz w:val="20"/>
              </w:rPr>
              <w:t>AIC copula (full sample)</w:t>
            </w:r>
          </w:p>
        </w:tc>
        <w:tc>
          <w:tcPr>
            <w:tcW w:type="dxa" w:w="2160"/>
            <w:shd w:val="clear" w:color="auto" w:fill="F5F5F5"/>
          </w:tcPr>
          <w:p>
            <w:pPr>
              <w:jc w:val="left"/>
              <w:spacing w:before="0" w:after="0" w:line="240" w:lineRule="atLeast"/>
            </w:pPr>
            <w:r>
              <w:rPr>
                <w:rFonts w:ascii="Times New Roman" w:hAnsi="Times New Roman"/>
                <w:sz w:val="20"/>
              </w:rPr>
              <w:t>Independence (AIC=0)</w:t>
            </w:r>
          </w:p>
        </w:tc>
        <w:tc>
          <w:tcPr>
            <w:tcW w:type="dxa" w:w="1224"/>
            <w:shd w:val="clear" w:color="auto" w:fill="F5F5F5"/>
          </w:tcPr>
          <w:p>
            <w:pPr>
              <w:jc w:val="left"/>
              <w:spacing w:before="0" w:after="0" w:line="240" w:lineRule="atLeast"/>
            </w:pPr>
            <w:r>
              <w:rPr>
                <w:rFonts w:ascii="Times New Roman" w:hAnsi="Times New Roman"/>
                <w:sz w:val="20"/>
              </w:rPr>
              <w:t>deltaAIC = 0</w:t>
            </w:r>
          </w:p>
        </w:tc>
        <w:tc>
          <w:tcPr>
            <w:tcW w:type="dxa" w:w="3024"/>
            <w:shd w:val="clear" w:color="auto" w:fill="F5F5F5"/>
          </w:tcPr>
          <w:p>
            <w:pPr>
              <w:jc w:val="left"/>
              <w:spacing w:before="0" w:after="0" w:line="240" w:lineRule="atLeast"/>
            </w:pPr>
            <w:r>
              <w:rPr>
                <w:rFonts w:ascii="Times New Roman" w:hAnsi="Times New Roman"/>
                <w:sz w:val="20"/>
              </w:rPr>
              <w:t>Preferred vs Clayton, Gumbel</w:t>
            </w:r>
          </w:p>
        </w:tc>
      </w:tr>
      <w:tr>
        <w:tc>
          <w:tcPr>
            <w:tcW w:type="dxa" w:w="2736"/>
            <w:shd w:val="clear" w:color="auto" w:fill="FFFFFF"/>
          </w:tcPr>
          <w:p>
            <w:pPr>
              <w:jc w:val="left"/>
              <w:spacing w:before="0" w:after="0" w:line="240" w:lineRule="atLeast"/>
            </w:pPr>
            <w:r>
              <w:rPr>
                <w:rFonts w:ascii="Times New Roman" w:hAnsi="Times New Roman"/>
                <w:sz w:val="20"/>
              </w:rPr>
              <w:t>Clayton lower-tail</w:t>
            </w:r>
          </w:p>
        </w:tc>
        <w:tc>
          <w:tcPr>
            <w:tcW w:type="dxa" w:w="2160"/>
            <w:shd w:val="clear" w:color="auto" w:fill="FFFFFF"/>
          </w:tcPr>
          <w:p>
            <w:pPr>
              <w:jc w:val="left"/>
              <w:spacing w:before="0" w:after="0" w:line="240" w:lineRule="atLeast"/>
            </w:pPr>
            <w:r>
              <w:rPr>
                <w:rFonts w:ascii="Times New Roman" w:hAnsi="Times New Roman"/>
                <w:sz w:val="20"/>
              </w:rPr>
              <w:t>theta = 0.0081</w:t>
            </w:r>
          </w:p>
        </w:tc>
        <w:tc>
          <w:tcPr>
            <w:tcW w:type="dxa" w:w="1224"/>
            <w:shd w:val="clear" w:color="auto" w:fill="FFFFFF"/>
          </w:tcPr>
          <w:p>
            <w:pPr>
              <w:jc w:val="left"/>
              <w:spacing w:before="0" w:after="0" w:line="240" w:lineRule="atLeast"/>
            </w:pPr>
            <w:r>
              <w:rPr>
                <w:rFonts w:ascii="Times New Roman" w:hAnsi="Times New Roman"/>
                <w:sz w:val="20"/>
              </w:rPr>
              <w:t>lambda-L -&gt; 0</w:t>
            </w:r>
          </w:p>
        </w:tc>
        <w:tc>
          <w:tcPr>
            <w:tcW w:type="dxa" w:w="3024"/>
            <w:shd w:val="clear" w:color="auto" w:fill="FFFFFF"/>
          </w:tcPr>
          <w:p>
            <w:pPr>
              <w:jc w:val="left"/>
              <w:spacing w:before="0" w:after="0" w:line="240" w:lineRule="atLeast"/>
            </w:pPr>
            <w:r>
              <w:rPr>
                <w:rFonts w:ascii="Times New Roman" w:hAnsi="Times New Roman"/>
                <w:sz w:val="20"/>
              </w:rPr>
              <w:t>Near-zero lower-tail dependence</w:t>
            </w:r>
          </w:p>
        </w:tc>
      </w:tr>
      <w:tr>
        <w:tc>
          <w:tcPr>
            <w:tcW w:type="dxa" w:w="2736"/>
            <w:shd w:val="clear" w:color="auto" w:fill="F5F5F5"/>
          </w:tcPr>
          <w:p>
            <w:pPr>
              <w:jc w:val="left"/>
              <w:spacing w:before="0" w:after="0" w:line="240" w:lineRule="atLeast"/>
            </w:pPr>
            <w:r>
              <w:rPr>
                <w:rFonts w:ascii="Times New Roman" w:hAnsi="Times New Roman"/>
                <w:sz w:val="20"/>
              </w:rPr>
              <w:t>Kendall tau -- La Nina</w:t>
            </w:r>
          </w:p>
        </w:tc>
        <w:tc>
          <w:tcPr>
            <w:tcW w:type="dxa" w:w="2160"/>
            <w:shd w:val="clear" w:color="auto" w:fill="F5F5F5"/>
          </w:tcPr>
          <w:p>
            <w:pPr>
              <w:jc w:val="left"/>
              <w:spacing w:before="0" w:after="0" w:line="240" w:lineRule="atLeast"/>
            </w:pPr>
            <w:r>
              <w:rPr>
                <w:rFonts w:ascii="Times New Roman" w:hAnsi="Times New Roman"/>
                <w:sz w:val="20"/>
              </w:rPr>
              <w:t>tau = +0.209</w:t>
            </w:r>
          </w:p>
        </w:tc>
        <w:tc>
          <w:tcPr>
            <w:tcW w:type="dxa" w:w="1224"/>
            <w:shd w:val="clear" w:color="auto" w:fill="F5F5F5"/>
          </w:tcPr>
          <w:p>
            <w:pPr>
              <w:jc w:val="left"/>
              <w:spacing w:before="0" w:after="0" w:line="240" w:lineRule="atLeast"/>
            </w:pPr>
            <w:r>
              <w:rPr>
                <w:rFonts w:ascii="Times New Roman" w:hAnsi="Times New Roman"/>
                <w:sz w:val="20"/>
              </w:rPr>
              <w:t>n = 14</w:t>
            </w:r>
          </w:p>
        </w:tc>
        <w:tc>
          <w:tcPr>
            <w:tcW w:type="dxa" w:w="3024"/>
            <w:shd w:val="clear" w:color="auto" w:fill="F5F5F5"/>
          </w:tcPr>
          <w:p>
            <w:pPr>
              <w:jc w:val="left"/>
              <w:spacing w:before="0" w:after="0" w:line="240" w:lineRule="atLeast"/>
            </w:pPr>
            <w:r>
              <w:rPr>
                <w:rFonts w:ascii="Times New Roman" w:hAnsi="Times New Roman"/>
                <w:sz w:val="20"/>
              </w:rPr>
              <w:t>Weak positive, sub-sample only</w:t>
            </w:r>
          </w:p>
        </w:tc>
      </w:tr>
      <w:tr>
        <w:tc>
          <w:tcPr>
            <w:tcW w:type="dxa" w:w="2736"/>
            <w:shd w:val="clear" w:color="auto" w:fill="FFFFFF"/>
          </w:tcPr>
          <w:p>
            <w:pPr>
              <w:jc w:val="left"/>
              <w:spacing w:before="0" w:after="0" w:line="240" w:lineRule="atLeast"/>
            </w:pPr>
            <w:r>
              <w:rPr>
                <w:rFonts w:ascii="Times New Roman" w:hAnsi="Times New Roman"/>
                <w:sz w:val="20"/>
              </w:rPr>
              <w:t>Gaussian rho -- La Nina</w:t>
            </w:r>
          </w:p>
        </w:tc>
        <w:tc>
          <w:tcPr>
            <w:tcW w:type="dxa" w:w="2160"/>
            <w:shd w:val="clear" w:color="auto" w:fill="FFFFFF"/>
          </w:tcPr>
          <w:p>
            <w:pPr>
              <w:jc w:val="left"/>
              <w:spacing w:before="0" w:after="0" w:line="240" w:lineRule="atLeast"/>
            </w:pPr>
            <w:r>
              <w:rPr>
                <w:rFonts w:ascii="Times New Roman" w:hAnsi="Times New Roman"/>
                <w:sz w:val="20"/>
              </w:rPr>
              <w:t>rho = +0.322</w:t>
            </w:r>
          </w:p>
        </w:tc>
        <w:tc>
          <w:tcPr>
            <w:tcW w:type="dxa" w:w="1224"/>
            <w:shd w:val="clear" w:color="auto" w:fill="FFFFFF"/>
          </w:tcPr>
          <w:p>
            <w:pPr>
              <w:jc w:val="left"/>
              <w:spacing w:before="0" w:after="0" w:line="240" w:lineRule="atLeast"/>
            </w:pPr>
            <w:r>
              <w:rPr>
                <w:rFonts w:ascii="Times New Roman" w:hAnsi="Times New Roman"/>
                <w:sz w:val="20"/>
              </w:rPr>
              <w:t>n = 14</w:t>
            </w:r>
          </w:p>
        </w:tc>
        <w:tc>
          <w:tcPr>
            <w:tcW w:type="dxa" w:w="3024"/>
            <w:shd w:val="clear" w:color="auto" w:fill="FFFFFF"/>
          </w:tcPr>
          <w:p>
            <w:pPr>
              <w:jc w:val="left"/>
              <w:spacing w:before="0" w:after="0" w:line="240" w:lineRule="atLeast"/>
            </w:pPr>
            <w:r>
              <w:rPr>
                <w:rFonts w:ascii="Times New Roman" w:hAnsi="Times New Roman"/>
                <w:sz w:val="20"/>
              </w:rPr>
              <w:t>p99 combined gap: +USD 25.9M</w:t>
            </w:r>
          </w:p>
        </w:tc>
      </w:tr>
    </w:tbl>
    <w:p>
      <w:pPr>
        <w:jc w:val="center"/>
        <w:spacing w:before="20" w:after="80" w:line="240" w:lineRule="atLeast"/>
      </w:pPr>
      <w:r>
        <w:rPr>
          <w:rFonts w:ascii="Times New Roman" w:hAnsi="Times New Roman"/>
          <w:i/>
          <w:color w:val="555555"/>
          <w:sz w:val="18"/>
        </w:rPr>
        <w:t>Table 5 -- ENSO dependence and copula analysis results.</w:t>
      </w:r>
    </w:p>
    <w:p>
      <w:pPr>
        <w:jc w:val="both"/>
        <w:spacing w:before="40" w:after="40" w:line="240" w:lineRule="atLeast"/>
        <w:ind w:left="180"/>
      </w:pPr>
      <w:r>
        <w:rPr>
          <w:rFonts w:ascii="Times New Roman" w:hAnsi="Times New Roman"/>
          <w:b/>
          <w:i/>
          <w:color w:val="6B2737"/>
          <w:sz w:val="24"/>
        </w:rPr>
        <w:t>ENSO is NOT a pricing variable. Annual-level ENSO correlation is statistically indistinguishable from zero in both markets (p = 0.83--0.93). However, during La Nina years (n=14), weak positive dependence (rho=0.32) creates a p99 combined-book gap of +USD 25.9M across the full SEA industry pool. HRe's share at 10% SEA allocation is +USD 2.59M/yr -- the 10x reduction reflects the allocation factor applied to the industry-wide p99 figure. Recommendation R3 designates NOAA OND La Nina onset (ONI &lt;= -0.5 degrees C) as a facultative AUDIT TRIGGER only, not a continuous pricing variable.</w:t>
      </w:r>
    </w:p>
    <w:p>
      <w:pPr>
        <w:spacing w:before="80" w:after="30" w:line="240" w:lineRule="atLeast"/>
        <w:keepNext/>
      </w:pPr>
      <w:r>
        <w:rPr>
          <w:rFonts w:ascii="Times New Roman" w:hAnsi="Times New Roman"/>
          <w:b/>
          <w:color w:val="6B2737"/>
          <w:sz w:val="24"/>
        </w:rPr>
        <w:t>5.2  MYS vs PHL Structural Comparison</w:t>
      </w:r>
    </w:p>
    <w:tbl>
      <w:tblPr>
        <w:tblStyle w:val="TableGrid"/>
        <w:tblW w:type="auto" w:w="0"/>
        <w:jc w:val="left"/>
        <w:tblLook w:firstColumn="1" w:firstRow="1" w:lastColumn="0" w:lastRow="0" w:noHBand="0" w:noVBand="1" w:val="04A0"/>
      </w:tblPr>
      <w:tblGrid>
        <w:gridCol w:w="3009"/>
        <w:gridCol w:w="3009"/>
        <w:gridCol w:w="3009"/>
      </w:tblGrid>
      <w:tr>
        <w:tc>
          <w:tcPr>
            <w:tcW w:type="dxa" w:w="3168"/>
            <w:shd w:val="clear" w:color="auto" w:fill="6b2737"/>
          </w:tcPr>
          <w:p>
            <w:pPr>
              <w:jc w:val="center"/>
              <w:spacing w:before="0" w:after="0" w:line="240" w:lineRule="atLeast"/>
            </w:pPr>
            <w:r>
              <w:rPr>
                <w:rFonts w:ascii="Times New Roman" w:hAnsi="Times New Roman"/>
                <w:b/>
                <w:color w:val="FFFFFF"/>
                <w:sz w:val="20"/>
              </w:rPr>
              <w:t>Metric</w:t>
            </w:r>
          </w:p>
        </w:tc>
        <w:tc>
          <w:tcPr>
            <w:tcW w:type="dxa" w:w="2952"/>
            <w:shd w:val="clear" w:color="auto" w:fill="6b2737"/>
          </w:tcPr>
          <w:p>
            <w:pPr>
              <w:jc w:val="center"/>
              <w:spacing w:before="0" w:after="0" w:line="240" w:lineRule="atLeast"/>
            </w:pPr>
            <w:r>
              <w:rPr>
                <w:rFonts w:ascii="Times New Roman" w:hAnsi="Times New Roman"/>
                <w:b/>
                <w:color w:val="FFFFFF"/>
                <w:sz w:val="20"/>
              </w:rPr>
              <w:t>Malaysia</w:t>
            </w:r>
          </w:p>
        </w:tc>
        <w:tc>
          <w:tcPr>
            <w:tcW w:type="dxa" w:w="2909"/>
            <w:shd w:val="clear" w:color="auto" w:fill="6b2737"/>
          </w:tcPr>
          <w:p>
            <w:pPr>
              <w:jc w:val="center"/>
              <w:spacing w:before="0" w:after="0" w:line="240" w:lineRule="atLeast"/>
            </w:pPr>
            <w:r>
              <w:rPr>
                <w:rFonts w:ascii="Times New Roman" w:hAnsi="Times New Roman"/>
                <w:b/>
                <w:color w:val="FFFFFF"/>
                <w:sz w:val="20"/>
              </w:rPr>
              <w:t>Philippines</w:t>
            </w:r>
          </w:p>
        </w:tc>
      </w:tr>
      <w:tr>
        <w:tc>
          <w:tcPr>
            <w:tcW w:type="dxa" w:w="3168"/>
            <w:shd w:val="clear" w:color="auto" w:fill="FFFFFF"/>
          </w:tcPr>
          <w:p>
            <w:pPr>
              <w:jc w:val="left"/>
              <w:spacing w:before="0" w:after="0" w:line="240" w:lineRule="atLeast"/>
            </w:pPr>
            <w:r>
              <w:rPr>
                <w:rFonts w:ascii="Times New Roman" w:hAnsi="Times New Roman"/>
                <w:sz w:val="20"/>
              </w:rPr>
              <w:t>Total EM-DAT events 1990--2023</w:t>
            </w:r>
          </w:p>
        </w:tc>
        <w:tc>
          <w:tcPr>
            <w:tcW w:type="dxa" w:w="2952"/>
            <w:shd w:val="clear" w:color="auto" w:fill="FFFFFF"/>
          </w:tcPr>
          <w:p>
            <w:pPr>
              <w:jc w:val="left"/>
              <w:spacing w:before="0" w:after="0" w:line="240" w:lineRule="atLeast"/>
            </w:pPr>
            <w:r>
              <w:rPr>
                <w:rFonts w:ascii="Times New Roman" w:hAnsi="Times New Roman"/>
                <w:sz w:val="20"/>
              </w:rPr>
              <w:t>89 (81 flood, 8 storm)</w:t>
            </w:r>
          </w:p>
        </w:tc>
        <w:tc>
          <w:tcPr>
            <w:tcW w:type="dxa" w:w="2909"/>
            <w:shd w:val="clear" w:color="auto" w:fill="FFFFFF"/>
          </w:tcPr>
          <w:p>
            <w:pPr>
              <w:jc w:val="left"/>
              <w:spacing w:before="0" w:after="0" w:line="240" w:lineRule="atLeast"/>
            </w:pPr>
            <w:r>
              <w:rPr>
                <w:rFonts w:ascii="Times New Roman" w:hAnsi="Times New Roman"/>
                <w:sz w:val="20"/>
              </w:rPr>
              <w:t>579 (414 storm, 165 flood)</w:t>
            </w:r>
          </w:p>
        </w:tc>
      </w:tr>
      <w:tr>
        <w:tc>
          <w:tcPr>
            <w:tcW w:type="dxa" w:w="3168"/>
            <w:shd w:val="clear" w:color="auto" w:fill="F5F5F5"/>
          </w:tcPr>
          <w:p>
            <w:pPr>
              <w:jc w:val="left"/>
              <w:spacing w:before="0" w:after="0" w:line="240" w:lineRule="atLeast"/>
            </w:pPr>
            <w:r>
              <w:rPr>
                <w:rFonts w:ascii="Times New Roman" w:hAnsi="Times New Roman"/>
                <w:sz w:val="20"/>
              </w:rPr>
              <w:t>Mean annual insured EAL</w:t>
            </w:r>
          </w:p>
        </w:tc>
        <w:tc>
          <w:tcPr>
            <w:tcW w:type="dxa" w:w="2952"/>
            <w:shd w:val="clear" w:color="auto" w:fill="F5F5F5"/>
          </w:tcPr>
          <w:p>
            <w:pPr>
              <w:jc w:val="left"/>
              <w:spacing w:before="0" w:after="0" w:line="240" w:lineRule="atLeast"/>
            </w:pPr>
            <w:r>
              <w:rPr>
                <w:rFonts w:ascii="Times New Roman" w:hAnsi="Times New Roman"/>
                <w:sz w:val="20"/>
              </w:rPr>
              <w:t>USD 110.8M</w:t>
            </w:r>
          </w:p>
        </w:tc>
        <w:tc>
          <w:tcPr>
            <w:tcW w:type="dxa" w:w="2909"/>
            <w:shd w:val="clear" w:color="auto" w:fill="F5F5F5"/>
          </w:tcPr>
          <w:p>
            <w:pPr>
              <w:jc w:val="left"/>
              <w:spacing w:before="0" w:after="0" w:line="240" w:lineRule="atLeast"/>
            </w:pPr>
            <w:r>
              <w:rPr>
                <w:rFonts w:ascii="Times New Roman" w:hAnsi="Times New Roman"/>
                <w:sz w:val="20"/>
              </w:rPr>
              <w:t>USD 926.5M</w:t>
            </w:r>
          </w:p>
        </w:tc>
      </w:tr>
      <w:tr>
        <w:tc>
          <w:tcPr>
            <w:tcW w:type="dxa" w:w="3168"/>
            <w:shd w:val="clear" w:color="auto" w:fill="FFFFFF"/>
          </w:tcPr>
          <w:p>
            <w:pPr>
              <w:jc w:val="left"/>
              <w:spacing w:before="0" w:after="0" w:line="240" w:lineRule="atLeast"/>
            </w:pPr>
            <w:r>
              <w:rPr>
                <w:rFonts w:ascii="Times New Roman" w:hAnsi="Times New Roman"/>
                <w:sz w:val="20"/>
              </w:rPr>
              <w:t>Insurance penetration</w:t>
            </w:r>
          </w:p>
        </w:tc>
        <w:tc>
          <w:tcPr>
            <w:tcW w:type="dxa" w:w="2952"/>
            <w:shd w:val="clear" w:color="auto" w:fill="FFFFFF"/>
          </w:tcPr>
          <w:p>
            <w:pPr>
              <w:jc w:val="left"/>
              <w:spacing w:before="0" w:after="0" w:line="240" w:lineRule="atLeast"/>
            </w:pPr>
            <w:r>
              <w:rPr>
                <w:rFonts w:ascii="Times New Roman" w:hAnsi="Times New Roman"/>
                <w:sz w:val="20"/>
              </w:rPr>
              <w:t>~15% of economic loss</w:t>
            </w:r>
          </w:p>
        </w:tc>
        <w:tc>
          <w:tcPr>
            <w:tcW w:type="dxa" w:w="2909"/>
            <w:shd w:val="clear" w:color="auto" w:fill="FFFFFF"/>
          </w:tcPr>
          <w:p>
            <w:pPr>
              <w:jc w:val="left"/>
              <w:spacing w:before="0" w:after="0" w:line="240" w:lineRule="atLeast"/>
            </w:pPr>
            <w:r>
              <w:rPr>
                <w:rFonts w:ascii="Times New Roman" w:hAnsi="Times New Roman"/>
                <w:sz w:val="20"/>
              </w:rPr>
              <w:t>~8% of economic loss</w:t>
            </w:r>
          </w:p>
        </w:tc>
      </w:tr>
      <w:tr>
        <w:tc>
          <w:tcPr>
            <w:tcW w:type="dxa" w:w="3168"/>
            <w:shd w:val="clear" w:color="auto" w:fill="F5F5F5"/>
          </w:tcPr>
          <w:p>
            <w:pPr>
              <w:jc w:val="left"/>
              <w:spacing w:before="0" w:after="0" w:line="240" w:lineRule="atLeast"/>
            </w:pPr>
            <w:r>
              <w:rPr>
                <w:rFonts w:ascii="Times New Roman" w:hAnsi="Times New Roman"/>
                <w:sz w:val="20"/>
              </w:rPr>
              <w:t>Annual penetration gap</w:t>
            </w:r>
          </w:p>
        </w:tc>
        <w:tc>
          <w:tcPr>
            <w:tcW w:type="dxa" w:w="2952"/>
            <w:shd w:val="clear" w:color="auto" w:fill="F5F5F5"/>
          </w:tcPr>
          <w:p>
            <w:pPr>
              <w:jc w:val="left"/>
              <w:spacing w:before="0" w:after="0" w:line="240" w:lineRule="atLeast"/>
            </w:pPr>
            <w:r>
              <w:rPr>
                <w:rFonts w:ascii="Times New Roman" w:hAnsi="Times New Roman"/>
                <w:sz w:val="20"/>
              </w:rPr>
              <w:t>USD 6.5M</w:t>
            </w:r>
          </w:p>
        </w:tc>
        <w:tc>
          <w:tcPr>
            <w:tcW w:type="dxa" w:w="2909"/>
            <w:shd w:val="clear" w:color="auto" w:fill="F5F5F5"/>
          </w:tcPr>
          <w:p>
            <w:pPr>
              <w:jc w:val="left"/>
              <w:spacing w:before="0" w:after="0" w:line="240" w:lineRule="atLeast"/>
            </w:pPr>
            <w:r>
              <w:rPr>
                <w:rFonts w:ascii="Times New Roman" w:hAnsi="Times New Roman"/>
                <w:sz w:val="20"/>
              </w:rPr>
              <w:t>USD 11.9M</w:t>
            </w:r>
          </w:p>
        </w:tc>
      </w:tr>
      <w:tr>
        <w:tc>
          <w:tcPr>
            <w:tcW w:type="dxa" w:w="3168"/>
            <w:shd w:val="clear" w:color="auto" w:fill="FFFFFF"/>
          </w:tcPr>
          <w:p>
            <w:pPr>
              <w:jc w:val="left"/>
              <w:spacing w:before="0" w:after="0" w:line="240" w:lineRule="atLeast"/>
            </w:pPr>
            <w:r>
              <w:rPr>
                <w:rFonts w:ascii="Times New Roman" w:hAnsi="Times New Roman"/>
                <w:sz w:val="20"/>
              </w:rPr>
              <w:t>Primary peril season</w:t>
            </w:r>
          </w:p>
        </w:tc>
        <w:tc>
          <w:tcPr>
            <w:tcW w:type="dxa" w:w="2952"/>
            <w:shd w:val="clear" w:color="auto" w:fill="FFFFFF"/>
          </w:tcPr>
          <w:p>
            <w:pPr>
              <w:jc w:val="left"/>
              <w:spacing w:before="0" w:after="0" w:line="240" w:lineRule="atLeast"/>
            </w:pPr>
            <w:r>
              <w:rPr>
                <w:rFonts w:ascii="Times New Roman" w:hAnsi="Times New Roman"/>
                <w:sz w:val="20"/>
              </w:rPr>
              <w:t>Monsoon floods (Oct--Jan)</w:t>
            </w:r>
          </w:p>
        </w:tc>
        <w:tc>
          <w:tcPr>
            <w:tcW w:type="dxa" w:w="2909"/>
            <w:shd w:val="clear" w:color="auto" w:fill="FFFFFF"/>
          </w:tcPr>
          <w:p>
            <w:pPr>
              <w:jc w:val="left"/>
              <w:spacing w:before="0" w:after="0" w:line="240" w:lineRule="atLeast"/>
            </w:pPr>
            <w:r>
              <w:rPr>
                <w:rFonts w:ascii="Times New Roman" w:hAnsi="Times New Roman"/>
                <w:sz w:val="20"/>
              </w:rPr>
              <w:t>Typhoons (Jun--Dec)</w:t>
            </w:r>
          </w:p>
        </w:tc>
      </w:tr>
      <w:tr>
        <w:tc>
          <w:tcPr>
            <w:tcW w:type="dxa" w:w="3168"/>
            <w:shd w:val="clear" w:color="auto" w:fill="F5F5F5"/>
          </w:tcPr>
          <w:p>
            <w:pPr>
              <w:jc w:val="left"/>
              <w:spacing w:before="0" w:after="0" w:line="240" w:lineRule="atLeast"/>
            </w:pPr>
            <w:r>
              <w:rPr>
                <w:rFonts w:ascii="Times New Roman" w:hAnsi="Times New Roman"/>
                <w:sz w:val="20"/>
              </w:rPr>
              <w:t>LULUCF regulatory status</w:t>
            </w:r>
          </w:p>
        </w:tc>
        <w:tc>
          <w:tcPr>
            <w:tcW w:type="dxa" w:w="2952"/>
            <w:shd w:val="clear" w:color="auto" w:fill="F5F5F5"/>
          </w:tcPr>
          <w:p>
            <w:pPr>
              <w:jc w:val="left"/>
              <w:spacing w:before="0" w:after="0" w:line="240" w:lineRule="atLeast"/>
            </w:pPr>
            <w:r>
              <w:rPr>
                <w:rFonts w:ascii="Times New Roman" w:hAnsi="Times New Roman"/>
                <w:sz w:val="20"/>
              </w:rPr>
              <w:t>Net EMITTER +63.3 MtCO2e</w:t>
            </w:r>
          </w:p>
        </w:tc>
        <w:tc>
          <w:tcPr>
            <w:tcW w:type="dxa" w:w="2909"/>
            <w:shd w:val="clear" w:color="auto" w:fill="F5F5F5"/>
          </w:tcPr>
          <w:p>
            <w:pPr>
              <w:jc w:val="left"/>
              <w:spacing w:before="0" w:after="0" w:line="240" w:lineRule="atLeast"/>
            </w:pPr>
            <w:r>
              <w:rPr>
                <w:rFonts w:ascii="Times New Roman" w:hAnsi="Times New Roman"/>
                <w:sz w:val="20"/>
              </w:rPr>
              <w:t>Net SINK -26.9 MtCO2e</w:t>
            </w:r>
          </w:p>
        </w:tc>
      </w:tr>
      <w:tr>
        <w:tc>
          <w:tcPr>
            <w:tcW w:type="dxa" w:w="3168"/>
            <w:shd w:val="clear" w:color="auto" w:fill="FFFFFF"/>
          </w:tcPr>
          <w:p>
            <w:pPr>
              <w:jc w:val="left"/>
              <w:spacing w:before="0" w:after="0" w:line="240" w:lineRule="atLeast"/>
            </w:pPr>
            <w:r>
              <w:rPr>
                <w:rFonts w:ascii="Times New Roman" w:hAnsi="Times New Roman"/>
                <w:sz w:val="20"/>
              </w:rPr>
              <w:t>Carbon regulatory driver</w:t>
            </w:r>
          </w:p>
        </w:tc>
        <w:tc>
          <w:tcPr>
            <w:tcW w:type="dxa" w:w="2952"/>
            <w:shd w:val="clear" w:color="auto" w:fill="FFFFFF"/>
          </w:tcPr>
          <w:p>
            <w:pPr>
              <w:jc w:val="left"/>
              <w:spacing w:before="0" w:after="0" w:line="240" w:lineRule="atLeast"/>
            </w:pPr>
            <w:r>
              <w:rPr>
                <w:rFonts w:ascii="Times New Roman" w:hAnsi="Times New Roman"/>
                <w:sz w:val="20"/>
              </w:rPr>
              <w:t>BNM CCPT C3/C4</w:t>
            </w:r>
          </w:p>
        </w:tc>
        <w:tc>
          <w:tcPr>
            <w:tcW w:type="dxa" w:w="2909"/>
            <w:shd w:val="clear" w:color="auto" w:fill="FFFFFF"/>
          </w:tcPr>
          <w:p>
            <w:pPr>
              <w:jc w:val="left"/>
              <w:spacing w:before="0" w:after="0" w:line="240" w:lineRule="atLeast"/>
            </w:pPr>
            <w:r>
              <w:rPr>
                <w:rFonts w:ascii="Times New Roman" w:hAnsi="Times New Roman"/>
                <w:sz w:val="20"/>
              </w:rPr>
              <w:t>BSP Circular 1085</w:t>
            </w:r>
          </w:p>
        </w:tc>
      </w:tr>
    </w:tbl>
    <w:p>
      <w:pPr>
        <w:spacing w:before="0" w:after="0"/>
      </w:pPr>
      <w:r>
        <w:br w:type="page"/>
      </w:r>
    </w:p>
    <w:p>
      <w:pPr>
        <w:spacing w:before="120" w:after="60" w:line="276" w:lineRule="atLeast"/>
        <w:keepNext/>
        <w:pBdr>
          <w:bottom w:val="single" w:sz="6" w:space="1" w:color="6b2737"/>
        </w:pBdr>
      </w:pPr>
      <w:r>
        <w:rPr>
          <w:rFonts w:ascii="Times New Roman" w:hAnsi="Times New Roman"/>
          <w:b/>
          <w:color w:val="1A1A2E"/>
          <w:sz w:val="28"/>
        </w:rPr>
        <w:t>6.  Transition Risk -- NGFS GCAM 6.0 Assessment</w:t>
      </w:r>
    </w:p>
    <w:p>
      <w:pPr>
        <w:jc w:val="both"/>
        <w:spacing w:before="0" w:after="80" w:line="240" w:lineRule="atLeast"/>
      </w:pPr>
      <w:r>
        <w:rPr>
          <w:rFonts w:ascii="Times New Roman" w:hAnsi="Times New Roman"/>
          <w:b w:val="0"/>
          <w:i w:val="0"/>
          <w:sz w:val="24"/>
        </w:rPr>
        <w:t>Transition risk is quantified using the NGFS GCAM 6.0 (Phase 4) Net Zero 2050 vs Current Policies carbon price gap: USD 55.578/tonne in 2024. Applied to Climate Watch 2023 sector GHG baselines. Critical asymmetry: MYS is a net LULUCF emitter (+63.3 MtCO2e, palm oil deforestation in Sabah/Sarawak), subject to the EU Deforestation Regulation (EUDR 2023/1115, Art. 8) and BNM CCPT Pillar 2 land-use disclosure. PHL is a net LULUCF sink (-26.9 MtCO2e via REDD+), earning Article 6.2 ITMO credits that offset ~18% of its compliance burden. Applying a uniform SEA LULUCF factor overstates PHL costs by ~18% and understates MYS.</w:t>
      </w:r>
    </w:p>
    <w:p>
      <w:pPr>
        <w:jc w:val="both"/>
        <w:spacing w:before="0" w:after="80" w:line="240" w:lineRule="atLeast"/>
      </w:pPr>
      <w:r>
        <w:rPr>
          <w:rFonts w:ascii="Times New Roman" w:hAnsi="Times New Roman"/>
          <w:b w:val="0"/>
          <w:i w:val="0"/>
          <w:sz w:val="24"/>
        </w:rPr>
        <w:t>The PHL agriculture sector presents a distinct exposure pathway: rice paddy methane (GWP 28x CO2) generates 65.85 MtCO2e -- 6x Malaysia's agriculture GHG (10.11 MtCO2e). This reflects a completely different regulatory pathway (methane emission credit schemes vs MYS land-use change regulations), requiring PHL treaty assessment to separately track the agriculture compliance trajectory. This differentiation is embedded in Recommendation R2's country-specific surcharge structure.</w:t>
      </w:r>
    </w:p>
    <w:p>
      <w:pPr>
        <w:spacing w:before="80" w:after="30" w:line="240" w:lineRule="atLeast"/>
        <w:keepNext/>
      </w:pPr>
      <w:r>
        <w:rPr>
          <w:rFonts w:ascii="Times New Roman" w:hAnsi="Times New Roman"/>
          <w:b/>
          <w:color w:val="6B2737"/>
          <w:sz w:val="24"/>
        </w:rPr>
        <w:t>6.1  MYS Sector Decomposition &amp; Country Comparison</w:t>
      </w:r>
    </w:p>
    <w:p>
      <w:pPr>
        <w:jc w:val="center"/>
        <w:spacing w:before="40" w:after="20" w:line="240" w:lineRule="atLeast"/>
      </w:pPr>
      <w:r>
        <w:drawing>
          <wp:inline xmlns:a="http://schemas.openxmlformats.org/drawingml/2006/main" xmlns:pic="http://schemas.openxmlformats.org/drawingml/2006/picture">
            <wp:extent cx="2651760" cy="1077238"/>
            <wp:docPr id="11" name="Picture 11"/>
            <wp:cNvGraphicFramePr>
              <a:graphicFrameLocks noChangeAspect="1"/>
            </wp:cNvGraphicFramePr>
            <a:graphic>
              <a:graphicData uri="http://schemas.openxmlformats.org/drawingml/2006/picture">
                <pic:pic>
                  <pic:nvPicPr>
                    <pic:cNvPr id="0" name="r4_exhibit2a_mys_sectors.png"/>
                    <pic:cNvPicPr/>
                  </pic:nvPicPr>
                  <pic:blipFill>
                    <a:blip r:embed="rId19"/>
                    <a:stretch>
                      <a:fillRect/>
                    </a:stretch>
                  </pic:blipFill>
                  <pic:spPr>
                    <a:xfrm>
                      <a:off x="0" y="0"/>
                      <a:ext cx="2651760" cy="1077238"/>
                    </a:xfrm>
                    <a:prstGeom prst="rect"/>
                  </pic:spPr>
                </pic:pic>
              </a:graphicData>
            </a:graphic>
          </wp:inline>
        </w:drawing>
      </w:r>
      <w:r>
        <w:t xml:space="preserve">  </w:t>
      </w:r>
      <w:r>
        <w:drawing>
          <wp:inline xmlns:a="http://schemas.openxmlformats.org/drawingml/2006/main" xmlns:pic="http://schemas.openxmlformats.org/drawingml/2006/picture">
            <wp:extent cx="2651760" cy="1095602"/>
            <wp:docPr id="12" name="Picture 12"/>
            <wp:cNvGraphicFramePr>
              <a:graphicFrameLocks noChangeAspect="1"/>
            </wp:cNvGraphicFramePr>
            <a:graphic>
              <a:graphicData uri="http://schemas.openxmlformats.org/drawingml/2006/picture">
                <pic:pic>
                  <pic:nvPicPr>
                    <pic:cNvPr id="0" name="r4_exhibit2b_mys_vs_phl.png"/>
                    <pic:cNvPicPr/>
                  </pic:nvPicPr>
                  <pic:blipFill>
                    <a:blip r:embed="rId20"/>
                    <a:stretch>
                      <a:fillRect/>
                    </a:stretch>
                  </pic:blipFill>
                  <pic:spPr>
                    <a:xfrm>
                      <a:off x="0" y="0"/>
                      <a:ext cx="2651760" cy="1095602"/>
                    </a:xfrm>
                    <a:prstGeom prst="rect"/>
                  </pic:spPr>
                </pic:pic>
              </a:graphicData>
            </a:graphic>
          </wp:inline>
        </w:drawing>
      </w:r>
    </w:p>
    <w:p>
      <w:pPr>
        <w:jc w:val="center"/>
        <w:spacing w:before="20" w:after="80" w:line="240" w:lineRule="atLeast"/>
      </w:pPr>
      <w:r>
        <w:rPr>
          <w:rFonts w:ascii="Times New Roman" w:hAnsi="Times New Roman"/>
          <w:i/>
          <w:color w:val="555555"/>
          <w:sz w:val="18"/>
        </w:rPr>
        <w:t>Figure 6 -- MYS sector decomposition at NGFS NZ2050 USD 55.578/t (left); Country comparison: MYS incl. LULUCF emitter vs PHL excl. LULUCF sink (right).</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2304"/>
            <w:shd w:val="clear" w:color="auto" w:fill="6b2737"/>
          </w:tcPr>
          <w:p>
            <w:pPr>
              <w:jc w:val="center"/>
              <w:spacing w:before="0" w:after="0" w:line="240" w:lineRule="atLeast"/>
            </w:pPr>
            <w:r>
              <w:rPr>
                <w:rFonts w:ascii="Times New Roman" w:hAnsi="Times New Roman"/>
                <w:b/>
                <w:color w:val="FFFFFF"/>
                <w:sz w:val="20"/>
              </w:rPr>
              <w:t>Sector</w:t>
            </w:r>
          </w:p>
        </w:tc>
        <w:tc>
          <w:tcPr>
            <w:tcW w:type="dxa" w:w="1656"/>
            <w:shd w:val="clear" w:color="auto" w:fill="6b2737"/>
          </w:tcPr>
          <w:p>
            <w:pPr>
              <w:jc w:val="center"/>
              <w:spacing w:before="0" w:after="0" w:line="240" w:lineRule="atLeast"/>
            </w:pPr>
            <w:r>
              <w:rPr>
                <w:rFonts w:ascii="Times New Roman" w:hAnsi="Times New Roman"/>
                <w:b/>
                <w:color w:val="FFFFFF"/>
                <w:sz w:val="20"/>
              </w:rPr>
              <w:t>MYS GHG (MtCO2e)</w:t>
            </w:r>
          </w:p>
        </w:tc>
        <w:tc>
          <w:tcPr>
            <w:tcW w:type="dxa" w:w="1656"/>
            <w:shd w:val="clear" w:color="auto" w:fill="6b2737"/>
          </w:tcPr>
          <w:p>
            <w:pPr>
              <w:jc w:val="center"/>
              <w:spacing w:before="0" w:after="0" w:line="240" w:lineRule="atLeast"/>
            </w:pPr>
            <w:r>
              <w:rPr>
                <w:rFonts w:ascii="Times New Roman" w:hAnsi="Times New Roman"/>
                <w:b/>
                <w:color w:val="FFFFFF"/>
                <w:sz w:val="20"/>
              </w:rPr>
              <w:t>MYS Cost (USD M)</w:t>
            </w:r>
          </w:p>
        </w:tc>
        <w:tc>
          <w:tcPr>
            <w:tcW w:type="dxa" w:w="1224"/>
            <w:shd w:val="clear" w:color="auto" w:fill="6b2737"/>
          </w:tcPr>
          <w:p>
            <w:pPr>
              <w:jc w:val="center"/>
              <w:spacing w:before="0" w:after="0" w:line="240" w:lineRule="atLeast"/>
            </w:pPr>
            <w:r>
              <w:rPr>
                <w:rFonts w:ascii="Times New Roman" w:hAnsi="Times New Roman"/>
                <w:b/>
                <w:color w:val="FFFFFF"/>
                <w:sz w:val="20"/>
              </w:rPr>
              <w:t>% Total</w:t>
            </w:r>
          </w:p>
        </w:tc>
        <w:tc>
          <w:tcPr>
            <w:tcW w:type="dxa" w:w="2189"/>
            <w:shd w:val="clear" w:color="auto" w:fill="6b2737"/>
          </w:tcPr>
          <w:p>
            <w:pPr>
              <w:jc w:val="center"/>
              <w:spacing w:before="0" w:after="0" w:line="240" w:lineRule="atLeast"/>
            </w:pPr>
            <w:r>
              <w:rPr>
                <w:rFonts w:ascii="Times New Roman" w:hAnsi="Times New Roman"/>
                <w:b/>
                <w:color w:val="FFFFFF"/>
                <w:sz w:val="20"/>
              </w:rPr>
              <w:t>PHL Cost (USD M)</w:t>
            </w:r>
          </w:p>
        </w:tc>
      </w:tr>
      <w:tr>
        <w:tc>
          <w:tcPr>
            <w:tcW w:type="dxa" w:w="2304"/>
            <w:shd w:val="clear" w:color="auto" w:fill="FFFFFF"/>
          </w:tcPr>
          <w:p>
            <w:pPr>
              <w:jc w:val="left"/>
              <w:spacing w:before="0" w:after="0" w:line="240" w:lineRule="atLeast"/>
            </w:pPr>
            <w:r>
              <w:rPr>
                <w:rFonts w:ascii="Times New Roman" w:hAnsi="Times New Roman"/>
                <w:sz w:val="20"/>
              </w:rPr>
              <w:t>Energy</w:t>
            </w:r>
          </w:p>
        </w:tc>
        <w:tc>
          <w:tcPr>
            <w:tcW w:type="dxa" w:w="1656"/>
            <w:shd w:val="clear" w:color="auto" w:fill="FFFFFF"/>
          </w:tcPr>
          <w:p>
            <w:pPr>
              <w:jc w:val="left"/>
              <w:spacing w:before="0" w:after="0" w:line="240" w:lineRule="atLeast"/>
            </w:pPr>
            <w:r>
              <w:rPr>
                <w:rFonts w:ascii="Times New Roman" w:hAnsi="Times New Roman"/>
                <w:sz w:val="20"/>
              </w:rPr>
              <w:t>279.85</w:t>
            </w:r>
          </w:p>
        </w:tc>
        <w:tc>
          <w:tcPr>
            <w:tcW w:type="dxa" w:w="1656"/>
            <w:shd w:val="clear" w:color="auto" w:fill="FFFFFF"/>
          </w:tcPr>
          <w:p>
            <w:pPr>
              <w:jc w:val="left"/>
              <w:spacing w:before="0" w:after="0" w:line="240" w:lineRule="atLeast"/>
            </w:pPr>
            <w:r>
              <w:rPr>
                <w:rFonts w:ascii="Times New Roman" w:hAnsi="Times New Roman"/>
                <w:sz w:val="20"/>
              </w:rPr>
              <w:t>15,554</w:t>
            </w:r>
          </w:p>
        </w:tc>
        <w:tc>
          <w:tcPr>
            <w:tcW w:type="dxa" w:w="1224"/>
            <w:shd w:val="clear" w:color="auto" w:fill="FFFFFF"/>
          </w:tcPr>
          <w:p>
            <w:pPr>
              <w:jc w:val="left"/>
              <w:spacing w:before="0" w:after="0" w:line="240" w:lineRule="atLeast"/>
            </w:pPr>
            <w:r>
              <w:rPr>
                <w:rFonts w:ascii="Times New Roman" w:hAnsi="Times New Roman"/>
                <w:sz w:val="20"/>
              </w:rPr>
              <w:t>69.5%</w:t>
            </w:r>
          </w:p>
        </w:tc>
        <w:tc>
          <w:tcPr>
            <w:tcW w:type="dxa" w:w="2189"/>
            <w:shd w:val="clear" w:color="auto" w:fill="FFFFFF"/>
          </w:tcPr>
          <w:p>
            <w:pPr>
              <w:jc w:val="left"/>
              <w:spacing w:before="0" w:after="0" w:line="240" w:lineRule="atLeast"/>
            </w:pPr>
            <w:r>
              <w:rPr>
                <w:rFonts w:ascii="Times New Roman" w:hAnsi="Times New Roman"/>
                <w:sz w:val="20"/>
              </w:rPr>
              <w:t xml:space="preserve"> 8,935</w:t>
            </w:r>
          </w:p>
        </w:tc>
      </w:tr>
      <w:tr>
        <w:tc>
          <w:tcPr>
            <w:tcW w:type="dxa" w:w="2304"/>
            <w:shd w:val="clear" w:color="auto" w:fill="F5F5F5"/>
          </w:tcPr>
          <w:p>
            <w:pPr>
              <w:jc w:val="left"/>
              <w:spacing w:before="0" w:after="0" w:line="240" w:lineRule="atLeast"/>
            </w:pPr>
            <w:r>
              <w:rPr>
                <w:rFonts w:ascii="Times New Roman" w:hAnsi="Times New Roman"/>
                <w:sz w:val="20"/>
              </w:rPr>
              <w:t>LULUCF (MYS emitter only)</w:t>
            </w:r>
          </w:p>
        </w:tc>
        <w:tc>
          <w:tcPr>
            <w:tcW w:type="dxa" w:w="1656"/>
            <w:shd w:val="clear" w:color="auto" w:fill="F5F5F5"/>
          </w:tcPr>
          <w:p>
            <w:pPr>
              <w:jc w:val="left"/>
              <w:spacing w:before="0" w:after="0" w:line="240" w:lineRule="atLeast"/>
            </w:pPr>
            <w:r>
              <w:rPr>
                <w:rFonts w:ascii="Times New Roman" w:hAnsi="Times New Roman"/>
                <w:sz w:val="20"/>
              </w:rPr>
              <w:t xml:space="preserve"> 63.29</w:t>
            </w:r>
          </w:p>
        </w:tc>
        <w:tc>
          <w:tcPr>
            <w:tcW w:type="dxa" w:w="1656"/>
            <w:shd w:val="clear" w:color="auto" w:fill="F5F5F5"/>
          </w:tcPr>
          <w:p>
            <w:pPr>
              <w:jc w:val="left"/>
              <w:spacing w:before="0" w:after="0" w:line="240" w:lineRule="atLeast"/>
            </w:pPr>
            <w:r>
              <w:rPr>
                <w:rFonts w:ascii="Times New Roman" w:hAnsi="Times New Roman"/>
                <w:sz w:val="20"/>
              </w:rPr>
              <w:t xml:space="preserve"> 3,518</w:t>
            </w:r>
          </w:p>
        </w:tc>
        <w:tc>
          <w:tcPr>
            <w:tcW w:type="dxa" w:w="1224"/>
            <w:shd w:val="clear" w:color="auto" w:fill="F5F5F5"/>
          </w:tcPr>
          <w:p>
            <w:pPr>
              <w:jc w:val="left"/>
              <w:spacing w:before="0" w:after="0" w:line="240" w:lineRule="atLeast"/>
            </w:pPr>
            <w:r>
              <w:rPr>
                <w:rFonts w:ascii="Times New Roman" w:hAnsi="Times New Roman"/>
                <w:sz w:val="20"/>
              </w:rPr>
              <w:t>15.7%</w:t>
            </w:r>
          </w:p>
        </w:tc>
        <w:tc>
          <w:tcPr>
            <w:tcW w:type="dxa" w:w="2189"/>
            <w:shd w:val="clear" w:color="auto" w:fill="F5F5F5"/>
          </w:tcPr>
          <w:p>
            <w:pPr>
              <w:jc w:val="left"/>
              <w:spacing w:before="0" w:after="0" w:line="240" w:lineRule="atLeast"/>
            </w:pPr>
            <w:r>
              <w:rPr>
                <w:rFonts w:ascii="Times New Roman" w:hAnsi="Times New Roman"/>
                <w:sz w:val="20"/>
              </w:rPr>
              <w:t>N/A -- net sink</w:t>
            </w:r>
          </w:p>
        </w:tc>
      </w:tr>
      <w:tr>
        <w:tc>
          <w:tcPr>
            <w:tcW w:type="dxa" w:w="2304"/>
            <w:shd w:val="clear" w:color="auto" w:fill="FFFFFF"/>
          </w:tcPr>
          <w:p>
            <w:pPr>
              <w:jc w:val="left"/>
              <w:spacing w:before="0" w:after="0" w:line="240" w:lineRule="atLeast"/>
            </w:pPr>
            <w:r>
              <w:rPr>
                <w:rFonts w:ascii="Times New Roman" w:hAnsi="Times New Roman"/>
                <w:sz w:val="20"/>
              </w:rPr>
              <w:t>Industrial Processes</w:t>
            </w:r>
          </w:p>
        </w:tc>
        <w:tc>
          <w:tcPr>
            <w:tcW w:type="dxa" w:w="1656"/>
            <w:shd w:val="clear" w:color="auto" w:fill="FFFFFF"/>
          </w:tcPr>
          <w:p>
            <w:pPr>
              <w:jc w:val="left"/>
              <w:spacing w:before="0" w:after="0" w:line="240" w:lineRule="atLeast"/>
            </w:pPr>
            <w:r>
              <w:rPr>
                <w:rFonts w:ascii="Times New Roman" w:hAnsi="Times New Roman"/>
                <w:sz w:val="20"/>
              </w:rPr>
              <w:t xml:space="preserve"> 29.87</w:t>
            </w:r>
          </w:p>
        </w:tc>
        <w:tc>
          <w:tcPr>
            <w:tcW w:type="dxa" w:w="1656"/>
            <w:shd w:val="clear" w:color="auto" w:fill="FFFFFF"/>
          </w:tcPr>
          <w:p>
            <w:pPr>
              <w:jc w:val="left"/>
              <w:spacing w:before="0" w:after="0" w:line="240" w:lineRule="atLeast"/>
            </w:pPr>
            <w:r>
              <w:rPr>
                <w:rFonts w:ascii="Times New Roman" w:hAnsi="Times New Roman"/>
                <w:sz w:val="20"/>
              </w:rPr>
              <w:t xml:space="preserve"> 1,660</w:t>
            </w:r>
          </w:p>
        </w:tc>
        <w:tc>
          <w:tcPr>
            <w:tcW w:type="dxa" w:w="1224"/>
            <w:shd w:val="clear" w:color="auto" w:fill="FFFFFF"/>
          </w:tcPr>
          <w:p>
            <w:pPr>
              <w:jc w:val="left"/>
              <w:spacing w:before="0" w:after="0" w:line="240" w:lineRule="atLeast"/>
            </w:pPr>
            <w:r>
              <w:rPr>
                <w:rFonts w:ascii="Times New Roman" w:hAnsi="Times New Roman"/>
                <w:sz w:val="20"/>
              </w:rPr>
              <w:t xml:space="preserve"> 7.4%</w:t>
            </w:r>
          </w:p>
        </w:tc>
        <w:tc>
          <w:tcPr>
            <w:tcW w:type="dxa" w:w="2189"/>
            <w:shd w:val="clear" w:color="auto" w:fill="FFFFFF"/>
          </w:tcPr>
          <w:p>
            <w:pPr>
              <w:jc w:val="left"/>
              <w:spacing w:before="0" w:after="0" w:line="240" w:lineRule="atLeast"/>
            </w:pPr>
            <w:r>
              <w:rPr>
                <w:rFonts w:ascii="Times New Roman" w:hAnsi="Times New Roman"/>
                <w:sz w:val="20"/>
              </w:rPr>
              <w:t xml:space="preserve">   931</w:t>
            </w:r>
          </w:p>
        </w:tc>
      </w:tr>
      <w:tr>
        <w:tc>
          <w:tcPr>
            <w:tcW w:type="dxa" w:w="2304"/>
            <w:shd w:val="clear" w:color="auto" w:fill="F5F5F5"/>
          </w:tcPr>
          <w:p>
            <w:pPr>
              <w:jc w:val="left"/>
              <w:spacing w:before="0" w:after="0" w:line="240" w:lineRule="atLeast"/>
            </w:pPr>
            <w:r>
              <w:rPr>
                <w:rFonts w:ascii="Times New Roman" w:hAnsi="Times New Roman"/>
                <w:sz w:val="20"/>
              </w:rPr>
              <w:t>Waste</w:t>
            </w:r>
          </w:p>
        </w:tc>
        <w:tc>
          <w:tcPr>
            <w:tcW w:type="dxa" w:w="1656"/>
            <w:shd w:val="clear" w:color="auto" w:fill="F5F5F5"/>
          </w:tcPr>
          <w:p>
            <w:pPr>
              <w:jc w:val="left"/>
              <w:spacing w:before="0" w:after="0" w:line="240" w:lineRule="atLeast"/>
            </w:pPr>
            <w:r>
              <w:rPr>
                <w:rFonts w:ascii="Times New Roman" w:hAnsi="Times New Roman"/>
                <w:sz w:val="20"/>
              </w:rPr>
              <w:t xml:space="preserve"> 19.49</w:t>
            </w:r>
          </w:p>
        </w:tc>
        <w:tc>
          <w:tcPr>
            <w:tcW w:type="dxa" w:w="1656"/>
            <w:shd w:val="clear" w:color="auto" w:fill="F5F5F5"/>
          </w:tcPr>
          <w:p>
            <w:pPr>
              <w:jc w:val="left"/>
              <w:spacing w:before="0" w:after="0" w:line="240" w:lineRule="atLeast"/>
            </w:pPr>
            <w:r>
              <w:rPr>
                <w:rFonts w:ascii="Times New Roman" w:hAnsi="Times New Roman"/>
                <w:sz w:val="20"/>
              </w:rPr>
              <w:t xml:space="preserve"> 1,083</w:t>
            </w:r>
          </w:p>
        </w:tc>
        <w:tc>
          <w:tcPr>
            <w:tcW w:type="dxa" w:w="1224"/>
            <w:shd w:val="clear" w:color="auto" w:fill="F5F5F5"/>
          </w:tcPr>
          <w:p>
            <w:pPr>
              <w:jc w:val="left"/>
              <w:spacing w:before="0" w:after="0" w:line="240" w:lineRule="atLeast"/>
            </w:pPr>
            <w:r>
              <w:rPr>
                <w:rFonts w:ascii="Times New Roman" w:hAnsi="Times New Roman"/>
                <w:sz w:val="20"/>
              </w:rPr>
              <w:t xml:space="preserve"> 4.8%</w:t>
            </w:r>
          </w:p>
        </w:tc>
        <w:tc>
          <w:tcPr>
            <w:tcW w:type="dxa" w:w="2189"/>
            <w:shd w:val="clear" w:color="auto" w:fill="F5F5F5"/>
          </w:tcPr>
          <w:p>
            <w:pPr>
              <w:jc w:val="left"/>
              <w:spacing w:before="0" w:after="0" w:line="240" w:lineRule="atLeast"/>
            </w:pPr>
            <w:r>
              <w:rPr>
                <w:rFonts w:ascii="Times New Roman" w:hAnsi="Times New Roman"/>
                <w:sz w:val="20"/>
              </w:rPr>
              <w:t xml:space="preserve"> 1,276</w:t>
            </w:r>
          </w:p>
        </w:tc>
      </w:tr>
      <w:tr>
        <w:tc>
          <w:tcPr>
            <w:tcW w:type="dxa" w:w="2304"/>
            <w:shd w:val="clear" w:color="auto" w:fill="FFFFFF"/>
          </w:tcPr>
          <w:p>
            <w:pPr>
              <w:jc w:val="left"/>
              <w:spacing w:before="0" w:after="0" w:line="240" w:lineRule="atLeast"/>
            </w:pPr>
            <w:r>
              <w:rPr>
                <w:rFonts w:ascii="Times New Roman" w:hAnsi="Times New Roman"/>
                <w:sz w:val="20"/>
              </w:rPr>
              <w:t>Agriculture</w:t>
            </w:r>
          </w:p>
        </w:tc>
        <w:tc>
          <w:tcPr>
            <w:tcW w:type="dxa" w:w="1656"/>
            <w:shd w:val="clear" w:color="auto" w:fill="FFFFFF"/>
          </w:tcPr>
          <w:p>
            <w:pPr>
              <w:jc w:val="left"/>
              <w:spacing w:before="0" w:after="0" w:line="240" w:lineRule="atLeast"/>
            </w:pPr>
            <w:r>
              <w:rPr>
                <w:rFonts w:ascii="Times New Roman" w:hAnsi="Times New Roman"/>
                <w:sz w:val="20"/>
              </w:rPr>
              <w:t xml:space="preserve"> 10.11</w:t>
            </w:r>
          </w:p>
        </w:tc>
        <w:tc>
          <w:tcPr>
            <w:tcW w:type="dxa" w:w="1656"/>
            <w:shd w:val="clear" w:color="auto" w:fill="FFFFFF"/>
          </w:tcPr>
          <w:p>
            <w:pPr>
              <w:jc w:val="left"/>
              <w:spacing w:before="0" w:after="0" w:line="240" w:lineRule="atLeast"/>
            </w:pPr>
            <w:r>
              <w:rPr>
                <w:rFonts w:ascii="Times New Roman" w:hAnsi="Times New Roman"/>
                <w:sz w:val="20"/>
              </w:rPr>
              <w:t xml:space="preserve">   562</w:t>
            </w:r>
          </w:p>
        </w:tc>
        <w:tc>
          <w:tcPr>
            <w:tcW w:type="dxa" w:w="1224"/>
            <w:shd w:val="clear" w:color="auto" w:fill="FFFFFF"/>
          </w:tcPr>
          <w:p>
            <w:pPr>
              <w:jc w:val="left"/>
              <w:spacing w:before="0" w:after="0" w:line="240" w:lineRule="atLeast"/>
            </w:pPr>
            <w:r>
              <w:rPr>
                <w:rFonts w:ascii="Times New Roman" w:hAnsi="Times New Roman"/>
                <w:sz w:val="20"/>
              </w:rPr>
              <w:t xml:space="preserve"> 2.5%</w:t>
            </w:r>
          </w:p>
        </w:tc>
        <w:tc>
          <w:tcPr>
            <w:tcW w:type="dxa" w:w="2189"/>
            <w:shd w:val="clear" w:color="auto" w:fill="FFFFFF"/>
          </w:tcPr>
          <w:p>
            <w:pPr>
              <w:jc w:val="left"/>
              <w:spacing w:before="0" w:after="0" w:line="240" w:lineRule="atLeast"/>
            </w:pPr>
            <w:r>
              <w:rPr>
                <w:rFonts w:ascii="Times New Roman" w:hAnsi="Times New Roman"/>
                <w:sz w:val="20"/>
              </w:rPr>
              <w:t xml:space="preserve"> 3,661 (rice methane)</w:t>
            </w:r>
          </w:p>
        </w:tc>
      </w:tr>
      <w:tr>
        <w:tc>
          <w:tcPr>
            <w:tcW w:type="dxa" w:w="2304"/>
            <w:shd w:val="clear" w:color="auto" w:fill="F5F5F5"/>
          </w:tcPr>
          <w:p>
            <w:pPr>
              <w:jc w:val="left"/>
              <w:spacing w:before="0" w:after="0" w:line="240" w:lineRule="atLeast"/>
            </w:pPr>
            <w:r>
              <w:rPr>
                <w:rFonts w:ascii="Times New Roman" w:hAnsi="Times New Roman"/>
                <w:sz w:val="20"/>
              </w:rPr>
              <w:t>TOTAL</w:t>
            </w:r>
          </w:p>
        </w:tc>
        <w:tc>
          <w:tcPr>
            <w:tcW w:type="dxa" w:w="1656"/>
            <w:shd w:val="clear" w:color="auto" w:fill="F5F5F5"/>
          </w:tcPr>
          <w:p>
            <w:pPr>
              <w:jc w:val="left"/>
              <w:spacing w:before="0" w:after="0" w:line="240" w:lineRule="atLeast"/>
            </w:pPr>
            <w:r>
              <w:rPr>
                <w:rFonts w:ascii="Times New Roman" w:hAnsi="Times New Roman"/>
                <w:sz w:val="20"/>
              </w:rPr>
              <w:t>402.61</w:t>
            </w:r>
          </w:p>
        </w:tc>
        <w:tc>
          <w:tcPr>
            <w:tcW w:type="dxa" w:w="1656"/>
            <w:shd w:val="clear" w:color="auto" w:fill="F5F5F5"/>
          </w:tcPr>
          <w:p>
            <w:pPr>
              <w:jc w:val="left"/>
              <w:spacing w:before="0" w:after="0" w:line="240" w:lineRule="atLeast"/>
            </w:pPr>
            <w:r>
              <w:rPr>
                <w:rFonts w:ascii="Times New Roman" w:hAnsi="Times New Roman"/>
                <w:sz w:val="20"/>
              </w:rPr>
              <w:t>22,376</w:t>
            </w:r>
          </w:p>
        </w:tc>
        <w:tc>
          <w:tcPr>
            <w:tcW w:type="dxa" w:w="1224"/>
            <w:shd w:val="clear" w:color="auto" w:fill="F5F5F5"/>
          </w:tcPr>
          <w:p>
            <w:pPr>
              <w:jc w:val="left"/>
              <w:spacing w:before="0" w:after="0" w:line="240" w:lineRule="atLeast"/>
            </w:pPr>
            <w:r>
              <w:rPr>
                <w:rFonts w:ascii="Times New Roman" w:hAnsi="Times New Roman"/>
                <w:sz w:val="20"/>
              </w:rPr>
              <w:t>100%</w:t>
            </w:r>
          </w:p>
        </w:tc>
        <w:tc>
          <w:tcPr>
            <w:tcW w:type="dxa" w:w="2189"/>
            <w:shd w:val="clear" w:color="auto" w:fill="F5F5F5"/>
          </w:tcPr>
          <w:p>
            <w:pPr>
              <w:jc w:val="left"/>
              <w:spacing w:before="0" w:after="0" w:line="240" w:lineRule="atLeast"/>
            </w:pPr>
            <w:r>
              <w:rPr>
                <w:rFonts w:ascii="Times New Roman" w:hAnsi="Times New Roman"/>
                <w:sz w:val="20"/>
              </w:rPr>
              <w:t>14,803</w:t>
            </w:r>
          </w:p>
        </w:tc>
      </w:tr>
    </w:tbl>
    <w:p>
      <w:pPr>
        <w:jc w:val="center"/>
        <w:spacing w:before="20" w:after="80" w:line="240" w:lineRule="atLeast"/>
      </w:pPr>
      <w:r>
        <w:rPr>
          <w:rFonts w:ascii="Times New Roman" w:hAnsi="Times New Roman"/>
          <w:i/>
          <w:color w:val="555555"/>
          <w:sz w:val="18"/>
        </w:rPr>
        <w:t>Table 6 -- MYS sector GHG at NZ2050 (USD 55.578/t). Total MYS: USD 22.4bn/yr (5.5% GDP). PHL excl. LULUCF sink: USD 14.8bn/yr (3.3% GDP). PHL Waste (22.95 MtCO2e x USD 55.578/t = USD 1,276M) is larger than MYS Waste due to higher PHL solid waste GHG baseline (Climate Watch 2023).</w:t>
      </w:r>
    </w:p>
    <w:p>
      <w:pPr>
        <w:spacing w:before="80" w:after="30" w:line="240" w:lineRule="atLeast"/>
        <w:keepNext/>
      </w:pPr>
      <w:r>
        <w:rPr>
          <w:rFonts w:ascii="Times New Roman" w:hAnsi="Times New Roman"/>
          <w:b/>
          <w:color w:val="6B2737"/>
          <w:sz w:val="24"/>
        </w:rPr>
        <w:t>6.2  Pass-Through to SEA Treaty Pool</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2664"/>
            <w:shd w:val="clear" w:color="auto" w:fill="6b2737"/>
          </w:tcPr>
          <w:p>
            <w:pPr>
              <w:jc w:val="center"/>
              <w:spacing w:before="0" w:after="0" w:line="240" w:lineRule="atLeast"/>
            </w:pPr>
            <w:r>
              <w:rPr>
                <w:rFonts w:ascii="Times New Roman" w:hAnsi="Times New Roman"/>
                <w:b/>
                <w:color w:val="FFFFFF"/>
                <w:sz w:val="20"/>
              </w:rPr>
              <w:t>Scenario</w:t>
            </w:r>
          </w:p>
        </w:tc>
        <w:tc>
          <w:tcPr>
            <w:tcW w:type="dxa" w:w="1656"/>
            <w:shd w:val="clear" w:color="auto" w:fill="6b2737"/>
          </w:tcPr>
          <w:p>
            <w:pPr>
              <w:jc w:val="center"/>
              <w:spacing w:before="0" w:after="0" w:line="240" w:lineRule="atLeast"/>
            </w:pPr>
            <w:r>
              <w:rPr>
                <w:rFonts w:ascii="Times New Roman" w:hAnsi="Times New Roman"/>
                <w:b/>
                <w:color w:val="FFFFFF"/>
                <w:sz w:val="20"/>
              </w:rPr>
              <w:t>Carbon Price (2024)</w:t>
            </w:r>
          </w:p>
        </w:tc>
        <w:tc>
          <w:tcPr>
            <w:tcW w:type="dxa" w:w="1440"/>
            <w:shd w:val="clear" w:color="auto" w:fill="6b2737"/>
          </w:tcPr>
          <w:p>
            <w:pPr>
              <w:jc w:val="center"/>
              <w:spacing w:before="0" w:after="0" w:line="240" w:lineRule="atLeast"/>
            </w:pPr>
            <w:r>
              <w:rPr>
                <w:rFonts w:ascii="Times New Roman" w:hAnsi="Times New Roman"/>
                <w:b/>
                <w:color w:val="FFFFFF"/>
                <w:sz w:val="20"/>
              </w:rPr>
              <w:t>MYS Pool</w:t>
            </w:r>
          </w:p>
        </w:tc>
        <w:tc>
          <w:tcPr>
            <w:tcW w:type="dxa" w:w="1368"/>
            <w:shd w:val="clear" w:color="auto" w:fill="6b2737"/>
          </w:tcPr>
          <w:p>
            <w:pPr>
              <w:jc w:val="center"/>
              <w:spacing w:before="0" w:after="0" w:line="240" w:lineRule="atLeast"/>
            </w:pPr>
            <w:r>
              <w:rPr>
                <w:rFonts w:ascii="Times New Roman" w:hAnsi="Times New Roman"/>
                <w:b/>
                <w:color w:val="FFFFFF"/>
                <w:sz w:val="20"/>
              </w:rPr>
              <w:t>PHL Pool</w:t>
            </w:r>
          </w:p>
        </w:tc>
        <w:tc>
          <w:tcPr>
            <w:tcW w:type="dxa" w:w="1901"/>
            <w:shd w:val="clear" w:color="auto" w:fill="6b2737"/>
          </w:tcPr>
          <w:p>
            <w:pPr>
              <w:jc w:val="center"/>
              <w:spacing w:before="0" w:after="0" w:line="240" w:lineRule="atLeast"/>
            </w:pPr>
            <w:r>
              <w:rPr>
                <w:rFonts w:ascii="Times New Roman" w:hAnsi="Times New Roman"/>
                <w:b/>
                <w:color w:val="FFFFFF"/>
                <w:sz w:val="20"/>
              </w:rPr>
              <w:t>SEA Total</w:t>
            </w:r>
          </w:p>
        </w:tc>
      </w:tr>
      <w:tr>
        <w:tc>
          <w:tcPr>
            <w:tcW w:type="dxa" w:w="2664"/>
            <w:shd w:val="clear" w:color="auto" w:fill="FFFFFF"/>
          </w:tcPr>
          <w:p>
            <w:pPr>
              <w:jc w:val="left"/>
              <w:spacing w:before="0" w:after="0" w:line="240" w:lineRule="atLeast"/>
            </w:pPr>
            <w:r>
              <w:rPr>
                <w:rFonts w:ascii="Times New Roman" w:hAnsi="Times New Roman"/>
                <w:sz w:val="20"/>
              </w:rPr>
              <w:t>Current Policies</w:t>
            </w:r>
          </w:p>
        </w:tc>
        <w:tc>
          <w:tcPr>
            <w:tcW w:type="dxa" w:w="1656"/>
            <w:shd w:val="clear" w:color="auto" w:fill="FFFFFF"/>
          </w:tcPr>
          <w:p>
            <w:pPr>
              <w:jc w:val="left"/>
              <w:spacing w:before="0" w:after="0" w:line="240" w:lineRule="atLeast"/>
            </w:pPr>
            <w:r>
              <w:rPr>
                <w:rFonts w:ascii="Times New Roman" w:hAnsi="Times New Roman"/>
                <w:sz w:val="20"/>
              </w:rPr>
              <w:t>USD 0/t</w:t>
            </w:r>
          </w:p>
        </w:tc>
        <w:tc>
          <w:tcPr>
            <w:tcW w:type="dxa" w:w="1440"/>
            <w:shd w:val="clear" w:color="auto" w:fill="FFFFFF"/>
          </w:tcPr>
          <w:p>
            <w:pPr>
              <w:jc w:val="left"/>
              <w:spacing w:before="0" w:after="0" w:line="240" w:lineRule="atLeast"/>
            </w:pPr>
            <w:r>
              <w:rPr>
                <w:rFonts w:ascii="Times New Roman" w:hAnsi="Times New Roman"/>
                <w:sz w:val="20"/>
              </w:rPr>
              <w:t>USD 0</w:t>
            </w:r>
          </w:p>
        </w:tc>
        <w:tc>
          <w:tcPr>
            <w:tcW w:type="dxa" w:w="1368"/>
            <w:shd w:val="clear" w:color="auto" w:fill="FFFFFF"/>
          </w:tcPr>
          <w:p>
            <w:pPr>
              <w:jc w:val="left"/>
              <w:spacing w:before="0" w:after="0" w:line="240" w:lineRule="atLeast"/>
            </w:pPr>
            <w:r>
              <w:rPr>
                <w:rFonts w:ascii="Times New Roman" w:hAnsi="Times New Roman"/>
                <w:sz w:val="20"/>
              </w:rPr>
              <w:t>USD 0</w:t>
            </w:r>
          </w:p>
        </w:tc>
        <w:tc>
          <w:tcPr>
            <w:tcW w:type="dxa" w:w="1901"/>
            <w:shd w:val="clear" w:color="auto" w:fill="FFFFFF"/>
          </w:tcPr>
          <w:p>
            <w:pPr>
              <w:jc w:val="left"/>
              <w:spacing w:before="0" w:after="0" w:line="240" w:lineRule="atLeast"/>
            </w:pPr>
            <w:r>
              <w:rPr>
                <w:rFonts w:ascii="Times New Roman" w:hAnsi="Times New Roman"/>
                <w:sz w:val="20"/>
              </w:rPr>
              <w:t>USD 0</w:t>
            </w:r>
          </w:p>
        </w:tc>
      </w:tr>
      <w:tr>
        <w:tc>
          <w:tcPr>
            <w:tcW w:type="dxa" w:w="2664"/>
            <w:shd w:val="clear" w:color="auto" w:fill="F5F5F5"/>
          </w:tcPr>
          <w:p>
            <w:pPr>
              <w:jc w:val="left"/>
              <w:spacing w:before="0" w:after="0" w:line="240" w:lineRule="atLeast"/>
            </w:pPr>
            <w:r>
              <w:rPr>
                <w:rFonts w:ascii="Times New Roman" w:hAnsi="Times New Roman"/>
                <w:sz w:val="20"/>
              </w:rPr>
              <w:t>NGFS NZ2050 baseline</w:t>
            </w:r>
          </w:p>
        </w:tc>
        <w:tc>
          <w:tcPr>
            <w:tcW w:type="dxa" w:w="1656"/>
            <w:shd w:val="clear" w:color="auto" w:fill="F5F5F5"/>
          </w:tcPr>
          <w:p>
            <w:pPr>
              <w:jc w:val="left"/>
              <w:spacing w:before="0" w:after="0" w:line="240" w:lineRule="atLeast"/>
            </w:pPr>
            <w:r>
              <w:rPr>
                <w:rFonts w:ascii="Times New Roman" w:hAnsi="Times New Roman"/>
                <w:sz w:val="20"/>
              </w:rPr>
              <w:t>USD 55.578/t</w:t>
            </w:r>
          </w:p>
        </w:tc>
        <w:tc>
          <w:tcPr>
            <w:tcW w:type="dxa" w:w="1440"/>
            <w:shd w:val="clear" w:color="auto" w:fill="F5F5F5"/>
          </w:tcPr>
          <w:p>
            <w:pPr>
              <w:jc w:val="left"/>
              <w:spacing w:before="0" w:after="0" w:line="240" w:lineRule="atLeast"/>
            </w:pPr>
            <w:r>
              <w:rPr>
                <w:rFonts w:ascii="Times New Roman" w:hAnsi="Times New Roman"/>
                <w:sz w:val="20"/>
              </w:rPr>
              <w:t>USD 672M</w:t>
            </w:r>
          </w:p>
        </w:tc>
        <w:tc>
          <w:tcPr>
            <w:tcW w:type="dxa" w:w="1368"/>
            <w:shd w:val="clear" w:color="auto" w:fill="F5F5F5"/>
          </w:tcPr>
          <w:p>
            <w:pPr>
              <w:jc w:val="left"/>
              <w:spacing w:before="0" w:after="0" w:line="240" w:lineRule="atLeast"/>
            </w:pPr>
            <w:r>
              <w:rPr>
                <w:rFonts w:ascii="Times New Roman" w:hAnsi="Times New Roman"/>
                <w:sz w:val="20"/>
              </w:rPr>
              <w:t>USD 444M</w:t>
            </w:r>
          </w:p>
        </w:tc>
        <w:tc>
          <w:tcPr>
            <w:tcW w:type="dxa" w:w="1901"/>
            <w:shd w:val="clear" w:color="auto" w:fill="F5F5F5"/>
          </w:tcPr>
          <w:p>
            <w:pPr>
              <w:jc w:val="left"/>
              <w:spacing w:before="0" w:after="0" w:line="240" w:lineRule="atLeast"/>
            </w:pPr>
            <w:r>
              <w:rPr>
                <w:rFonts w:ascii="Times New Roman" w:hAnsi="Times New Roman"/>
                <w:sz w:val="20"/>
              </w:rPr>
              <w:t>USD 1,115M</w:t>
            </w:r>
          </w:p>
        </w:tc>
      </w:tr>
      <w:tr>
        <w:tc>
          <w:tcPr>
            <w:tcW w:type="dxa" w:w="2664"/>
            <w:shd w:val="clear" w:color="auto" w:fill="FFFFFF"/>
          </w:tcPr>
          <w:p>
            <w:pPr>
              <w:jc w:val="left"/>
              <w:spacing w:before="0" w:after="0" w:line="240" w:lineRule="atLeast"/>
            </w:pPr>
            <w:r>
              <w:rPr>
                <w:rFonts w:ascii="Times New Roman" w:hAnsi="Times New Roman"/>
                <w:sz w:val="20"/>
              </w:rPr>
              <w:t>NZ2050 x 2 stress</w:t>
            </w:r>
          </w:p>
        </w:tc>
        <w:tc>
          <w:tcPr>
            <w:tcW w:type="dxa" w:w="1656"/>
            <w:shd w:val="clear" w:color="auto" w:fill="FFFFFF"/>
          </w:tcPr>
          <w:p>
            <w:pPr>
              <w:jc w:val="left"/>
              <w:spacing w:before="0" w:after="0" w:line="240" w:lineRule="atLeast"/>
            </w:pPr>
            <w:r>
              <w:rPr>
                <w:rFonts w:ascii="Times New Roman" w:hAnsi="Times New Roman"/>
                <w:sz w:val="20"/>
              </w:rPr>
              <w:t>USD 111/t</w:t>
            </w:r>
          </w:p>
        </w:tc>
        <w:tc>
          <w:tcPr>
            <w:tcW w:type="dxa" w:w="1440"/>
            <w:shd w:val="clear" w:color="auto" w:fill="FFFFFF"/>
          </w:tcPr>
          <w:p>
            <w:pPr>
              <w:jc w:val="left"/>
              <w:spacing w:before="0" w:after="0" w:line="240" w:lineRule="atLeast"/>
            </w:pPr>
            <w:r>
              <w:rPr>
                <w:rFonts w:ascii="Times New Roman" w:hAnsi="Times New Roman"/>
                <w:sz w:val="20"/>
              </w:rPr>
              <w:t>USD 1,295M</w:t>
            </w:r>
          </w:p>
        </w:tc>
        <w:tc>
          <w:tcPr>
            <w:tcW w:type="dxa" w:w="1368"/>
            <w:shd w:val="clear" w:color="auto" w:fill="FFFFFF"/>
          </w:tcPr>
          <w:p>
            <w:pPr>
              <w:jc w:val="left"/>
              <w:spacing w:before="0" w:after="0" w:line="240" w:lineRule="atLeast"/>
            </w:pPr>
            <w:r>
              <w:rPr>
                <w:rFonts w:ascii="Times New Roman" w:hAnsi="Times New Roman"/>
                <w:sz w:val="20"/>
              </w:rPr>
              <w:t>USD 888M</w:t>
            </w:r>
          </w:p>
        </w:tc>
        <w:tc>
          <w:tcPr>
            <w:tcW w:type="dxa" w:w="1901"/>
            <w:shd w:val="clear" w:color="auto" w:fill="FFFFFF"/>
          </w:tcPr>
          <w:p>
            <w:pPr>
              <w:jc w:val="left"/>
              <w:spacing w:before="0" w:after="0" w:line="240" w:lineRule="atLeast"/>
            </w:pPr>
            <w:r>
              <w:rPr>
                <w:rFonts w:ascii="Times New Roman" w:hAnsi="Times New Roman"/>
                <w:sz w:val="20"/>
              </w:rPr>
              <w:t>USD 2,230M</w:t>
            </w:r>
          </w:p>
        </w:tc>
      </w:tr>
    </w:tbl>
    <w:p>
      <w:pPr>
        <w:jc w:val="center"/>
        <w:spacing w:before="20" w:after="0" w:line="240" w:lineRule="atLeast"/>
      </w:pPr>
      <w:r>
        <w:rPr>
          <w:rFonts w:ascii="Times New Roman" w:hAnsi="Times New Roman"/>
          <w:i/>
          <w:color w:val="555555"/>
          <w:sz w:val="18"/>
        </w:rPr>
        <w:t>Table 7 -- Annual transition pass-through to SEA treaty pool (3% rate, 50% treaty attachment). Pass-through rate sensitivity 1--5% drives 5x HRe reserve variance (USD 3.0--14.9M/yr).</w:t>
      </w:r>
    </w:p>
    <w:p>
      <w:pPr>
        <w:spacing w:before="0" w:after="0"/>
      </w:pPr>
      <w:r>
        <w:br w:type="page"/>
      </w:r>
    </w:p>
    <w:p>
      <w:pPr>
        <w:spacing w:before="120" w:after="60" w:line="276" w:lineRule="atLeast"/>
        <w:keepNext/>
        <w:pBdr>
          <w:bottom w:val="single" w:sz="6" w:space="1" w:color="6b2737"/>
        </w:pBdr>
      </w:pPr>
      <w:r>
        <w:rPr>
          <w:rFonts w:ascii="Times New Roman" w:hAnsi="Times New Roman"/>
          <w:b/>
          <w:color w:val="1A1A2E"/>
          <w:sz w:val="28"/>
        </w:rPr>
        <w:t>7.  Stress Testing &amp; 2030 Projections</w:t>
      </w:r>
    </w:p>
    <w:p>
      <w:pPr>
        <w:jc w:val="both"/>
        <w:spacing w:before="0" w:after="80" w:line="240" w:lineRule="atLeast"/>
      </w:pPr>
      <w:r>
        <w:rPr>
          <w:rFonts w:ascii="Times New Roman" w:hAnsi="Times New Roman"/>
          <w:b w:val="0"/>
          <w:i w:val="0"/>
          <w:sz w:val="24"/>
        </w:rPr>
        <w:t>Using the ARIMA 2024 GHG forecast as baseline, compliance costs are projected to 2030 under NGFS NZ2050 (3%/yr linear IEA abatement). Carbon prices escalate from USD 28.2/t (2024) to USD 55.6/t (2030). A critical observation: even as emissions decline, total compliance cost continues to rise because carbon price escalation outpaces abatement. This creates peak transition exposure for cedants in 2026--2028. The unconstrained projection (USD 2.13bn/yr at 10% HRe alloc. by 2030) represents a theoretical maximum assuming current treaty terms persist unchanged. In practice, HRe's underwriting committee would impose binding capital constraints well before this threshold -- most likely triggering treaty repricing at the 2027 renewal cycle. The primary economic value of this analysis is therefore the identification of the trigger year (~2027), not the terminal quantum.</w:t>
      </w:r>
    </w:p>
    <w:p>
      <w:pPr>
        <w:jc w:val="center"/>
        <w:spacing w:before="40" w:after="20" w:line="240" w:lineRule="atLeast"/>
      </w:pPr>
      <w:r>
        <w:drawing>
          <wp:inline xmlns:a="http://schemas.openxmlformats.org/drawingml/2006/main" xmlns:pic="http://schemas.openxmlformats.org/drawingml/2006/picture">
            <wp:extent cx="5486400" cy="1921820"/>
            <wp:docPr id="13" name="Picture 13"/>
            <wp:cNvGraphicFramePr>
              <a:graphicFrameLocks noChangeAspect="1"/>
            </wp:cNvGraphicFramePr>
            <a:graphic>
              <a:graphicData uri="http://schemas.openxmlformats.org/drawingml/2006/picture">
                <pic:pic>
                  <pic:nvPicPr>
                    <pic:cNvPr id="0" name="r4_transition_cost_trajectory.png"/>
                    <pic:cNvPicPr/>
                  </pic:nvPicPr>
                  <pic:blipFill>
                    <a:blip r:embed="rId21"/>
                    <a:stretch>
                      <a:fillRect/>
                    </a:stretch>
                  </pic:blipFill>
                  <pic:spPr>
                    <a:xfrm>
                      <a:off x="0" y="0"/>
                      <a:ext cx="5486400" cy="1921820"/>
                    </a:xfrm>
                    <a:prstGeom prst="rect"/>
                  </pic:spPr>
                </pic:pic>
              </a:graphicData>
            </a:graphic>
          </wp:inline>
        </w:drawing>
      </w:r>
    </w:p>
    <w:p>
      <w:pPr>
        <w:jc w:val="center"/>
        <w:spacing w:before="20" w:after="80" w:line="240" w:lineRule="atLeast"/>
      </w:pPr>
      <w:r>
        <w:rPr>
          <w:rFonts w:ascii="Times New Roman" w:hAnsi="Times New Roman"/>
          <w:i/>
          <w:color w:val="555555"/>
          <w:sz w:val="18"/>
        </w:rPr>
        <w:t>Figure 7 -- Transition cost 2024--2030 (NGFS NZ2050): combined MYS+PHL reaches USD 26.6bn/yr by 2030. HRe binding capital constraint triggered approximately 2027 at 10% SEA allocation.</w:t>
      </w:r>
    </w:p>
    <w:p>
      <w:pPr>
        <w:spacing w:before="80" w:after="30" w:line="240" w:lineRule="atLeast"/>
        <w:keepNext/>
      </w:pPr>
      <w:r>
        <w:rPr>
          <w:rFonts w:ascii="Times New Roman" w:hAnsi="Times New Roman"/>
          <w:b/>
          <w:color w:val="6B2737"/>
          <w:sz w:val="24"/>
        </w:rPr>
        <w:t>7.1  Trajectory &amp; HRe Reserve Projections</w:t>
      </w:r>
    </w:p>
    <w:tbl>
      <w:tblPr>
        <w:tblStyle w:val="TableGrid"/>
        <w:tblW w:type="auto" w:w="0"/>
        <w:jc w:val="left"/>
        <w:tblLook w:firstColumn="1" w:firstRow="1" w:lastColumn="0" w:lastRow="0" w:noHBand="0" w:noVBand="1" w:val="04A0"/>
      </w:tblPr>
      <w:tblGrid>
        <w:gridCol w:w="1289"/>
        <w:gridCol w:w="1289"/>
        <w:gridCol w:w="1289"/>
        <w:gridCol w:w="1289"/>
        <w:gridCol w:w="1289"/>
        <w:gridCol w:w="1289"/>
        <w:gridCol w:w="1289"/>
      </w:tblGrid>
      <w:tr>
        <w:tc>
          <w:tcPr>
            <w:tcW w:type="dxa" w:w="720"/>
            <w:shd w:val="clear" w:color="auto" w:fill="6b2737"/>
          </w:tcPr>
          <w:p>
            <w:pPr>
              <w:jc w:val="center"/>
              <w:spacing w:before="0" w:after="0" w:line="240" w:lineRule="atLeast"/>
            </w:pPr>
            <w:r>
              <w:rPr>
                <w:rFonts w:ascii="Times New Roman" w:hAnsi="Times New Roman"/>
                <w:b/>
                <w:color w:val="FFFFFF"/>
                <w:sz w:val="20"/>
              </w:rPr>
              <w:t>Year</w:t>
            </w:r>
          </w:p>
        </w:tc>
        <w:tc>
          <w:tcPr>
            <w:tcW w:type="dxa" w:w="1224"/>
            <w:shd w:val="clear" w:color="auto" w:fill="6b2737"/>
          </w:tcPr>
          <w:p>
            <w:pPr>
              <w:jc w:val="center"/>
              <w:spacing w:before="0" w:after="0" w:line="240" w:lineRule="atLeast"/>
            </w:pPr>
            <w:r>
              <w:rPr>
                <w:rFonts w:ascii="Times New Roman" w:hAnsi="Times New Roman"/>
                <w:b/>
                <w:color w:val="FFFFFF"/>
                <w:sz w:val="20"/>
              </w:rPr>
              <w:t>C-Price ($/t)</w:t>
            </w:r>
          </w:p>
        </w:tc>
        <w:tc>
          <w:tcPr>
            <w:tcW w:type="dxa" w:w="1181"/>
            <w:shd w:val="clear" w:color="auto" w:fill="6b2737"/>
          </w:tcPr>
          <w:p>
            <w:pPr>
              <w:jc w:val="center"/>
              <w:spacing w:before="0" w:after="0" w:line="240" w:lineRule="atLeast"/>
            </w:pPr>
            <w:r>
              <w:rPr>
                <w:rFonts w:ascii="Times New Roman" w:hAnsi="Times New Roman"/>
                <w:b/>
                <w:color w:val="FFFFFF"/>
                <w:sz w:val="20"/>
              </w:rPr>
              <w:t>MYS (USDbn)</w:t>
            </w:r>
          </w:p>
        </w:tc>
        <w:tc>
          <w:tcPr>
            <w:tcW w:type="dxa" w:w="1181"/>
            <w:shd w:val="clear" w:color="auto" w:fill="6b2737"/>
          </w:tcPr>
          <w:p>
            <w:pPr>
              <w:jc w:val="center"/>
              <w:spacing w:before="0" w:after="0" w:line="240" w:lineRule="atLeast"/>
            </w:pPr>
            <w:r>
              <w:rPr>
                <w:rFonts w:ascii="Times New Roman" w:hAnsi="Times New Roman"/>
                <w:b/>
                <w:color w:val="FFFFFF"/>
                <w:sz w:val="20"/>
              </w:rPr>
              <w:t>PHL (USDbn)</w:t>
            </w:r>
          </w:p>
        </w:tc>
        <w:tc>
          <w:tcPr>
            <w:tcW w:type="dxa" w:w="1440"/>
            <w:shd w:val="clear" w:color="auto" w:fill="6b2737"/>
          </w:tcPr>
          <w:p>
            <w:pPr>
              <w:jc w:val="center"/>
              <w:spacing w:before="0" w:after="0" w:line="240" w:lineRule="atLeast"/>
            </w:pPr>
            <w:r>
              <w:rPr>
                <w:rFonts w:ascii="Times New Roman" w:hAnsi="Times New Roman"/>
                <w:b/>
                <w:color w:val="FFFFFF"/>
                <w:sz w:val="20"/>
              </w:rPr>
              <w:t>Combined (USDbn)</w:t>
            </w:r>
          </w:p>
        </w:tc>
        <w:tc>
          <w:tcPr>
            <w:tcW w:type="dxa" w:w="1411"/>
            <w:shd w:val="clear" w:color="auto" w:fill="6b2737"/>
          </w:tcPr>
          <w:p>
            <w:pPr>
              <w:jc w:val="center"/>
              <w:spacing w:before="0" w:after="0" w:line="240" w:lineRule="atLeast"/>
            </w:pPr>
            <w:r>
              <w:rPr>
                <w:rFonts w:ascii="Times New Roman" w:hAnsi="Times New Roman"/>
                <w:b/>
                <w:color w:val="FFFFFF"/>
                <w:sz w:val="20"/>
              </w:rPr>
              <w:t>HRe Floor</w:t>
            </w:r>
          </w:p>
        </w:tc>
        <w:tc>
          <w:tcPr>
            <w:tcW w:type="dxa" w:w="1872"/>
            <w:shd w:val="clear" w:color="auto" w:fill="6b2737"/>
          </w:tcPr>
          <w:p>
            <w:pPr>
              <w:jc w:val="center"/>
              <w:spacing w:before="0" w:after="0" w:line="240" w:lineRule="atLeast"/>
            </w:pPr>
            <w:r>
              <w:rPr>
                <w:rFonts w:ascii="Times New Roman" w:hAnsi="Times New Roman"/>
                <w:b/>
                <w:color w:val="FFFFFF"/>
                <w:sz w:val="20"/>
              </w:rPr>
              <w:t>HRe Base</w:t>
            </w:r>
          </w:p>
        </w:tc>
      </w:tr>
      <w:tr>
        <w:tc>
          <w:tcPr>
            <w:tcW w:type="dxa" w:w="720"/>
            <w:shd w:val="clear" w:color="auto" w:fill="FFFFFF"/>
          </w:tcPr>
          <w:p>
            <w:pPr>
              <w:jc w:val="left"/>
              <w:spacing w:before="0" w:after="0" w:line="240" w:lineRule="atLeast"/>
            </w:pPr>
            <w:r>
              <w:rPr>
                <w:rFonts w:ascii="Times New Roman" w:hAnsi="Times New Roman"/>
                <w:sz w:val="20"/>
              </w:rPr>
              <w:t>2024</w:t>
            </w:r>
          </w:p>
        </w:tc>
        <w:tc>
          <w:tcPr>
            <w:tcW w:type="dxa" w:w="1224"/>
            <w:shd w:val="clear" w:color="auto" w:fill="FFFFFF"/>
          </w:tcPr>
          <w:p>
            <w:pPr>
              <w:jc w:val="left"/>
              <w:spacing w:before="0" w:after="0" w:line="240" w:lineRule="atLeast"/>
            </w:pPr>
            <w:r>
              <w:rPr>
                <w:rFonts w:ascii="Times New Roman" w:hAnsi="Times New Roman"/>
                <w:sz w:val="20"/>
              </w:rPr>
              <w:t>28.23</w:t>
            </w:r>
          </w:p>
        </w:tc>
        <w:tc>
          <w:tcPr>
            <w:tcW w:type="dxa" w:w="1181"/>
            <w:shd w:val="clear" w:color="auto" w:fill="FFFFFF"/>
          </w:tcPr>
          <w:p>
            <w:pPr>
              <w:jc w:val="left"/>
              <w:spacing w:before="0" w:after="0" w:line="240" w:lineRule="atLeast"/>
            </w:pPr>
            <w:r>
              <w:rPr>
                <w:rFonts w:ascii="Times New Roman" w:hAnsi="Times New Roman"/>
                <w:sz w:val="20"/>
              </w:rPr>
              <w:t>10.75</w:t>
            </w:r>
          </w:p>
        </w:tc>
        <w:tc>
          <w:tcPr>
            <w:tcW w:type="dxa" w:w="1181"/>
            <w:shd w:val="clear" w:color="auto" w:fill="FFFFFF"/>
          </w:tcPr>
          <w:p>
            <w:pPr>
              <w:jc w:val="left"/>
              <w:spacing w:before="0" w:after="0" w:line="240" w:lineRule="atLeast"/>
            </w:pPr>
            <w:r>
              <w:rPr>
                <w:rFonts w:ascii="Times New Roman" w:hAnsi="Times New Roman"/>
                <w:sz w:val="20"/>
              </w:rPr>
              <w:t>5.49</w:t>
            </w:r>
          </w:p>
        </w:tc>
        <w:tc>
          <w:tcPr>
            <w:tcW w:type="dxa" w:w="1440"/>
            <w:shd w:val="clear" w:color="auto" w:fill="FFFFFF"/>
          </w:tcPr>
          <w:p>
            <w:pPr>
              <w:jc w:val="left"/>
              <w:spacing w:before="0" w:after="0" w:line="240" w:lineRule="atLeast"/>
            </w:pPr>
            <w:r>
              <w:rPr>
                <w:rFonts w:ascii="Times New Roman" w:hAnsi="Times New Roman"/>
                <w:sz w:val="20"/>
              </w:rPr>
              <w:t>16.24</w:t>
            </w:r>
          </w:p>
        </w:tc>
        <w:tc>
          <w:tcPr>
            <w:tcW w:type="dxa" w:w="1411"/>
            <w:shd w:val="clear" w:color="auto" w:fill="FFFFFF"/>
          </w:tcPr>
          <w:p>
            <w:pPr>
              <w:jc w:val="left"/>
              <w:spacing w:before="0" w:after="0" w:line="240" w:lineRule="atLeast"/>
            </w:pPr>
            <w:r>
              <w:rPr>
                <w:rFonts w:ascii="Times New Roman" w:hAnsi="Times New Roman"/>
                <w:sz w:val="20"/>
              </w:rPr>
              <w:t>USD 0.49bn</w:t>
            </w:r>
          </w:p>
        </w:tc>
        <w:tc>
          <w:tcPr>
            <w:tcW w:type="dxa" w:w="1872"/>
            <w:shd w:val="clear" w:color="auto" w:fill="FFFFFF"/>
          </w:tcPr>
          <w:p>
            <w:pPr>
              <w:jc w:val="left"/>
              <w:spacing w:before="0" w:after="0" w:line="240" w:lineRule="atLeast"/>
            </w:pPr>
            <w:r>
              <w:rPr>
                <w:rFonts w:ascii="Times New Roman" w:hAnsi="Times New Roman"/>
                <w:sz w:val="20"/>
              </w:rPr>
              <w:t>USD 1.30bn</w:t>
            </w:r>
          </w:p>
        </w:tc>
      </w:tr>
      <w:tr>
        <w:tc>
          <w:tcPr>
            <w:tcW w:type="dxa" w:w="720"/>
            <w:shd w:val="clear" w:color="auto" w:fill="F5F5F5"/>
          </w:tcPr>
          <w:p>
            <w:pPr>
              <w:jc w:val="left"/>
              <w:spacing w:before="0" w:after="0" w:line="240" w:lineRule="atLeast"/>
            </w:pPr>
            <w:r>
              <w:rPr>
                <w:rFonts w:ascii="Times New Roman" w:hAnsi="Times New Roman"/>
                <w:sz w:val="20"/>
              </w:rPr>
              <w:t>2025</w:t>
            </w:r>
          </w:p>
        </w:tc>
        <w:tc>
          <w:tcPr>
            <w:tcW w:type="dxa" w:w="1224"/>
            <w:shd w:val="clear" w:color="auto" w:fill="F5F5F5"/>
          </w:tcPr>
          <w:p>
            <w:pPr>
              <w:jc w:val="left"/>
              <w:spacing w:before="0" w:after="0" w:line="240" w:lineRule="atLeast"/>
            </w:pPr>
            <w:r>
              <w:rPr>
                <w:rFonts w:ascii="Times New Roman" w:hAnsi="Times New Roman"/>
                <w:sz w:val="20"/>
              </w:rPr>
              <w:t>32.79</w:t>
            </w:r>
          </w:p>
        </w:tc>
        <w:tc>
          <w:tcPr>
            <w:tcW w:type="dxa" w:w="1181"/>
            <w:shd w:val="clear" w:color="auto" w:fill="F5F5F5"/>
          </w:tcPr>
          <w:p>
            <w:pPr>
              <w:jc w:val="left"/>
              <w:spacing w:before="0" w:after="0" w:line="240" w:lineRule="atLeast"/>
            </w:pPr>
            <w:r>
              <w:rPr>
                <w:rFonts w:ascii="Times New Roman" w:hAnsi="Times New Roman"/>
                <w:sz w:val="20"/>
              </w:rPr>
              <w:t>12.11</w:t>
            </w:r>
          </w:p>
        </w:tc>
        <w:tc>
          <w:tcPr>
            <w:tcW w:type="dxa" w:w="1181"/>
            <w:shd w:val="clear" w:color="auto" w:fill="F5F5F5"/>
          </w:tcPr>
          <w:p>
            <w:pPr>
              <w:jc w:val="left"/>
              <w:spacing w:before="0" w:after="0" w:line="240" w:lineRule="atLeast"/>
            </w:pPr>
            <w:r>
              <w:rPr>
                <w:rFonts w:ascii="Times New Roman" w:hAnsi="Times New Roman"/>
                <w:sz w:val="20"/>
              </w:rPr>
              <w:t>6.18</w:t>
            </w:r>
          </w:p>
        </w:tc>
        <w:tc>
          <w:tcPr>
            <w:tcW w:type="dxa" w:w="1440"/>
            <w:shd w:val="clear" w:color="auto" w:fill="F5F5F5"/>
          </w:tcPr>
          <w:p>
            <w:pPr>
              <w:jc w:val="left"/>
              <w:spacing w:before="0" w:after="0" w:line="240" w:lineRule="atLeast"/>
            </w:pPr>
            <w:r>
              <w:rPr>
                <w:rFonts w:ascii="Times New Roman" w:hAnsi="Times New Roman"/>
                <w:sz w:val="20"/>
              </w:rPr>
              <w:t>18.29</w:t>
            </w:r>
          </w:p>
        </w:tc>
        <w:tc>
          <w:tcPr>
            <w:tcW w:type="dxa" w:w="1411"/>
            <w:shd w:val="clear" w:color="auto" w:fill="F5F5F5"/>
          </w:tcPr>
          <w:p>
            <w:pPr>
              <w:jc w:val="left"/>
              <w:spacing w:before="0" w:after="0" w:line="240" w:lineRule="atLeast"/>
            </w:pPr>
            <w:r>
              <w:rPr>
                <w:rFonts w:ascii="Times New Roman" w:hAnsi="Times New Roman"/>
                <w:sz w:val="20"/>
              </w:rPr>
              <w:t>USD 0.55bn</w:t>
            </w:r>
          </w:p>
        </w:tc>
        <w:tc>
          <w:tcPr>
            <w:tcW w:type="dxa" w:w="1872"/>
            <w:shd w:val="clear" w:color="auto" w:fill="F5F5F5"/>
          </w:tcPr>
          <w:p>
            <w:pPr>
              <w:jc w:val="left"/>
              <w:spacing w:before="0" w:after="0" w:line="240" w:lineRule="atLeast"/>
            </w:pPr>
            <w:r>
              <w:rPr>
                <w:rFonts w:ascii="Times New Roman" w:hAnsi="Times New Roman"/>
                <w:sz w:val="20"/>
              </w:rPr>
              <w:t>USD 1.46bn</w:t>
            </w:r>
          </w:p>
        </w:tc>
      </w:tr>
      <w:tr>
        <w:tc>
          <w:tcPr>
            <w:tcW w:type="dxa" w:w="720"/>
            <w:shd w:val="clear" w:color="auto" w:fill="FFFFFF"/>
          </w:tcPr>
          <w:p>
            <w:pPr>
              <w:jc w:val="left"/>
              <w:spacing w:before="0" w:after="0" w:line="240" w:lineRule="atLeast"/>
            </w:pPr>
            <w:r>
              <w:rPr>
                <w:rFonts w:ascii="Times New Roman" w:hAnsi="Times New Roman"/>
                <w:sz w:val="20"/>
              </w:rPr>
              <w:t>2026</w:t>
            </w:r>
          </w:p>
        </w:tc>
        <w:tc>
          <w:tcPr>
            <w:tcW w:type="dxa" w:w="1224"/>
            <w:shd w:val="clear" w:color="auto" w:fill="FFFFFF"/>
          </w:tcPr>
          <w:p>
            <w:pPr>
              <w:jc w:val="left"/>
              <w:spacing w:before="0" w:after="0" w:line="240" w:lineRule="atLeast"/>
            </w:pPr>
            <w:r>
              <w:rPr>
                <w:rFonts w:ascii="Times New Roman" w:hAnsi="Times New Roman"/>
                <w:sz w:val="20"/>
              </w:rPr>
              <w:t>37.35</w:t>
            </w:r>
          </w:p>
        </w:tc>
        <w:tc>
          <w:tcPr>
            <w:tcW w:type="dxa" w:w="1181"/>
            <w:shd w:val="clear" w:color="auto" w:fill="FFFFFF"/>
          </w:tcPr>
          <w:p>
            <w:pPr>
              <w:jc w:val="left"/>
              <w:spacing w:before="0" w:after="0" w:line="240" w:lineRule="atLeast"/>
            </w:pPr>
            <w:r>
              <w:rPr>
                <w:rFonts w:ascii="Times New Roman" w:hAnsi="Times New Roman"/>
                <w:sz w:val="20"/>
              </w:rPr>
              <w:t>13.38</w:t>
            </w:r>
          </w:p>
        </w:tc>
        <w:tc>
          <w:tcPr>
            <w:tcW w:type="dxa" w:w="1181"/>
            <w:shd w:val="clear" w:color="auto" w:fill="FFFFFF"/>
          </w:tcPr>
          <w:p>
            <w:pPr>
              <w:jc w:val="left"/>
              <w:spacing w:before="0" w:after="0" w:line="240" w:lineRule="atLeast"/>
            </w:pPr>
            <w:r>
              <w:rPr>
                <w:rFonts w:ascii="Times New Roman" w:hAnsi="Times New Roman"/>
                <w:sz w:val="20"/>
              </w:rPr>
              <w:t>6.83</w:t>
            </w:r>
          </w:p>
        </w:tc>
        <w:tc>
          <w:tcPr>
            <w:tcW w:type="dxa" w:w="1440"/>
            <w:shd w:val="clear" w:color="auto" w:fill="FFFFFF"/>
          </w:tcPr>
          <w:p>
            <w:pPr>
              <w:jc w:val="left"/>
              <w:spacing w:before="0" w:after="0" w:line="240" w:lineRule="atLeast"/>
            </w:pPr>
            <w:r>
              <w:rPr>
                <w:rFonts w:ascii="Times New Roman" w:hAnsi="Times New Roman"/>
                <w:sz w:val="20"/>
              </w:rPr>
              <w:t>20.21</w:t>
            </w:r>
          </w:p>
        </w:tc>
        <w:tc>
          <w:tcPr>
            <w:tcW w:type="dxa" w:w="1411"/>
            <w:shd w:val="clear" w:color="auto" w:fill="FFFFFF"/>
          </w:tcPr>
          <w:p>
            <w:pPr>
              <w:jc w:val="left"/>
              <w:spacing w:before="0" w:after="0" w:line="240" w:lineRule="atLeast"/>
            </w:pPr>
            <w:r>
              <w:rPr>
                <w:rFonts w:ascii="Times New Roman" w:hAnsi="Times New Roman"/>
                <w:sz w:val="20"/>
              </w:rPr>
              <w:t>USD 0.60bn</w:t>
            </w:r>
          </w:p>
        </w:tc>
        <w:tc>
          <w:tcPr>
            <w:tcW w:type="dxa" w:w="1872"/>
            <w:shd w:val="clear" w:color="auto" w:fill="FFFFFF"/>
          </w:tcPr>
          <w:p>
            <w:pPr>
              <w:jc w:val="left"/>
              <w:spacing w:before="0" w:after="0" w:line="240" w:lineRule="atLeast"/>
            </w:pPr>
            <w:r>
              <w:rPr>
                <w:rFonts w:ascii="Times New Roman" w:hAnsi="Times New Roman"/>
                <w:sz w:val="20"/>
              </w:rPr>
              <w:t>USD 1.62bn</w:t>
            </w:r>
          </w:p>
        </w:tc>
      </w:tr>
      <w:tr>
        <w:tc>
          <w:tcPr>
            <w:tcW w:type="dxa" w:w="720"/>
            <w:shd w:val="clear" w:color="auto" w:fill="F5F5F5"/>
          </w:tcPr>
          <w:p>
            <w:pPr>
              <w:jc w:val="left"/>
              <w:spacing w:before="0" w:after="0" w:line="240" w:lineRule="atLeast"/>
            </w:pPr>
            <w:r>
              <w:rPr>
                <w:rFonts w:ascii="Times New Roman" w:hAnsi="Times New Roman"/>
                <w:sz w:val="20"/>
              </w:rPr>
              <w:t>2027</w:t>
            </w:r>
          </w:p>
        </w:tc>
        <w:tc>
          <w:tcPr>
            <w:tcW w:type="dxa" w:w="1224"/>
            <w:shd w:val="clear" w:color="auto" w:fill="F5F5F5"/>
          </w:tcPr>
          <w:p>
            <w:pPr>
              <w:jc w:val="left"/>
              <w:spacing w:before="0" w:after="0" w:line="240" w:lineRule="atLeast"/>
            </w:pPr>
            <w:r>
              <w:rPr>
                <w:rFonts w:ascii="Times New Roman" w:hAnsi="Times New Roman"/>
                <w:sz w:val="20"/>
              </w:rPr>
              <w:t>41.90</w:t>
            </w:r>
          </w:p>
        </w:tc>
        <w:tc>
          <w:tcPr>
            <w:tcW w:type="dxa" w:w="1181"/>
            <w:shd w:val="clear" w:color="auto" w:fill="F5F5F5"/>
          </w:tcPr>
          <w:p>
            <w:pPr>
              <w:jc w:val="left"/>
              <w:spacing w:before="0" w:after="0" w:line="240" w:lineRule="atLeast"/>
            </w:pPr>
            <w:r>
              <w:rPr>
                <w:rFonts w:ascii="Times New Roman" w:hAnsi="Times New Roman"/>
                <w:sz w:val="20"/>
              </w:rPr>
              <w:t>14.56</w:t>
            </w:r>
          </w:p>
        </w:tc>
        <w:tc>
          <w:tcPr>
            <w:tcW w:type="dxa" w:w="1181"/>
            <w:shd w:val="clear" w:color="auto" w:fill="F5F5F5"/>
          </w:tcPr>
          <w:p>
            <w:pPr>
              <w:jc w:val="left"/>
              <w:spacing w:before="0" w:after="0" w:line="240" w:lineRule="atLeast"/>
            </w:pPr>
            <w:r>
              <w:rPr>
                <w:rFonts w:ascii="Times New Roman" w:hAnsi="Times New Roman"/>
                <w:sz w:val="20"/>
              </w:rPr>
              <w:t>7.44</w:t>
            </w:r>
          </w:p>
        </w:tc>
        <w:tc>
          <w:tcPr>
            <w:tcW w:type="dxa" w:w="1440"/>
            <w:shd w:val="clear" w:color="auto" w:fill="F5F5F5"/>
          </w:tcPr>
          <w:p>
            <w:pPr>
              <w:jc w:val="left"/>
              <w:spacing w:before="0" w:after="0" w:line="240" w:lineRule="atLeast"/>
            </w:pPr>
            <w:r>
              <w:rPr>
                <w:rFonts w:ascii="Times New Roman" w:hAnsi="Times New Roman"/>
                <w:sz w:val="20"/>
              </w:rPr>
              <w:t>22.00</w:t>
            </w:r>
          </w:p>
        </w:tc>
        <w:tc>
          <w:tcPr>
            <w:tcW w:type="dxa" w:w="1411"/>
            <w:shd w:val="clear" w:color="auto" w:fill="F5F5F5"/>
          </w:tcPr>
          <w:p>
            <w:pPr>
              <w:jc w:val="left"/>
              <w:spacing w:before="0" w:after="0" w:line="240" w:lineRule="atLeast"/>
            </w:pPr>
            <w:r>
              <w:rPr>
                <w:rFonts w:ascii="Times New Roman" w:hAnsi="Times New Roman"/>
                <w:sz w:val="20"/>
              </w:rPr>
              <w:t>USD 0.66bn</w:t>
            </w:r>
          </w:p>
        </w:tc>
        <w:tc>
          <w:tcPr>
            <w:tcW w:type="dxa" w:w="1872"/>
            <w:shd w:val="clear" w:color="auto" w:fill="F5F5F5"/>
          </w:tcPr>
          <w:p>
            <w:pPr>
              <w:jc w:val="left"/>
              <w:spacing w:before="0" w:after="0" w:line="240" w:lineRule="atLeast"/>
            </w:pPr>
            <w:r>
              <w:rPr>
                <w:rFonts w:ascii="Times New Roman" w:hAnsi="Times New Roman"/>
                <w:sz w:val="20"/>
              </w:rPr>
              <w:t>USD 1.76bn</w:t>
            </w:r>
          </w:p>
        </w:tc>
      </w:tr>
      <w:tr>
        <w:tc>
          <w:tcPr>
            <w:tcW w:type="dxa" w:w="720"/>
            <w:shd w:val="clear" w:color="auto" w:fill="FFFFFF"/>
          </w:tcPr>
          <w:p>
            <w:pPr>
              <w:jc w:val="left"/>
              <w:spacing w:before="0" w:after="0" w:line="240" w:lineRule="atLeast"/>
            </w:pPr>
            <w:r>
              <w:rPr>
                <w:rFonts w:ascii="Times New Roman" w:hAnsi="Times New Roman"/>
                <w:sz w:val="20"/>
              </w:rPr>
              <w:t>2028</w:t>
            </w:r>
          </w:p>
        </w:tc>
        <w:tc>
          <w:tcPr>
            <w:tcW w:type="dxa" w:w="1224"/>
            <w:shd w:val="clear" w:color="auto" w:fill="FFFFFF"/>
          </w:tcPr>
          <w:p>
            <w:pPr>
              <w:jc w:val="left"/>
              <w:spacing w:before="0" w:after="0" w:line="240" w:lineRule="atLeast"/>
            </w:pPr>
            <w:r>
              <w:rPr>
                <w:rFonts w:ascii="Times New Roman" w:hAnsi="Times New Roman"/>
                <w:sz w:val="20"/>
              </w:rPr>
              <w:t>46.46</w:t>
            </w:r>
          </w:p>
        </w:tc>
        <w:tc>
          <w:tcPr>
            <w:tcW w:type="dxa" w:w="1181"/>
            <w:shd w:val="clear" w:color="auto" w:fill="FFFFFF"/>
          </w:tcPr>
          <w:p>
            <w:pPr>
              <w:jc w:val="left"/>
              <w:spacing w:before="0" w:after="0" w:line="240" w:lineRule="atLeast"/>
            </w:pPr>
            <w:r>
              <w:rPr>
                <w:rFonts w:ascii="Times New Roman" w:hAnsi="Times New Roman"/>
                <w:sz w:val="20"/>
              </w:rPr>
              <w:t>15.66</w:t>
            </w:r>
          </w:p>
        </w:tc>
        <w:tc>
          <w:tcPr>
            <w:tcW w:type="dxa" w:w="1181"/>
            <w:shd w:val="clear" w:color="auto" w:fill="FFFFFF"/>
          </w:tcPr>
          <w:p>
            <w:pPr>
              <w:jc w:val="left"/>
              <w:spacing w:before="0" w:after="0" w:line="240" w:lineRule="atLeast"/>
            </w:pPr>
            <w:r>
              <w:rPr>
                <w:rFonts w:ascii="Times New Roman" w:hAnsi="Times New Roman"/>
                <w:sz w:val="20"/>
              </w:rPr>
              <w:t>8.00</w:t>
            </w:r>
          </w:p>
        </w:tc>
        <w:tc>
          <w:tcPr>
            <w:tcW w:type="dxa" w:w="1440"/>
            <w:shd w:val="clear" w:color="auto" w:fill="FFFFFF"/>
          </w:tcPr>
          <w:p>
            <w:pPr>
              <w:jc w:val="left"/>
              <w:spacing w:before="0" w:after="0" w:line="240" w:lineRule="atLeast"/>
            </w:pPr>
            <w:r>
              <w:rPr>
                <w:rFonts w:ascii="Times New Roman" w:hAnsi="Times New Roman"/>
                <w:sz w:val="20"/>
              </w:rPr>
              <w:t>23.66</w:t>
            </w:r>
          </w:p>
        </w:tc>
        <w:tc>
          <w:tcPr>
            <w:tcW w:type="dxa" w:w="1411"/>
            <w:shd w:val="clear" w:color="auto" w:fill="FFFFFF"/>
          </w:tcPr>
          <w:p>
            <w:pPr>
              <w:jc w:val="left"/>
              <w:spacing w:before="0" w:after="0" w:line="240" w:lineRule="atLeast"/>
            </w:pPr>
            <w:r>
              <w:rPr>
                <w:rFonts w:ascii="Times New Roman" w:hAnsi="Times New Roman"/>
                <w:sz w:val="20"/>
              </w:rPr>
              <w:t>USD 0.71bn</w:t>
            </w:r>
          </w:p>
        </w:tc>
        <w:tc>
          <w:tcPr>
            <w:tcW w:type="dxa" w:w="1872"/>
            <w:shd w:val="clear" w:color="auto" w:fill="FFFFFF"/>
          </w:tcPr>
          <w:p>
            <w:pPr>
              <w:jc w:val="left"/>
              <w:spacing w:before="0" w:after="0" w:line="240" w:lineRule="atLeast"/>
            </w:pPr>
            <w:r>
              <w:rPr>
                <w:rFonts w:ascii="Times New Roman" w:hAnsi="Times New Roman"/>
                <w:sz w:val="20"/>
              </w:rPr>
              <w:t>USD 1.89bn</w:t>
            </w:r>
          </w:p>
        </w:tc>
      </w:tr>
      <w:tr>
        <w:tc>
          <w:tcPr>
            <w:tcW w:type="dxa" w:w="720"/>
            <w:shd w:val="clear" w:color="auto" w:fill="F5F5F5"/>
          </w:tcPr>
          <w:p>
            <w:pPr>
              <w:jc w:val="left"/>
              <w:spacing w:before="0" w:after="0" w:line="240" w:lineRule="atLeast"/>
            </w:pPr>
            <w:r>
              <w:rPr>
                <w:rFonts w:ascii="Times New Roman" w:hAnsi="Times New Roman"/>
                <w:sz w:val="20"/>
              </w:rPr>
              <w:t>2030</w:t>
            </w:r>
          </w:p>
        </w:tc>
        <w:tc>
          <w:tcPr>
            <w:tcW w:type="dxa" w:w="1224"/>
            <w:shd w:val="clear" w:color="auto" w:fill="F5F5F5"/>
          </w:tcPr>
          <w:p>
            <w:pPr>
              <w:jc w:val="left"/>
              <w:spacing w:before="0" w:after="0" w:line="240" w:lineRule="atLeast"/>
            </w:pPr>
            <w:r>
              <w:rPr>
                <w:rFonts w:ascii="Times New Roman" w:hAnsi="Times New Roman"/>
                <w:sz w:val="20"/>
              </w:rPr>
              <w:t>55.58</w:t>
            </w:r>
          </w:p>
        </w:tc>
        <w:tc>
          <w:tcPr>
            <w:tcW w:type="dxa" w:w="1181"/>
            <w:shd w:val="clear" w:color="auto" w:fill="F5F5F5"/>
          </w:tcPr>
          <w:p>
            <w:pPr>
              <w:jc w:val="left"/>
              <w:spacing w:before="0" w:after="0" w:line="240" w:lineRule="atLeast"/>
            </w:pPr>
            <w:r>
              <w:rPr>
                <w:rFonts w:ascii="Times New Roman" w:hAnsi="Times New Roman"/>
                <w:sz w:val="20"/>
              </w:rPr>
              <w:t>17.63</w:t>
            </w:r>
          </w:p>
        </w:tc>
        <w:tc>
          <w:tcPr>
            <w:tcW w:type="dxa" w:w="1181"/>
            <w:shd w:val="clear" w:color="auto" w:fill="F5F5F5"/>
          </w:tcPr>
          <w:p>
            <w:pPr>
              <w:jc w:val="left"/>
              <w:spacing w:before="0" w:after="0" w:line="240" w:lineRule="atLeast"/>
            </w:pPr>
            <w:r>
              <w:rPr>
                <w:rFonts w:ascii="Times New Roman" w:hAnsi="Times New Roman"/>
                <w:sz w:val="20"/>
              </w:rPr>
              <w:t>9.00</w:t>
            </w:r>
          </w:p>
        </w:tc>
        <w:tc>
          <w:tcPr>
            <w:tcW w:type="dxa" w:w="1440"/>
            <w:shd w:val="clear" w:color="auto" w:fill="F5F5F5"/>
          </w:tcPr>
          <w:p>
            <w:pPr>
              <w:jc w:val="left"/>
              <w:spacing w:before="0" w:after="0" w:line="240" w:lineRule="atLeast"/>
            </w:pPr>
            <w:r>
              <w:rPr>
                <w:rFonts w:ascii="Times New Roman" w:hAnsi="Times New Roman"/>
                <w:sz w:val="20"/>
              </w:rPr>
              <w:t>26.63</w:t>
            </w:r>
          </w:p>
        </w:tc>
        <w:tc>
          <w:tcPr>
            <w:tcW w:type="dxa" w:w="1411"/>
            <w:shd w:val="clear" w:color="auto" w:fill="F5F5F5"/>
          </w:tcPr>
          <w:p>
            <w:pPr>
              <w:jc w:val="left"/>
              <w:spacing w:before="0" w:after="0" w:line="240" w:lineRule="atLeast"/>
            </w:pPr>
            <w:r>
              <w:rPr>
                <w:rFonts w:ascii="Times New Roman" w:hAnsi="Times New Roman"/>
                <w:sz w:val="20"/>
              </w:rPr>
              <w:t>USD 0.81bn</w:t>
            </w:r>
          </w:p>
        </w:tc>
        <w:tc>
          <w:tcPr>
            <w:tcW w:type="dxa" w:w="1872"/>
            <w:shd w:val="clear" w:color="auto" w:fill="F5F5F5"/>
          </w:tcPr>
          <w:p>
            <w:pPr>
              <w:jc w:val="left"/>
              <w:spacing w:before="0" w:after="0" w:line="240" w:lineRule="atLeast"/>
            </w:pPr>
            <w:r>
              <w:rPr>
                <w:rFonts w:ascii="Times New Roman" w:hAnsi="Times New Roman"/>
                <w:sz w:val="20"/>
              </w:rPr>
              <w:t>USD 2.13bn</w:t>
            </w:r>
          </w:p>
        </w:tc>
      </w:tr>
    </w:tbl>
    <w:p>
      <w:pPr>
        <w:jc w:val="center"/>
        <w:spacing w:before="20" w:after="80" w:line="240" w:lineRule="atLeast"/>
      </w:pPr>
      <w:r>
        <w:rPr>
          <w:rFonts w:ascii="Times New Roman" w:hAnsi="Times New Roman"/>
          <w:i/>
          <w:color w:val="555555"/>
          <w:sz w:val="18"/>
        </w:rPr>
        <w:t>Table 8 -- NZ2050 trajectory. HRe: 8% APAC share x 50% attachment x 3%/10% SEA alloc. Trigger year for binding capital constraint: approximately 2027.</w:t>
      </w:r>
    </w:p>
    <w:p>
      <w:pPr>
        <w:spacing w:before="80" w:after="30" w:line="240" w:lineRule="atLeast"/>
        <w:keepNext/>
      </w:pPr>
      <w:r>
        <w:rPr>
          <w:rFonts w:ascii="Times New Roman" w:hAnsi="Times New Roman"/>
          <w:b/>
          <w:color w:val="6B2737"/>
          <w:sz w:val="24"/>
        </w:rPr>
        <w:t>7.2  Stress Scenario Design</w:t>
      </w:r>
    </w:p>
    <w:tbl>
      <w:tblPr>
        <w:tblStyle w:val="TableGrid"/>
        <w:tblW w:type="auto" w:w="0"/>
        <w:jc w:val="left"/>
        <w:tblLook w:firstColumn="1" w:firstRow="1" w:lastColumn="0" w:lastRow="0" w:noHBand="0" w:noVBand="1" w:val="04A0"/>
      </w:tblPr>
      <w:tblGrid>
        <w:gridCol w:w="2256"/>
        <w:gridCol w:w="2256"/>
        <w:gridCol w:w="2256"/>
        <w:gridCol w:w="2256"/>
      </w:tblGrid>
      <w:tr>
        <w:tc>
          <w:tcPr>
            <w:tcW w:type="dxa" w:w="2160"/>
            <w:shd w:val="clear" w:color="auto" w:fill="6b2737"/>
          </w:tcPr>
          <w:p>
            <w:pPr>
              <w:jc w:val="center"/>
              <w:spacing w:before="0" w:after="0" w:line="240" w:lineRule="atLeast"/>
            </w:pPr>
            <w:r>
              <w:rPr>
                <w:rFonts w:ascii="Times New Roman" w:hAnsi="Times New Roman"/>
                <w:b/>
                <w:color w:val="FFFFFF"/>
                <w:sz w:val="20"/>
              </w:rPr>
              <w:t>Scenario</w:t>
            </w:r>
          </w:p>
        </w:tc>
        <w:tc>
          <w:tcPr>
            <w:tcW w:type="dxa" w:w="3384"/>
            <w:shd w:val="clear" w:color="auto" w:fill="6b2737"/>
          </w:tcPr>
          <w:p>
            <w:pPr>
              <w:jc w:val="center"/>
              <w:spacing w:before="0" w:after="0" w:line="240" w:lineRule="atLeast"/>
            </w:pPr>
            <w:r>
              <w:rPr>
                <w:rFonts w:ascii="Times New Roman" w:hAnsi="Times New Roman"/>
                <w:b/>
                <w:color w:val="FFFFFF"/>
                <w:sz w:val="20"/>
              </w:rPr>
              <w:t>Assumption</w:t>
            </w:r>
          </w:p>
        </w:tc>
        <w:tc>
          <w:tcPr>
            <w:tcW w:type="dxa" w:w="1584"/>
            <w:shd w:val="clear" w:color="auto" w:fill="6b2737"/>
          </w:tcPr>
          <w:p>
            <w:pPr>
              <w:jc w:val="center"/>
              <w:spacing w:before="0" w:after="0" w:line="240" w:lineRule="atLeast"/>
            </w:pPr>
            <w:r>
              <w:rPr>
                <w:rFonts w:ascii="Times New Roman" w:hAnsi="Times New Roman"/>
                <w:b/>
                <w:color w:val="FFFFFF"/>
                <w:sz w:val="20"/>
              </w:rPr>
              <w:t>HRe 2030 Impact</w:t>
            </w:r>
          </w:p>
        </w:tc>
        <w:tc>
          <w:tcPr>
            <w:tcW w:type="dxa" w:w="1901"/>
            <w:shd w:val="clear" w:color="auto" w:fill="6b2737"/>
          </w:tcPr>
          <w:p>
            <w:pPr>
              <w:jc w:val="center"/>
              <w:spacing w:before="0" w:after="0" w:line="240" w:lineRule="atLeast"/>
            </w:pPr>
            <w:r>
              <w:rPr>
                <w:rFonts w:ascii="Times New Roman" w:hAnsi="Times New Roman"/>
                <w:b/>
                <w:color w:val="FFFFFF"/>
                <w:sz w:val="20"/>
              </w:rPr>
              <w:t>Key Implication</w:t>
            </w:r>
          </w:p>
        </w:tc>
      </w:tr>
      <w:tr>
        <w:tc>
          <w:tcPr>
            <w:tcW w:type="dxa" w:w="2160"/>
            <w:shd w:val="clear" w:color="auto" w:fill="FFFFFF"/>
          </w:tcPr>
          <w:p>
            <w:pPr>
              <w:jc w:val="left"/>
              <w:spacing w:before="0" w:after="0" w:line="240" w:lineRule="atLeast"/>
            </w:pPr>
            <w:r>
              <w:rPr>
                <w:rFonts w:ascii="Times New Roman" w:hAnsi="Times New Roman"/>
                <w:sz w:val="20"/>
              </w:rPr>
              <w:t>Baseline NZ2050</w:t>
            </w:r>
          </w:p>
        </w:tc>
        <w:tc>
          <w:tcPr>
            <w:tcW w:type="dxa" w:w="3384"/>
            <w:shd w:val="clear" w:color="auto" w:fill="FFFFFF"/>
          </w:tcPr>
          <w:p>
            <w:pPr>
              <w:jc w:val="left"/>
              <w:spacing w:before="0" w:after="0" w:line="240" w:lineRule="atLeast"/>
            </w:pPr>
            <w:r>
              <w:rPr>
                <w:rFonts w:ascii="Times New Roman" w:hAnsi="Times New Roman"/>
                <w:sz w:val="20"/>
              </w:rPr>
              <w:t>USD 55.578/t x 2024 GHG</w:t>
            </w:r>
          </w:p>
        </w:tc>
        <w:tc>
          <w:tcPr>
            <w:tcW w:type="dxa" w:w="1584"/>
            <w:shd w:val="clear" w:color="auto" w:fill="FFFFFF"/>
          </w:tcPr>
          <w:p>
            <w:pPr>
              <w:jc w:val="left"/>
              <w:spacing w:before="0" w:after="0" w:line="240" w:lineRule="atLeast"/>
            </w:pPr>
            <w:r>
              <w:rPr>
                <w:rFonts w:ascii="Times New Roman" w:hAnsi="Times New Roman"/>
                <w:sz w:val="20"/>
              </w:rPr>
              <w:t>USD 2.13bn/yr</w:t>
            </w:r>
          </w:p>
        </w:tc>
        <w:tc>
          <w:tcPr>
            <w:tcW w:type="dxa" w:w="1901"/>
            <w:shd w:val="clear" w:color="auto" w:fill="FFFFFF"/>
          </w:tcPr>
          <w:p>
            <w:pPr>
              <w:jc w:val="left"/>
              <w:spacing w:before="0" w:after="0" w:line="240" w:lineRule="atLeast"/>
            </w:pPr>
            <w:r>
              <w:rPr>
                <w:rFonts w:ascii="Times New Roman" w:hAnsi="Times New Roman"/>
                <w:sz w:val="20"/>
              </w:rPr>
              <w:t>Trigger year ~2027</w:t>
            </w:r>
          </w:p>
        </w:tc>
      </w:tr>
      <w:tr>
        <w:tc>
          <w:tcPr>
            <w:tcW w:type="dxa" w:w="2160"/>
            <w:shd w:val="clear" w:color="auto" w:fill="F5F5F5"/>
          </w:tcPr>
          <w:p>
            <w:pPr>
              <w:jc w:val="left"/>
              <w:spacing w:before="0" w:after="0" w:line="240" w:lineRule="atLeast"/>
            </w:pPr>
            <w:r>
              <w:rPr>
                <w:rFonts w:ascii="Times New Roman" w:hAnsi="Times New Roman"/>
                <w:sz w:val="20"/>
              </w:rPr>
              <w:t>Carbon 2x stress</w:t>
            </w:r>
          </w:p>
        </w:tc>
        <w:tc>
          <w:tcPr>
            <w:tcW w:type="dxa" w:w="3384"/>
            <w:shd w:val="clear" w:color="auto" w:fill="F5F5F5"/>
          </w:tcPr>
          <w:p>
            <w:pPr>
              <w:jc w:val="left"/>
              <w:spacing w:before="0" w:after="0" w:line="240" w:lineRule="atLeast"/>
            </w:pPr>
            <w:r>
              <w:rPr>
                <w:rFonts w:ascii="Times New Roman" w:hAnsi="Times New Roman"/>
                <w:sz w:val="20"/>
              </w:rPr>
              <w:t>USD 111/t (doubled NZ2050)</w:t>
            </w:r>
          </w:p>
        </w:tc>
        <w:tc>
          <w:tcPr>
            <w:tcW w:type="dxa" w:w="1584"/>
            <w:shd w:val="clear" w:color="auto" w:fill="F5F5F5"/>
          </w:tcPr>
          <w:p>
            <w:pPr>
              <w:jc w:val="left"/>
              <w:spacing w:before="0" w:after="0" w:line="240" w:lineRule="atLeast"/>
            </w:pPr>
            <w:r>
              <w:rPr>
                <w:rFonts w:ascii="Times New Roman" w:hAnsi="Times New Roman"/>
                <w:sz w:val="20"/>
              </w:rPr>
              <w:t>USD 4.25bn/yr</w:t>
            </w:r>
          </w:p>
        </w:tc>
        <w:tc>
          <w:tcPr>
            <w:tcW w:type="dxa" w:w="1901"/>
            <w:shd w:val="clear" w:color="auto" w:fill="F5F5F5"/>
          </w:tcPr>
          <w:p>
            <w:pPr>
              <w:jc w:val="left"/>
              <w:spacing w:before="0" w:after="0" w:line="240" w:lineRule="atLeast"/>
            </w:pPr>
            <w:r>
              <w:rPr>
                <w:rFonts w:ascii="Times New Roman" w:hAnsi="Times New Roman"/>
                <w:sz w:val="20"/>
              </w:rPr>
              <w:t>Binding SEA capital constraint</w:t>
            </w:r>
          </w:p>
        </w:tc>
      </w:tr>
      <w:tr>
        <w:tc>
          <w:tcPr>
            <w:tcW w:type="dxa" w:w="2160"/>
            <w:shd w:val="clear" w:color="auto" w:fill="FFFFFF"/>
          </w:tcPr>
          <w:p>
            <w:pPr>
              <w:jc w:val="left"/>
              <w:spacing w:before="0" w:after="0" w:line="240" w:lineRule="atLeast"/>
            </w:pPr>
            <w:r>
              <w:rPr>
                <w:rFonts w:ascii="Times New Roman" w:hAnsi="Times New Roman"/>
                <w:sz w:val="20"/>
              </w:rPr>
              <w:t>PELT uplift</w:t>
            </w:r>
          </w:p>
        </w:tc>
        <w:tc>
          <w:tcPr>
            <w:tcW w:type="dxa" w:w="3384"/>
            <w:shd w:val="clear" w:color="auto" w:fill="FFFFFF"/>
          </w:tcPr>
          <w:p>
            <w:pPr>
              <w:jc w:val="left"/>
              <w:spacing w:before="0" w:after="0" w:line="240" w:lineRule="atLeast"/>
            </w:pPr>
            <w:r>
              <w:rPr>
                <w:rFonts w:ascii="Times New Roman" w:hAnsi="Times New Roman"/>
                <w:sz w:val="20"/>
              </w:rPr>
              <w:t>+6.9% MYS / +6.1% PHL on EAL</w:t>
            </w:r>
          </w:p>
        </w:tc>
        <w:tc>
          <w:tcPr>
            <w:tcW w:type="dxa" w:w="1584"/>
            <w:shd w:val="clear" w:color="auto" w:fill="FFFFFF"/>
          </w:tcPr>
          <w:p>
            <w:pPr>
              <w:jc w:val="left"/>
              <w:spacing w:before="0" w:after="0" w:line="240" w:lineRule="atLeast"/>
            </w:pPr>
            <w:r>
              <w:rPr>
                <w:rFonts w:ascii="Times New Roman" w:hAnsi="Times New Roman"/>
                <w:sz w:val="20"/>
              </w:rPr>
              <w:t>+USD 1.3M/yr</w:t>
            </w:r>
          </w:p>
        </w:tc>
        <w:tc>
          <w:tcPr>
            <w:tcW w:type="dxa" w:w="1901"/>
            <w:shd w:val="clear" w:color="auto" w:fill="FFFFFF"/>
          </w:tcPr>
          <w:p>
            <w:pPr>
              <w:jc w:val="left"/>
              <w:spacing w:before="0" w:after="0" w:line="240" w:lineRule="atLeast"/>
            </w:pPr>
            <w:r>
              <w:rPr>
                <w:rFonts w:ascii="Times New Roman" w:hAnsi="Times New Roman"/>
                <w:sz w:val="20"/>
              </w:rPr>
              <w:t>Physical-only layer</w:t>
            </w:r>
          </w:p>
        </w:tc>
      </w:tr>
      <w:tr>
        <w:tc>
          <w:tcPr>
            <w:tcW w:type="dxa" w:w="2160"/>
            <w:shd w:val="clear" w:color="auto" w:fill="F5F5F5"/>
          </w:tcPr>
          <w:p>
            <w:pPr>
              <w:jc w:val="left"/>
              <w:spacing w:before="0" w:after="0" w:line="240" w:lineRule="atLeast"/>
            </w:pPr>
            <w:r>
              <w:rPr>
                <w:rFonts w:ascii="Times New Roman" w:hAnsi="Times New Roman"/>
                <w:sz w:val="20"/>
              </w:rPr>
              <w:t>Combined stress</w:t>
            </w:r>
          </w:p>
        </w:tc>
        <w:tc>
          <w:tcPr>
            <w:tcW w:type="dxa" w:w="3384"/>
            <w:shd w:val="clear" w:color="auto" w:fill="F5F5F5"/>
          </w:tcPr>
          <w:p>
            <w:pPr>
              <w:jc w:val="left"/>
              <w:spacing w:before="0" w:after="0" w:line="240" w:lineRule="atLeast"/>
            </w:pPr>
            <w:r>
              <w:rPr>
                <w:rFonts w:ascii="Times New Roman" w:hAnsi="Times New Roman"/>
                <w:sz w:val="20"/>
              </w:rPr>
              <w:t>2x C + PELT + La Nina rho=0.32</w:t>
            </w:r>
          </w:p>
        </w:tc>
        <w:tc>
          <w:tcPr>
            <w:tcW w:type="dxa" w:w="1584"/>
            <w:shd w:val="clear" w:color="auto" w:fill="F5F5F5"/>
          </w:tcPr>
          <w:p>
            <w:pPr>
              <w:jc w:val="left"/>
              <w:spacing w:before="0" w:after="0" w:line="240" w:lineRule="atLeast"/>
            </w:pPr>
            <w:r>
              <w:rPr>
                <w:rFonts w:ascii="Times New Roman" w:hAnsi="Times New Roman"/>
                <w:sz w:val="20"/>
              </w:rPr>
              <w:t>Binding</w:t>
            </w:r>
          </w:p>
        </w:tc>
        <w:tc>
          <w:tcPr>
            <w:tcW w:type="dxa" w:w="1901"/>
            <w:shd w:val="clear" w:color="auto" w:fill="F5F5F5"/>
          </w:tcPr>
          <w:p>
            <w:pPr>
              <w:jc w:val="left"/>
              <w:spacing w:before="0" w:after="0" w:line="240" w:lineRule="atLeast"/>
            </w:pPr>
            <w:r>
              <w:rPr>
                <w:rFonts w:ascii="Times New Roman" w:hAnsi="Times New Roman"/>
                <w:sz w:val="20"/>
              </w:rPr>
              <w:t>Worst-case combined exposure</w:t>
            </w:r>
          </w:p>
        </w:tc>
      </w:tr>
      <w:tr>
        <w:tc>
          <w:tcPr>
            <w:tcW w:type="dxa" w:w="2160"/>
            <w:shd w:val="clear" w:color="auto" w:fill="FFFFFF"/>
          </w:tcPr>
          <w:p>
            <w:pPr>
              <w:jc w:val="left"/>
              <w:spacing w:before="0" w:after="0" w:line="240" w:lineRule="atLeast"/>
            </w:pPr>
            <w:r>
              <w:rPr>
                <w:rFonts w:ascii="Times New Roman" w:hAnsi="Times New Roman"/>
                <w:sz w:val="20"/>
              </w:rPr>
              <w:t>La Nina correlation</w:t>
            </w:r>
          </w:p>
        </w:tc>
        <w:tc>
          <w:tcPr>
            <w:tcW w:type="dxa" w:w="3384"/>
            <w:shd w:val="clear" w:color="auto" w:fill="FFFFFF"/>
          </w:tcPr>
          <w:p>
            <w:pPr>
              <w:jc w:val="left"/>
              <w:spacing w:before="0" w:after="0" w:line="240" w:lineRule="atLeast"/>
            </w:pPr>
            <w:r>
              <w:rPr>
                <w:rFonts w:ascii="Times New Roman" w:hAnsi="Times New Roman"/>
                <w:sz w:val="20"/>
              </w:rPr>
              <w:t>Gaussian copula rho=0.32 (p99)</w:t>
            </w:r>
          </w:p>
        </w:tc>
        <w:tc>
          <w:tcPr>
            <w:tcW w:type="dxa" w:w="1584"/>
            <w:shd w:val="clear" w:color="auto" w:fill="FFFFFF"/>
          </w:tcPr>
          <w:p>
            <w:pPr>
              <w:jc w:val="left"/>
              <w:spacing w:before="0" w:after="0" w:line="240" w:lineRule="atLeast"/>
            </w:pPr>
            <w:r>
              <w:rPr>
                <w:rFonts w:ascii="Times New Roman" w:hAnsi="Times New Roman"/>
                <w:sz w:val="20"/>
              </w:rPr>
              <w:t>+USD 2.59M/yr</w:t>
            </w:r>
          </w:p>
        </w:tc>
        <w:tc>
          <w:tcPr>
            <w:tcW w:type="dxa" w:w="1901"/>
            <w:shd w:val="clear" w:color="auto" w:fill="FFFFFF"/>
          </w:tcPr>
          <w:p>
            <w:pPr>
              <w:jc w:val="left"/>
              <w:spacing w:before="0" w:after="0" w:line="240" w:lineRule="atLeast"/>
            </w:pPr>
            <w:r>
              <w:rPr>
                <w:rFonts w:ascii="Times New Roman" w:hAnsi="Times New Roman"/>
                <w:sz w:val="20"/>
              </w:rPr>
              <w:t>Audit trigger activated</w:t>
            </w:r>
          </w:p>
        </w:tc>
      </w:tr>
    </w:tbl>
    <w:p>
      <w:pPr>
        <w:jc w:val="both"/>
        <w:spacing w:before="0" w:after="32" w:line="240" w:lineRule="atLeast"/>
        <w:ind w:left="360" w:hanging="180"/>
      </w:pPr>
      <w:r>
        <w:rPr>
          <w:rFonts w:ascii="Times New Roman" w:hAnsi="Times New Roman"/>
          <w:b w:val="0"/>
          <w:i w:val="0"/>
          <w:sz w:val="24"/>
        </w:rPr>
        <w:t>•  Combined MYS+PHL compliance cost reaches USD 26.6bn/yr by 2030 -- driven entirely by carbon price escalation, not emission growth (GHG baselines are declining).</w:t>
      </w:r>
    </w:p>
    <w:p>
      <w:pPr>
        <w:jc w:val="both"/>
        <w:spacing w:before="0" w:after="32" w:line="240" w:lineRule="atLeast"/>
        <w:ind w:left="360" w:hanging="180"/>
      </w:pPr>
      <w:r>
        <w:rPr>
          <w:rFonts w:ascii="Times New Roman" w:hAnsi="Times New Roman"/>
          <w:b w:val="0"/>
          <w:i w:val="0"/>
          <w:sz w:val="24"/>
        </w:rPr>
        <w:t>•  HRe base-case reserve gap (10% SEA alloc.) reaches USD 2.13bn/yr by 2030 vs USD 9.7M central estimate today: a 220x amplification if treaty pricing is unchanged. The trigger year for binding capital constraints is approximately 2027.</w:t>
      </w:r>
    </w:p>
    <w:p>
      <w:pPr>
        <w:jc w:val="both"/>
        <w:spacing w:before="0" w:after="32" w:line="240" w:lineRule="atLeast"/>
        <w:ind w:left="360" w:hanging="180"/>
      </w:pPr>
      <w:r>
        <w:rPr>
          <w:rFonts w:ascii="Times New Roman" w:hAnsi="Times New Roman"/>
          <w:b w:val="0"/>
          <w:i w:val="0"/>
          <w:sz w:val="24"/>
        </w:rPr>
        <w:t>•  The 2x carbon stress (USD 4.25bn/yr) triggers mandatory Climate Warranty Clause activation (R4). The PELT physical layer (+USD 1.3M/yr) is additive to and independent of the transition layer.</w:t>
      </w:r>
    </w:p>
    <w:p>
      <w:pPr>
        <w:spacing w:before="0" w:after="0"/>
      </w:pPr>
      <w:r>
        <w:br w:type="page"/>
      </w:r>
    </w:p>
    <w:p>
      <w:pPr>
        <w:spacing w:before="120" w:after="60" w:line="276" w:lineRule="atLeast"/>
        <w:keepNext/>
        <w:pBdr>
          <w:bottom w:val="single" w:sz="6" w:space="1" w:color="6b2737"/>
        </w:pBdr>
      </w:pPr>
      <w:r>
        <w:rPr>
          <w:rFonts w:ascii="Times New Roman" w:hAnsi="Times New Roman"/>
          <w:b/>
          <w:color w:val="1A1A2E"/>
          <w:sz w:val="28"/>
        </w:rPr>
        <w:t>8.  Financial Impact -- Hannover Re Reserve Implications</w:t>
      </w:r>
    </w:p>
    <w:p>
      <w:pPr>
        <w:jc w:val="both"/>
        <w:spacing w:before="0" w:after="80" w:line="240" w:lineRule="atLeast"/>
      </w:pPr>
      <w:r>
        <w:rPr>
          <w:rFonts w:ascii="Times New Roman" w:hAnsi="Times New Roman"/>
          <w:b w:val="0"/>
          <w:i w:val="0"/>
          <w:sz w:val="24"/>
        </w:rPr>
        <w:t>Reserve estimates are calibrated from three independently sourced assumptions: HRe 2023 Annual Report (8% APAC non-life market share), Swiss Re Sigma 1/2024 (50% SEA treaty attachment), and BNM/BSP data (3--10% SEA sub-book allocation). The resulting range -- USD 3.4M (floor) to USD 18.6M (stress), central estimate USD 9.7M -- is driven by pass-through rate uncertainty (+/-2pp, 5x variance) and GEV CI uncertainty (+/-44.5pp PHL). Rather than treating this range as a weakness, it is the strongest quantitative argument for R5: cedant-level loss triangles and sub-national CHIRPS data are estimated to narrow the range by approximately 60% within 12 months (subject to cedant triangle structure), tightening the central estimate to USD 7.5--11.8M/yr.</w:t>
      </w:r>
    </w:p>
    <w:p>
      <w:pPr>
        <w:spacing w:before="80" w:after="30" w:line="240" w:lineRule="atLeast"/>
        <w:keepNext/>
      </w:pPr>
      <w:r>
        <w:rPr>
          <w:rFonts w:ascii="Times New Roman" w:hAnsi="Times New Roman"/>
          <w:b/>
          <w:color w:val="6B2737"/>
          <w:sz w:val="24"/>
        </w:rPr>
        <w:t>8.1  HRe Reserve Gap -- Three-Tier Framing</w:t>
      </w:r>
    </w:p>
    <w:tbl>
      <w:tblPr>
        <w:tblStyle w:val="TableGrid"/>
        <w:tblW w:type="auto" w:w="0"/>
        <w:jc w:val="left"/>
        <w:tblLook w:firstColumn="1" w:firstRow="1" w:lastColumn="0" w:lastRow="0" w:noHBand="0" w:noVBand="1" w:val="04A0"/>
      </w:tblPr>
      <w:tblGrid>
        <w:gridCol w:w="3009"/>
        <w:gridCol w:w="3009"/>
        <w:gridCol w:w="3009"/>
      </w:tblGrid>
      <w:tr>
        <w:tc>
          <w:tcPr>
            <w:tcW w:type="dxa" w:w="3456"/>
            <w:shd w:val="clear" w:color="auto" w:fill="6b2737"/>
          </w:tcPr>
          <w:p>
            <w:pPr>
              <w:jc w:val="center"/>
              <w:spacing w:before="0" w:after="0" w:line="240" w:lineRule="atLeast"/>
            </w:pPr>
            <w:r>
              <w:rPr>
                <w:rFonts w:ascii="Times New Roman" w:hAnsi="Times New Roman"/>
                <w:b/>
                <w:color w:val="FFFFFF"/>
                <w:sz w:val="20"/>
              </w:rPr>
              <w:t>Reserve Tier</w:t>
            </w:r>
          </w:p>
        </w:tc>
        <w:tc>
          <w:tcPr>
            <w:tcW w:type="dxa" w:w="1944"/>
            <w:shd w:val="clear" w:color="auto" w:fill="6b2737"/>
          </w:tcPr>
          <w:p>
            <w:pPr>
              <w:jc w:val="center"/>
              <w:spacing w:before="0" w:after="0" w:line="240" w:lineRule="atLeast"/>
            </w:pPr>
            <w:r>
              <w:rPr>
                <w:rFonts w:ascii="Times New Roman" w:hAnsi="Times New Roman"/>
                <w:b/>
                <w:color w:val="FFFFFF"/>
                <w:sz w:val="20"/>
              </w:rPr>
              <w:t>Annual Estimate</w:t>
            </w:r>
          </w:p>
        </w:tc>
        <w:tc>
          <w:tcPr>
            <w:tcW w:type="dxa" w:w="3629"/>
            <w:shd w:val="clear" w:color="auto" w:fill="6b2737"/>
          </w:tcPr>
          <w:p>
            <w:pPr>
              <w:jc w:val="center"/>
              <w:spacing w:before="0" w:after="0" w:line="240" w:lineRule="atLeast"/>
            </w:pPr>
            <w:r>
              <w:rPr>
                <w:rFonts w:ascii="Times New Roman" w:hAnsi="Times New Roman"/>
                <w:b/>
                <w:color w:val="FFFFFF"/>
                <w:sz w:val="20"/>
              </w:rPr>
              <w:t>Key Drivers</w:t>
            </w:r>
          </w:p>
        </w:tc>
      </w:tr>
      <w:tr>
        <w:tc>
          <w:tcPr>
            <w:tcW w:type="dxa" w:w="3456"/>
            <w:shd w:val="clear" w:color="auto" w:fill="FFFFFF"/>
          </w:tcPr>
          <w:p>
            <w:pPr>
              <w:jc w:val="left"/>
              <w:spacing w:before="0" w:after="0" w:line="240" w:lineRule="atLeast"/>
            </w:pPr>
            <w:r>
              <w:rPr>
                <w:rFonts w:ascii="Times New Roman" w:hAnsi="Times New Roman"/>
                <w:sz w:val="20"/>
              </w:rPr>
              <w:t>FLOOR (3% SEA alloc., baseline C)</w:t>
            </w:r>
          </w:p>
        </w:tc>
        <w:tc>
          <w:tcPr>
            <w:tcW w:type="dxa" w:w="1944"/>
            <w:shd w:val="clear" w:color="auto" w:fill="FFFFFF"/>
          </w:tcPr>
          <w:p>
            <w:pPr>
              <w:jc w:val="left"/>
              <w:spacing w:before="0" w:after="0" w:line="240" w:lineRule="atLeast"/>
            </w:pPr>
            <w:r>
              <w:rPr>
                <w:rFonts w:ascii="Times New Roman" w:hAnsi="Times New Roman"/>
                <w:sz w:val="20"/>
              </w:rPr>
              <w:t>USD 3.4M/yr</w:t>
            </w:r>
          </w:p>
        </w:tc>
        <w:tc>
          <w:tcPr>
            <w:tcW w:type="dxa" w:w="3629"/>
            <w:shd w:val="clear" w:color="auto" w:fill="FFFFFF"/>
          </w:tcPr>
          <w:p>
            <w:pPr>
              <w:jc w:val="left"/>
              <w:spacing w:before="0" w:after="0" w:line="240" w:lineRule="atLeast"/>
            </w:pPr>
            <w:r>
              <w:rPr>
                <w:rFonts w:ascii="Times New Roman" w:hAnsi="Times New Roman"/>
                <w:sz w:val="20"/>
              </w:rPr>
              <w:t>Conservative: 3% alloc. x 3% PT x baseline carbon; physical EAL floor only</w:t>
            </w:r>
          </w:p>
        </w:tc>
      </w:tr>
      <w:tr>
        <w:tc>
          <w:tcPr>
            <w:tcW w:type="dxa" w:w="3456"/>
            <w:shd w:val="clear" w:color="auto" w:fill="F5F5F5"/>
          </w:tcPr>
          <w:p>
            <w:pPr>
              <w:jc w:val="left"/>
              <w:spacing w:before="0" w:after="0" w:line="240" w:lineRule="atLeast"/>
            </w:pPr>
            <w:r>
              <w:rPr>
                <w:rFonts w:ascii="Times New Roman" w:hAnsi="Times New Roman"/>
                <w:sz w:val="20"/>
              </w:rPr>
              <w:t>CENTRAL ESTIMATE (10% alloc.)</w:t>
            </w:r>
          </w:p>
        </w:tc>
        <w:tc>
          <w:tcPr>
            <w:tcW w:type="dxa" w:w="1944"/>
            <w:shd w:val="clear" w:color="auto" w:fill="F5F5F5"/>
          </w:tcPr>
          <w:p>
            <w:pPr>
              <w:jc w:val="left"/>
              <w:spacing w:before="0" w:after="0" w:line="240" w:lineRule="atLeast"/>
            </w:pPr>
            <w:r>
              <w:rPr>
                <w:rFonts w:ascii="Times New Roman" w:hAnsi="Times New Roman"/>
                <w:sz w:val="20"/>
              </w:rPr>
              <w:t>USD 9.7M/yr</w:t>
            </w:r>
          </w:p>
        </w:tc>
        <w:tc>
          <w:tcPr>
            <w:tcW w:type="dxa" w:w="3629"/>
            <w:shd w:val="clear" w:color="auto" w:fill="F5F5F5"/>
          </w:tcPr>
          <w:p>
            <w:pPr>
              <w:jc w:val="left"/>
              <w:spacing w:before="0" w:after="0" w:line="240" w:lineRule="atLeast"/>
            </w:pPr>
            <w:r>
              <w:rPr>
                <w:rFonts w:ascii="Times New Roman" w:hAnsi="Times New Roman"/>
                <w:sz w:val="20"/>
              </w:rPr>
              <w:t>Base case: 10% alloc. x 3% PT x NZ2050 baseline; primary HRe planning figure</w:t>
            </w:r>
          </w:p>
        </w:tc>
      </w:tr>
      <w:tr>
        <w:tc>
          <w:tcPr>
            <w:tcW w:type="dxa" w:w="3456"/>
            <w:shd w:val="clear" w:color="auto" w:fill="FFFFFF"/>
          </w:tcPr>
          <w:p>
            <w:pPr>
              <w:jc w:val="left"/>
              <w:spacing w:before="0" w:after="0" w:line="240" w:lineRule="atLeast"/>
            </w:pPr>
            <w:r>
              <w:rPr>
                <w:rFonts w:ascii="Times New Roman" w:hAnsi="Times New Roman"/>
                <w:sz w:val="20"/>
              </w:rPr>
              <w:t>STRESS (10% alloc., 2x carbon)</w:t>
            </w:r>
          </w:p>
        </w:tc>
        <w:tc>
          <w:tcPr>
            <w:tcW w:type="dxa" w:w="1944"/>
            <w:shd w:val="clear" w:color="auto" w:fill="FFFFFF"/>
          </w:tcPr>
          <w:p>
            <w:pPr>
              <w:jc w:val="left"/>
              <w:spacing w:before="0" w:after="0" w:line="240" w:lineRule="atLeast"/>
            </w:pPr>
            <w:r>
              <w:rPr>
                <w:rFonts w:ascii="Times New Roman" w:hAnsi="Times New Roman"/>
                <w:sz w:val="20"/>
              </w:rPr>
              <w:t>USD 18.6M/yr</w:t>
            </w:r>
          </w:p>
        </w:tc>
        <w:tc>
          <w:tcPr>
            <w:tcW w:type="dxa" w:w="3629"/>
            <w:shd w:val="clear" w:color="auto" w:fill="FFFFFF"/>
          </w:tcPr>
          <w:p>
            <w:pPr>
              <w:jc w:val="left"/>
              <w:spacing w:before="0" w:after="0" w:line="240" w:lineRule="atLeast"/>
            </w:pPr>
            <w:r>
              <w:rPr>
                <w:rFonts w:ascii="Times New Roman" w:hAnsi="Times New Roman"/>
                <w:sz w:val="20"/>
              </w:rPr>
              <w:t>2x carbon price; triggers mandatory treaty repricing and R4 clause activation</w:t>
            </w:r>
          </w:p>
        </w:tc>
      </w:tr>
      <w:tr>
        <w:tc>
          <w:tcPr>
            <w:tcW w:type="dxa" w:w="3456"/>
            <w:shd w:val="clear" w:color="auto" w:fill="F5F5F5"/>
          </w:tcPr>
          <w:p>
            <w:pPr>
              <w:jc w:val="left"/>
              <w:spacing w:before="0" w:after="0" w:line="240" w:lineRule="atLeast"/>
            </w:pPr>
            <w:r>
              <w:rPr>
                <w:rFonts w:ascii="Times New Roman" w:hAnsi="Times New Roman"/>
                <w:sz w:val="20"/>
              </w:rPr>
              <w:t>p99 La Nina gap (additive)</w:t>
            </w:r>
          </w:p>
        </w:tc>
        <w:tc>
          <w:tcPr>
            <w:tcW w:type="dxa" w:w="1944"/>
            <w:shd w:val="clear" w:color="auto" w:fill="F5F5F5"/>
          </w:tcPr>
          <w:p>
            <w:pPr>
              <w:jc w:val="left"/>
              <w:spacing w:before="0" w:after="0" w:line="240" w:lineRule="atLeast"/>
            </w:pPr>
            <w:r>
              <w:rPr>
                <w:rFonts w:ascii="Times New Roman" w:hAnsi="Times New Roman"/>
                <w:sz w:val="20"/>
              </w:rPr>
              <w:t>+USD 2.6M/yr</w:t>
            </w:r>
          </w:p>
        </w:tc>
        <w:tc>
          <w:tcPr>
            <w:tcW w:type="dxa" w:w="3629"/>
            <w:shd w:val="clear" w:color="auto" w:fill="F5F5F5"/>
          </w:tcPr>
          <w:p>
            <w:pPr>
              <w:jc w:val="left"/>
              <w:spacing w:before="0" w:after="0" w:line="240" w:lineRule="atLeast"/>
            </w:pPr>
            <w:r>
              <w:rPr>
                <w:rFonts w:ascii="Times New Roman" w:hAnsi="Times New Roman"/>
                <w:sz w:val="20"/>
              </w:rPr>
              <w:t>Gaussian copula rho=0.32 activated; added to central estimate in stress budget</w:t>
            </w:r>
          </w:p>
        </w:tc>
      </w:tr>
      <w:tr>
        <w:tc>
          <w:tcPr>
            <w:tcW w:type="dxa" w:w="3456"/>
            <w:shd w:val="clear" w:color="auto" w:fill="FFFFFF"/>
          </w:tcPr>
          <w:p>
            <w:pPr>
              <w:jc w:val="left"/>
              <w:spacing w:before="0" w:after="0" w:line="240" w:lineRule="atLeast"/>
            </w:pPr>
            <w:r>
              <w:rPr>
                <w:rFonts w:ascii="Times New Roman" w:hAnsi="Times New Roman"/>
                <w:sz w:val="20"/>
              </w:rPr>
              <w:t>Physical EAL component (constant)</w:t>
            </w:r>
          </w:p>
        </w:tc>
        <w:tc>
          <w:tcPr>
            <w:tcW w:type="dxa" w:w="1944"/>
            <w:shd w:val="clear" w:color="auto" w:fill="FFFFFF"/>
          </w:tcPr>
          <w:p>
            <w:pPr>
              <w:jc w:val="left"/>
              <w:spacing w:before="0" w:after="0" w:line="240" w:lineRule="atLeast"/>
            </w:pPr>
            <w:r>
              <w:rPr>
                <w:rFonts w:ascii="Times New Roman" w:hAnsi="Times New Roman"/>
                <w:sz w:val="20"/>
              </w:rPr>
              <w:t>USD 0.74M/yr</w:t>
            </w:r>
          </w:p>
        </w:tc>
        <w:tc>
          <w:tcPr>
            <w:tcW w:type="dxa" w:w="3629"/>
            <w:shd w:val="clear" w:color="auto" w:fill="FFFFFF"/>
          </w:tcPr>
          <w:p>
            <w:pPr>
              <w:jc w:val="left"/>
              <w:spacing w:before="0" w:after="0" w:line="240" w:lineRule="atLeast"/>
            </w:pPr>
            <w:r>
              <w:rPr>
                <w:rFonts w:ascii="Times New Roman" w:hAnsi="Times New Roman"/>
                <w:sz w:val="20"/>
              </w:rPr>
              <w:t>GEV-PELT uplift across MYS+PHL; independent of carbon price trajectory</w:t>
            </w:r>
          </w:p>
        </w:tc>
      </w:tr>
      <w:tr>
        <w:tc>
          <w:tcPr>
            <w:tcW w:type="dxa" w:w="3456"/>
            <w:shd w:val="clear" w:color="auto" w:fill="F5F5F5"/>
          </w:tcPr>
          <w:p>
            <w:pPr>
              <w:jc w:val="left"/>
              <w:spacing w:before="0" w:after="0" w:line="240" w:lineRule="atLeast"/>
            </w:pPr>
            <w:r>
              <w:rPr>
                <w:rFonts w:ascii="Times New Roman" w:hAnsi="Times New Roman"/>
                <w:sz w:val="20"/>
              </w:rPr>
              <w:t>R5 target range (post-procurement)</w:t>
            </w:r>
          </w:p>
        </w:tc>
        <w:tc>
          <w:tcPr>
            <w:tcW w:type="dxa" w:w="1944"/>
            <w:shd w:val="clear" w:color="auto" w:fill="F5F5F5"/>
          </w:tcPr>
          <w:p>
            <w:pPr>
              <w:jc w:val="left"/>
              <w:spacing w:before="0" w:after="0" w:line="240" w:lineRule="atLeast"/>
            </w:pPr>
            <w:r>
              <w:rPr>
                <w:rFonts w:ascii="Times New Roman" w:hAnsi="Times New Roman"/>
                <w:sz w:val="20"/>
              </w:rPr>
              <w:t>USD 7.5--11.8M/yr</w:t>
            </w:r>
          </w:p>
        </w:tc>
        <w:tc>
          <w:tcPr>
            <w:tcW w:type="dxa" w:w="3629"/>
            <w:shd w:val="clear" w:color="auto" w:fill="F5F5F5"/>
          </w:tcPr>
          <w:p>
            <w:pPr>
              <w:jc w:val="left"/>
              <w:spacing w:before="0" w:after="0" w:line="240" w:lineRule="atLeast"/>
            </w:pPr>
            <w:r>
              <w:rPr>
                <w:rFonts w:ascii="Times New Roman" w:hAnsi="Times New Roman"/>
                <w:sz w:val="20"/>
              </w:rPr>
              <w:t>After cedant triangles + CHIRPS grids narrow GEV CI by ~60%</w:t>
            </w:r>
          </w:p>
        </w:tc>
      </w:tr>
    </w:tbl>
    <w:p>
      <w:pPr>
        <w:jc w:val="center"/>
        <w:spacing w:before="20" w:after="80" w:line="240" w:lineRule="atLeast"/>
      </w:pPr>
      <w:r>
        <w:rPr>
          <w:rFonts w:ascii="Times New Roman" w:hAnsi="Times New Roman"/>
          <w:i/>
          <w:color w:val="555555"/>
          <w:sz w:val="18"/>
        </w:rPr>
        <w:t>Table 9 -- HRe annual reserve gap: three-tier framing. The width of the range is the quantitative case for R5.</w:t>
      </w:r>
    </w:p>
    <w:p>
      <w:pPr>
        <w:spacing w:before="80" w:after="30" w:line="240" w:lineRule="atLeast"/>
        <w:keepNext/>
      </w:pPr>
      <w:r>
        <w:rPr>
          <w:rFonts w:ascii="Times New Roman" w:hAnsi="Times New Roman"/>
          <w:b/>
          <w:color w:val="6B2737"/>
          <w:sz w:val="24"/>
        </w:rPr>
        <w:t>8.2  Reserve Gap Sensitivity Heatmap</w:t>
      </w:r>
    </w:p>
    <w:p>
      <w:pPr>
        <w:jc w:val="center"/>
        <w:spacing w:before="40" w:after="20" w:line="240" w:lineRule="atLeast"/>
      </w:pPr>
      <w:r>
        <w:drawing>
          <wp:inline xmlns:a="http://schemas.openxmlformats.org/drawingml/2006/main" xmlns:pic="http://schemas.openxmlformats.org/drawingml/2006/picture">
            <wp:extent cx="5486400" cy="3867765"/>
            <wp:docPr id="14" name="Picture 14"/>
            <wp:cNvGraphicFramePr>
              <a:graphicFrameLocks noChangeAspect="1"/>
            </wp:cNvGraphicFramePr>
            <a:graphic>
              <a:graphicData uri="http://schemas.openxmlformats.org/drawingml/2006/picture">
                <pic:pic>
                  <pic:nvPicPr>
                    <pic:cNvPr id="0" name="r_heatmap_reserve_gap.png"/>
                    <pic:cNvPicPr/>
                  </pic:nvPicPr>
                  <pic:blipFill>
                    <a:blip r:embed="rId22"/>
                    <a:stretch>
                      <a:fillRect/>
                    </a:stretch>
                  </pic:blipFill>
                  <pic:spPr>
                    <a:xfrm>
                      <a:off x="0" y="0"/>
                      <a:ext cx="5486400" cy="3867765"/>
                    </a:xfrm>
                    <a:prstGeom prst="rect"/>
                  </pic:spPr>
                </pic:pic>
              </a:graphicData>
            </a:graphic>
          </wp:inline>
        </w:drawing>
      </w:r>
    </w:p>
    <w:p>
      <w:pPr>
        <w:jc w:val="center"/>
        <w:spacing w:before="20" w:after="80" w:line="240" w:lineRule="atLeast"/>
      </w:pPr>
      <w:r>
        <w:rPr>
          <w:rFonts w:ascii="Times New Roman" w:hAnsi="Times New Roman"/>
          <w:i/>
          <w:color w:val="555555"/>
          <w:sz w:val="18"/>
        </w:rPr>
        <w:t>Figure 8 -- HRe SEA reserve gap as a function of carbon price and pass-through rate. Dashed contours: Floor $3.4M / Central $9.7M / Stress $18.6M. Red zone: binding capital constraint (&gt;$18.6M). Trigger point ~2027 marked.</w:t>
      </w:r>
    </w:p>
    <w:p>
      <w:pPr>
        <w:jc w:val="both"/>
        <w:spacing w:before="0" w:after="80" w:line="240" w:lineRule="atLeast"/>
      </w:pPr>
      <w:r>
        <w:rPr>
          <w:rFonts w:ascii="Times New Roman" w:hAnsi="Times New Roman"/>
          <w:b w:val="0"/>
          <w:i w:val="0"/>
          <w:sz w:val="24"/>
        </w:rPr>
        <w:t>Figure 8 answers every 'what if' question about the reserve estimate in one chart. The trigger point (~2027) identifies when the NGFS NZ2050 price path at 3% pass-through crosses the stress threshold -- the underwriting event that makes treaty repricing inevitable. At the current NGFS NZ2050 trajectory, HRe's binding capital constraint is reached at approximately USD 102/t carbon price at 3% PT -- two years before the 2030 projection horizon.</w:t>
      </w:r>
    </w:p>
    <w:p>
      <w:pPr>
        <w:spacing w:before="80" w:after="30" w:line="240" w:lineRule="atLeast"/>
        <w:keepNext/>
      </w:pPr>
      <w:r>
        <w:rPr>
          <w:rFonts w:ascii="Times New Roman" w:hAnsi="Times New Roman"/>
          <w:b/>
          <w:color w:val="6B2737"/>
          <w:sz w:val="24"/>
        </w:rPr>
        <w:t>8.3  Insurance Penetration Gap</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1181"/>
            <w:shd w:val="clear" w:color="auto" w:fill="6b2737"/>
          </w:tcPr>
          <w:p>
            <w:pPr>
              <w:jc w:val="center"/>
              <w:spacing w:before="0" w:after="0" w:line="240" w:lineRule="atLeast"/>
            </w:pPr>
            <w:r>
              <w:rPr>
                <w:rFonts w:ascii="Times New Roman" w:hAnsi="Times New Roman"/>
                <w:b/>
                <w:color w:val="FFFFFF"/>
                <w:sz w:val="20"/>
              </w:rPr>
              <w:t>Country</w:t>
            </w:r>
          </w:p>
        </w:tc>
        <w:tc>
          <w:tcPr>
            <w:tcW w:type="dxa" w:w="1224"/>
            <w:shd w:val="clear" w:color="auto" w:fill="6b2737"/>
          </w:tcPr>
          <w:p>
            <w:pPr>
              <w:jc w:val="center"/>
              <w:spacing w:before="0" w:after="0" w:line="240" w:lineRule="atLeast"/>
            </w:pPr>
            <w:r>
              <w:rPr>
                <w:rFonts w:ascii="Times New Roman" w:hAnsi="Times New Roman"/>
                <w:b/>
                <w:color w:val="FFFFFF"/>
                <w:sz w:val="20"/>
              </w:rPr>
              <w:t>Penetration</w:t>
            </w:r>
          </w:p>
        </w:tc>
        <w:tc>
          <w:tcPr>
            <w:tcW w:type="dxa" w:w="1224"/>
            <w:shd w:val="clear" w:color="auto" w:fill="6b2737"/>
          </w:tcPr>
          <w:p>
            <w:pPr>
              <w:jc w:val="center"/>
              <w:spacing w:before="0" w:after="0" w:line="240" w:lineRule="atLeast"/>
            </w:pPr>
            <w:r>
              <w:rPr>
                <w:rFonts w:ascii="Times New Roman" w:hAnsi="Times New Roman"/>
                <w:b/>
                <w:color w:val="FFFFFF"/>
                <w:sz w:val="20"/>
              </w:rPr>
              <w:t>Economic Gap/yr</w:t>
            </w:r>
          </w:p>
        </w:tc>
        <w:tc>
          <w:tcPr>
            <w:tcW w:type="dxa" w:w="1728"/>
            <w:shd w:val="clear" w:color="auto" w:fill="6b2737"/>
          </w:tcPr>
          <w:p>
            <w:pPr>
              <w:jc w:val="center"/>
              <w:spacing w:before="0" w:after="0" w:line="240" w:lineRule="atLeast"/>
            </w:pPr>
            <w:r>
              <w:rPr>
                <w:rFonts w:ascii="Times New Roman" w:hAnsi="Times New Roman"/>
                <w:b/>
                <w:color w:val="FFFFFF"/>
                <w:sz w:val="20"/>
              </w:rPr>
              <w:t>Insured Gap Range</w:t>
            </w:r>
          </w:p>
        </w:tc>
        <w:tc>
          <w:tcPr>
            <w:tcW w:type="dxa" w:w="3672"/>
            <w:shd w:val="clear" w:color="auto" w:fill="6b2737"/>
          </w:tcPr>
          <w:p>
            <w:pPr>
              <w:jc w:val="center"/>
              <w:spacing w:before="0" w:after="0" w:line="240" w:lineRule="atLeast"/>
            </w:pPr>
            <w:r>
              <w:rPr>
                <w:rFonts w:ascii="Times New Roman" w:hAnsi="Times New Roman"/>
                <w:b/>
                <w:color w:val="FFFFFF"/>
                <w:sz w:val="20"/>
              </w:rPr>
              <w:t>Treaty Implication</w:t>
            </w:r>
          </w:p>
        </w:tc>
      </w:tr>
      <w:tr>
        <w:tc>
          <w:tcPr>
            <w:tcW w:type="dxa" w:w="1181"/>
            <w:shd w:val="clear" w:color="auto" w:fill="FFFFFF"/>
          </w:tcPr>
          <w:p>
            <w:pPr>
              <w:jc w:val="left"/>
              <w:spacing w:before="0" w:after="0" w:line="240" w:lineRule="atLeast"/>
            </w:pPr>
            <w:r>
              <w:rPr>
                <w:rFonts w:ascii="Times New Roman" w:hAnsi="Times New Roman"/>
                <w:sz w:val="20"/>
              </w:rPr>
              <w:t>Malaysia</w:t>
            </w:r>
          </w:p>
        </w:tc>
        <w:tc>
          <w:tcPr>
            <w:tcW w:type="dxa" w:w="1224"/>
            <w:shd w:val="clear" w:color="auto" w:fill="FFFFFF"/>
          </w:tcPr>
          <w:p>
            <w:pPr>
              <w:jc w:val="left"/>
              <w:spacing w:before="0" w:after="0" w:line="240" w:lineRule="atLeast"/>
            </w:pPr>
            <w:r>
              <w:rPr>
                <w:rFonts w:ascii="Times New Roman" w:hAnsi="Times New Roman"/>
                <w:sz w:val="20"/>
              </w:rPr>
              <w:t>~15%</w:t>
            </w:r>
          </w:p>
        </w:tc>
        <w:tc>
          <w:tcPr>
            <w:tcW w:type="dxa" w:w="1224"/>
            <w:shd w:val="clear" w:color="auto" w:fill="FFFFFF"/>
          </w:tcPr>
          <w:p>
            <w:pPr>
              <w:jc w:val="left"/>
              <w:spacing w:before="0" w:after="0" w:line="240" w:lineRule="atLeast"/>
            </w:pPr>
            <w:r>
              <w:rPr>
                <w:rFonts w:ascii="Times New Roman" w:hAnsi="Times New Roman"/>
                <w:sz w:val="20"/>
              </w:rPr>
              <w:t>USD 6.5M</w:t>
            </w:r>
          </w:p>
        </w:tc>
        <w:tc>
          <w:tcPr>
            <w:tcW w:type="dxa" w:w="1728"/>
            <w:shd w:val="clear" w:color="auto" w:fill="FFFFFF"/>
          </w:tcPr>
          <w:p>
            <w:pPr>
              <w:jc w:val="left"/>
              <w:spacing w:before="0" w:after="0" w:line="240" w:lineRule="atLeast"/>
            </w:pPr>
            <w:r>
              <w:rPr>
                <w:rFonts w:ascii="Times New Roman" w:hAnsi="Times New Roman"/>
                <w:sz w:val="20"/>
              </w:rPr>
              <w:t>USD 0.65--1.30M</w:t>
            </w:r>
          </w:p>
        </w:tc>
        <w:tc>
          <w:tcPr>
            <w:tcW w:type="dxa" w:w="3672"/>
            <w:shd w:val="clear" w:color="auto" w:fill="FFFFFF"/>
          </w:tcPr>
          <w:p>
            <w:pPr>
              <w:jc w:val="left"/>
              <w:spacing w:before="0" w:after="0" w:line="240" w:lineRule="atLeast"/>
            </w:pPr>
            <w:r>
              <w:rPr>
                <w:rFonts w:ascii="Times New Roman" w:hAnsi="Times New Roman"/>
                <w:sz w:val="20"/>
              </w:rPr>
              <w:t>EAL understated +5.87%</w:t>
            </w:r>
          </w:p>
        </w:tc>
      </w:tr>
      <w:tr>
        <w:tc>
          <w:tcPr>
            <w:tcW w:type="dxa" w:w="1181"/>
            <w:shd w:val="clear" w:color="auto" w:fill="F5F5F5"/>
          </w:tcPr>
          <w:p>
            <w:pPr>
              <w:jc w:val="left"/>
              <w:spacing w:before="0" w:after="0" w:line="240" w:lineRule="atLeast"/>
            </w:pPr>
            <w:r>
              <w:rPr>
                <w:rFonts w:ascii="Times New Roman" w:hAnsi="Times New Roman"/>
                <w:sz w:val="20"/>
              </w:rPr>
              <w:t>Philippines</w:t>
            </w:r>
          </w:p>
        </w:tc>
        <w:tc>
          <w:tcPr>
            <w:tcW w:type="dxa" w:w="1224"/>
            <w:shd w:val="clear" w:color="auto" w:fill="F5F5F5"/>
          </w:tcPr>
          <w:p>
            <w:pPr>
              <w:jc w:val="left"/>
              <w:spacing w:before="0" w:after="0" w:line="240" w:lineRule="atLeast"/>
            </w:pPr>
            <w:r>
              <w:rPr>
                <w:rFonts w:ascii="Times New Roman" w:hAnsi="Times New Roman"/>
                <w:sz w:val="20"/>
              </w:rPr>
              <w:t>~8%</w:t>
            </w:r>
          </w:p>
        </w:tc>
        <w:tc>
          <w:tcPr>
            <w:tcW w:type="dxa" w:w="1224"/>
            <w:shd w:val="clear" w:color="auto" w:fill="F5F5F5"/>
          </w:tcPr>
          <w:p>
            <w:pPr>
              <w:jc w:val="left"/>
              <w:spacing w:before="0" w:after="0" w:line="240" w:lineRule="atLeast"/>
            </w:pPr>
            <w:r>
              <w:rPr>
                <w:rFonts w:ascii="Times New Roman" w:hAnsi="Times New Roman"/>
                <w:sz w:val="20"/>
              </w:rPr>
              <w:t>USD 11.9M</w:t>
            </w:r>
          </w:p>
        </w:tc>
        <w:tc>
          <w:tcPr>
            <w:tcW w:type="dxa" w:w="1728"/>
            <w:shd w:val="clear" w:color="auto" w:fill="F5F5F5"/>
          </w:tcPr>
          <w:p>
            <w:pPr>
              <w:jc w:val="left"/>
              <w:spacing w:before="0" w:after="0" w:line="240" w:lineRule="atLeast"/>
            </w:pPr>
            <w:r>
              <w:rPr>
                <w:rFonts w:ascii="Times New Roman" w:hAnsi="Times New Roman"/>
                <w:sz w:val="20"/>
              </w:rPr>
              <w:t>USD 0.59--1.78M</w:t>
            </w:r>
          </w:p>
        </w:tc>
        <w:tc>
          <w:tcPr>
            <w:tcW w:type="dxa" w:w="3672"/>
            <w:shd w:val="clear" w:color="auto" w:fill="F5F5F5"/>
          </w:tcPr>
          <w:p>
            <w:pPr>
              <w:jc w:val="left"/>
              <w:spacing w:before="0" w:after="0" w:line="240" w:lineRule="atLeast"/>
            </w:pPr>
            <w:r>
              <w:rPr>
                <w:rFonts w:ascii="Times New Roman" w:hAnsi="Times New Roman"/>
                <w:sz w:val="20"/>
              </w:rPr>
              <w:t>EAL understated +1.28%</w:t>
            </w:r>
          </w:p>
        </w:tc>
      </w:tr>
    </w:tbl>
    <w:p>
      <w:pPr>
        <w:spacing w:before="0" w:after="0"/>
      </w:pPr>
      <w:r>
        <w:br w:type="page"/>
      </w:r>
    </w:p>
    <w:p>
      <w:pPr>
        <w:spacing w:before="120" w:after="60" w:line="276" w:lineRule="atLeast"/>
        <w:keepNext/>
        <w:pBdr>
          <w:bottom w:val="single" w:sz="6" w:space="1" w:color="6b2737"/>
        </w:pBdr>
      </w:pPr>
      <w:r>
        <w:rPr>
          <w:rFonts w:ascii="Times New Roman" w:hAnsi="Times New Roman"/>
          <w:b/>
          <w:color w:val="1A1A2E"/>
          <w:sz w:val="28"/>
        </w:rPr>
        <w:t>9.  Strategic Risk Management Recommendations</w:t>
      </w:r>
    </w:p>
    <w:p>
      <w:pPr>
        <w:jc w:val="both"/>
        <w:spacing w:before="0" w:after="80" w:line="240" w:lineRule="atLeast"/>
      </w:pPr>
      <w:r>
        <w:rPr>
          <w:rFonts w:ascii="Times New Roman" w:hAnsi="Times New Roman"/>
          <w:b w:val="0"/>
          <w:i w:val="0"/>
          <w:sz w:val="24"/>
        </w:rPr>
        <w:t>Five interconnected recommendations address both gaps with explicit triggers, loadings, and governance protocols. They are ordered by immediacy: R1 and R2 are implementable at the next renewal cycle, R3 requires NOAA monitoring integration, R4 requires legal clause drafting, and R5 is a 12-month data investment estimated to narrow the reserve band from USD 15.2M to USD 6.1M (subject to cedant triangle structure and data homogeneity) and unlocks precision improvements across all other recommendations.</w:t>
      </w:r>
    </w:p>
    <w:p>
      <w:pPr>
        <w:spacing w:before="80" w:after="30" w:line="240" w:lineRule="atLeast"/>
        <w:keepNext/>
      </w:pPr>
      <w:r>
        <w:rPr>
          <w:rFonts w:ascii="Times New Roman" w:hAnsi="Times New Roman"/>
          <w:b/>
          <w:color w:val="6B2737"/>
          <w:sz w:val="24"/>
        </w:rPr>
        <w:t>R1 -- EAL-Calibrated Flood Loading  (Implement at next renewal)</w:t>
      </w:r>
    </w:p>
    <w:p>
      <w:pPr>
        <w:jc w:val="both"/>
        <w:spacing w:before="0" w:after="80" w:line="240" w:lineRule="atLeast"/>
      </w:pPr>
      <w:r>
        <w:rPr>
          <w:rFonts w:ascii="Times New Roman" w:hAnsi="Times New Roman"/>
          <w:b w:val="0"/>
          <w:i w:val="0"/>
          <w:sz w:val="24"/>
        </w:rPr>
        <w:t>Trigger: MYS property cat treaties &gt;USD 50M notional. Apply +35--36% flood loading (GEV PELT uplift + Hosking-Wallis CI mid-point); +1--2% floor for PHL. Regulatory anchor: BNM CCPT Pillar 1, s.3.4 (Physical Risk Quantification).</w:t>
      </w:r>
    </w:p>
    <w:p>
      <w:pPr>
        <w:jc w:val="both"/>
        <w:spacing w:before="0" w:after="80" w:line="240" w:lineRule="atLeast"/>
      </w:pPr>
      <w:r>
        <w:rPr>
          <w:rFonts w:ascii="Times New Roman" w:hAnsi="Times New Roman"/>
          <w:b w:val="0"/>
          <w:i w:val="0"/>
          <w:sz w:val="24"/>
        </w:rPr>
        <w:t>Competitor benchmarking: Aon's 2024 Reinsurance Market Outlook and Guy Carpenter's APAC Q3 2024 Renewal Report indicate SEA flood-cat loadings are currently in the range of +18--24% above pure burning cost. Our recommended +35--36% MYS loading is positioned at the upper end of this range, justified by the 2007 PELT regime break that competitors have not yet integrated into pricing. This positions HRe to lead the market on technical pricing while accepting a potential 5--8% volume reduction in MYS property cat. The portfolio-level effect is favourable: removing the underpriced tail is estimated to improve the SEA combined ratio by approximately 2.1pp.</w:t>
      </w:r>
    </w:p>
    <w:p>
      <w:pPr>
        <w:jc w:val="center"/>
        <w:spacing w:before="40" w:after="20" w:line="240" w:lineRule="atLeast"/>
      </w:pPr>
      <w:r>
        <w:drawing>
          <wp:inline xmlns:a="http://schemas.openxmlformats.org/drawingml/2006/main" xmlns:pic="http://schemas.openxmlformats.org/drawingml/2006/picture">
            <wp:extent cx="5486400" cy="1948146"/>
            <wp:docPr id="15" name="Picture 15"/>
            <wp:cNvGraphicFramePr>
              <a:graphicFrameLocks noChangeAspect="1"/>
            </wp:cNvGraphicFramePr>
            <a:graphic>
              <a:graphicData uri="http://schemas.openxmlformats.org/drawingml/2006/picture">
                <pic:pic>
                  <pic:nvPicPr>
                    <pic:cNvPr id="0" name="r4_rec1_treaty_threshold.png"/>
                    <pic:cNvPicPr/>
                  </pic:nvPicPr>
                  <pic:blipFill>
                    <a:blip r:embed="rId23"/>
                    <a:stretch>
                      <a:fillRect/>
                    </a:stretch>
                  </pic:blipFill>
                  <pic:spPr>
                    <a:xfrm>
                      <a:off x="0" y="0"/>
                      <a:ext cx="5486400" cy="1948146"/>
                    </a:xfrm>
                    <a:prstGeom prst="rect"/>
                  </pic:spPr>
                </pic:pic>
              </a:graphicData>
            </a:graphic>
          </wp:inline>
        </w:drawing>
      </w:r>
    </w:p>
    <w:p>
      <w:pPr>
        <w:jc w:val="center"/>
        <w:spacing w:before="20" w:after="80" w:line="240" w:lineRule="atLeast"/>
      </w:pPr>
      <w:r>
        <w:rPr>
          <w:rFonts w:ascii="Times New Roman" w:hAnsi="Times New Roman"/>
          <w:i/>
          <w:color w:val="555555"/>
          <w:sz w:val="18"/>
        </w:rPr>
        <w:t>Figure 9 -- R1 treaty threshold: GEV EAL loading (+35--36% MYS) vs EM-DAT burning cost. The gap between curves represents current under-pricing.</w:t>
      </w:r>
    </w:p>
    <w:p>
      <w:pPr>
        <w:spacing w:before="80" w:after="30" w:line="240" w:lineRule="atLeast"/>
        <w:keepNext/>
      </w:pPr>
      <w:r>
        <w:rPr>
          <w:rFonts w:ascii="Times New Roman" w:hAnsi="Times New Roman"/>
          <w:b/>
          <w:color w:val="6B2737"/>
          <w:sz w:val="24"/>
        </w:rPr>
        <w:t>R2 -- Country-Specific Transition Surcharges  (At renewal; review per NGFS Phase)</w:t>
      </w:r>
    </w:p>
    <w:p>
      <w:pPr>
        <w:jc w:val="both"/>
        <w:spacing w:before="0" w:after="40" w:line="240" w:lineRule="atLeast"/>
      </w:pPr>
      <w:r>
        <w:rPr>
          <w:rFonts w:ascii="Times New Roman" w:hAnsi="Times New Roman"/>
          <w:b w:val="0"/>
          <w:i w:val="0"/>
          <w:sz w:val="24"/>
        </w:rPr>
        <w:t>MYS: 3--5% surcharge on BNM CCPT C3/C4 cedants (Pillar 2, s.4.2 Transition Risk Pass-Through). LULUCF emitter status warrants Climate Warranty Clause (R4) at the same renewal. PHL: 1--2% surcharge (BSP 1085 s.X.4 ESG Pricing Integration); LULUCF sink credits partially offset compliance costs. Re-evaluate at each NGFS Phase update and at each BNM CCPT taxonomy revision.</w:t>
      </w:r>
    </w:p>
    <w:p>
      <w:pPr>
        <w:spacing w:before="80" w:after="30" w:line="240" w:lineRule="atLeast"/>
        <w:keepNext/>
      </w:pPr>
      <w:r>
        <w:rPr>
          <w:rFonts w:ascii="Times New Roman" w:hAnsi="Times New Roman"/>
          <w:b/>
          <w:color w:val="6B2737"/>
          <w:sz w:val="24"/>
        </w:rPr>
        <w:t>R3 -- ENSO Conditional Audit  (NOAA OND monitoring)</w:t>
      </w:r>
    </w:p>
    <w:p>
      <w:pPr>
        <w:jc w:val="both"/>
        <w:spacing w:before="0" w:after="80" w:line="240" w:lineRule="atLeast"/>
      </w:pPr>
      <w:r>
        <w:rPr>
          <w:rFonts w:ascii="Times New Roman" w:hAnsi="Times New Roman"/>
          <w:b w:val="0"/>
          <w:i w:val="0"/>
          <w:sz w:val="24"/>
        </w:rPr>
        <w:t>Trigger: NOAA OND ONI &lt;= -0.5 degrees C (La Nina onset, verified each October). Action: Activate facultative audit of the combined MYS+PHL book, covering exposure concentration by cedant, retention adequacy vs. updated GEV return levels, and PML reassessment for flood (MYS) and storm (PHL) perils. Decision rule: if audit identifies &gt;15% exposure increase vs. neutral-year baseline, apply PELT uplift (+6.9% MYS) at next treaty renewal cycle. ENSO functions as a GOVERNANCE CONTROL, not a continuous pricing variable -- annual correlation r = -0.016 (p = 0.83--0.93) confirms statistical insignificance at the full-book level, while the n=14 La Nina sub-sample (Gaussian rho=0.32) is too small to support stable parameter estimation for pricing purposes. Regulatory anchor: TCFD Risk Management Rec (b) -- Process for Identifying and Assessing Climate-Related Risks.</w:t>
      </w:r>
    </w:p>
    <w:p>
      <w:pPr>
        <w:jc w:val="center"/>
        <w:spacing w:before="40" w:after="20" w:line="240" w:lineRule="atLeast"/>
      </w:pPr>
      <w:r>
        <w:drawing>
          <wp:inline xmlns:a="http://schemas.openxmlformats.org/drawingml/2006/main" xmlns:pic="http://schemas.openxmlformats.org/drawingml/2006/picture">
            <wp:extent cx="4572000" cy="1622676"/>
            <wp:docPr id="16" name="Picture 16"/>
            <wp:cNvGraphicFramePr>
              <a:graphicFrameLocks noChangeAspect="1"/>
            </wp:cNvGraphicFramePr>
            <a:graphic>
              <a:graphicData uri="http://schemas.openxmlformats.org/drawingml/2006/picture">
                <pic:pic>
                  <pic:nvPicPr>
                    <pic:cNvPr id="0" name="r4_rec3_enso_protocol.png"/>
                    <pic:cNvPicPr/>
                  </pic:nvPicPr>
                  <pic:blipFill>
                    <a:blip r:embed="rId24"/>
                    <a:stretch>
                      <a:fillRect/>
                    </a:stretch>
                  </pic:blipFill>
                  <pic:spPr>
                    <a:xfrm>
                      <a:off x="0" y="0"/>
                      <a:ext cx="4572000" cy="1622676"/>
                    </a:xfrm>
                    <a:prstGeom prst="rect"/>
                  </pic:spPr>
                </pic:pic>
              </a:graphicData>
            </a:graphic>
          </wp:inline>
        </w:drawing>
      </w:r>
    </w:p>
    <w:p>
      <w:pPr>
        <w:jc w:val="center"/>
        <w:spacing w:before="20" w:after="80" w:line="240" w:lineRule="atLeast"/>
      </w:pPr>
      <w:r>
        <w:rPr>
          <w:rFonts w:ascii="Times New Roman" w:hAnsi="Times New Roman"/>
          <w:i/>
          <w:color w:val="555555"/>
          <w:sz w:val="18"/>
        </w:rPr>
        <w:t>Figure 10 -- R3 ENSO protocol: ONI &lt;= -0.5 degrees C activates facultative audit (TCFD Risk Mgmt Rec (b)). Annual r = -0.016 confirms this is NOT a pricing variable.</w:t>
      </w:r>
    </w:p>
    <w:p>
      <w:pPr>
        <w:spacing w:before="80" w:after="30" w:line="240" w:lineRule="atLeast"/>
        <w:keepNext/>
      </w:pPr>
      <w:r>
        <w:rPr>
          <w:rFonts w:ascii="Times New Roman" w:hAnsi="Times New Roman"/>
          <w:b/>
          <w:color w:val="6B2737"/>
          <w:sz w:val="24"/>
        </w:rPr>
        <w:t>R4 &amp; R5 -- Warranty Clause &amp; Data Procurement</w:t>
      </w:r>
    </w:p>
    <w:p>
      <w:pPr>
        <w:jc w:val="both"/>
        <w:spacing w:before="0" w:after="0" w:line="240" w:lineRule="atLeast"/>
      </w:pPr>
      <w:r>
        <w:rPr>
          <w:rFonts w:ascii="Times New Roman" w:hAnsi="Times New Roman"/>
          <w:b w:val="0"/>
          <w:i w:val="0"/>
          <w:sz w:val="24"/>
        </w:rPr>
        <w:t>R4 (Climate Warranty Clause, EUDR Art. 8 + Lloyd's ESG Guidance 2023 s.2.3): Apply to MYS LULUCF-exposed cedants (palm oil, plantation forestry). Terms: 10% co-participation on non-disclosure of LULUCF emission change &gt;10% vs prior year. Reviewed annually. R5 (0--12 months, TCFD Metrics &amp; Targets Rec (a)): Procure cedant-level 10+ year loss triangles + sub-national CHIRPS 0.05-degree grids. Increases effective sample n=34 to n&gt;=43, reducing CI loading from +/-44.5pp (PHL) and +/-29.5pp (MYS) to approximately +/-12pp -- estimated to narrow the HRe reserve band from USD 15.2M to USD 6.1M (subject to cedant triangle structure and homogeneity).</w:t>
      </w:r>
    </w:p>
    <w:p>
      <w:pPr>
        <w:spacing w:before="0" w:after="0"/>
      </w:pPr>
      <w:r>
        <w:br w:type="page"/>
      </w:r>
    </w:p>
    <w:p>
      <w:pPr>
        <w:spacing w:before="120" w:after="60" w:line="276" w:lineRule="atLeast"/>
        <w:keepNext/>
        <w:pBdr>
          <w:bottom w:val="single" w:sz="6" w:space="1" w:color="6b2737"/>
        </w:pBdr>
      </w:pPr>
      <w:r>
        <w:rPr>
          <w:rFonts w:ascii="Times New Roman" w:hAnsi="Times New Roman"/>
          <w:b/>
          <w:color w:val="1A1A2E"/>
          <w:sz w:val="28"/>
        </w:rPr>
        <w:t>10.  Limitations, Scalability &amp; Conclusion</w:t>
      </w:r>
    </w:p>
    <w:p>
      <w:pPr>
        <w:spacing w:before="80" w:after="30" w:line="240" w:lineRule="atLeast"/>
        <w:keepNext/>
      </w:pPr>
      <w:r>
        <w:rPr>
          <w:rFonts w:ascii="Times New Roman" w:hAnsi="Times New Roman"/>
          <w:b/>
          <w:color w:val="6B2737"/>
          <w:sz w:val="24"/>
        </w:rPr>
        <w:t>10.1  Key Limitations &amp; Mitigations</w:t>
      </w:r>
    </w:p>
    <w:p>
      <w:pPr>
        <w:jc w:val="both"/>
        <w:spacing w:before="0" w:after="26" w:line="240" w:lineRule="atLeast"/>
        <w:ind w:left="360" w:hanging="180"/>
      </w:pPr>
      <w:r>
        <w:rPr>
          <w:rFonts w:ascii="Times New Roman" w:hAnsi="Times New Roman"/>
          <w:b w:val="0"/>
          <w:i w:val="0"/>
          <w:sz w:val="24"/>
        </w:rPr>
        <w:t>•  Sample size (n=34): PHL GEV CI [326--985mm] -- 3x range. Permutation test (N=10,000) has ~25% power at n=34 to detect a 1-sigma location shift; statistical significance not reached, but physical basis (Cinco et al. 2014) supports the 2007 break. PHL treated as elevated monitoring zone; floor loading only. Resolved by R5 data procurement (n&gt;=43 target).</w:t>
      </w:r>
    </w:p>
    <w:p>
      <w:pPr>
        <w:jc w:val="both"/>
        <w:spacing w:before="0" w:after="26" w:line="240" w:lineRule="atLeast"/>
        <w:ind w:left="360" w:hanging="180"/>
      </w:pPr>
      <w:r>
        <w:rPr>
          <w:rFonts w:ascii="Times New Roman" w:hAnsi="Times New Roman"/>
          <w:b w:val="0"/>
          <w:i w:val="0"/>
          <w:sz w:val="24"/>
        </w:rPr>
        <w:t>•  WDI data gaps: MYS fossil fuel share (2021--23 = 0.0, gap not true zero) and MYS renewable share (2022--23 missing) excluded from quantitative models. Trend extrapolation used for narrative only; not in any pricing calculation.</w:t>
      </w:r>
    </w:p>
    <w:p>
      <w:pPr>
        <w:jc w:val="both"/>
        <w:spacing w:before="0" w:after="26" w:line="240" w:lineRule="atLeast"/>
        <w:ind w:left="360" w:hanging="180"/>
      </w:pPr>
      <w:r>
        <w:rPr>
          <w:rFonts w:ascii="Times New Roman" w:hAnsi="Times New Roman"/>
          <w:b w:val="0"/>
          <w:i w:val="0"/>
          <w:sz w:val="24"/>
        </w:rPr>
        <w:t>•  ARIMA no-break assumption: Model assumes no structural policy shift post-2023. Malaysia's NETR 2023 may accelerate decarbonisation, biasing GHG forecasts conservatively high -- providing a margin of safety in transition cost estimates.</w:t>
      </w:r>
    </w:p>
    <w:p>
      <w:pPr>
        <w:jc w:val="both"/>
        <w:spacing w:before="0" w:after="26" w:line="240" w:lineRule="atLeast"/>
        <w:ind w:left="360" w:hanging="180"/>
      </w:pPr>
      <w:r>
        <w:rPr>
          <w:rFonts w:ascii="Times New Roman" w:hAnsi="Times New Roman"/>
          <w:b w:val="0"/>
          <w:i w:val="0"/>
          <w:sz w:val="24"/>
        </w:rPr>
        <w:t>•  Pass-through rate: +/-2pp on 3% rate drives 5x HRe reserve variance (USD 3.0--14.9M/yr at 10% alloc.). Rate refreshed at each NGFS Phase release. Figure 8 heatmap provides full sensitivity surface for underwriting decisions.</w:t>
      </w:r>
    </w:p>
    <w:p>
      <w:pPr>
        <w:jc w:val="both"/>
        <w:spacing w:before="0" w:after="26" w:line="240" w:lineRule="atLeast"/>
        <w:ind w:left="360" w:hanging="180"/>
      </w:pPr>
      <w:r>
        <w:rPr>
          <w:rFonts w:ascii="Times New Roman" w:hAnsi="Times New Roman"/>
          <w:b w:val="0"/>
          <w:i w:val="0"/>
          <w:sz w:val="24"/>
        </w:rPr>
        <w:t>•  LULUCF measurement: +/-20--30% uncertainty (FAO FRA 2020) affects MYS net emitter classification. Re-evaluated at FRA 2025 cycle.</w:t>
      </w:r>
    </w:p>
    <w:p>
      <w:pPr>
        <w:jc w:val="both"/>
        <w:spacing w:before="0" w:after="26" w:line="240" w:lineRule="atLeast"/>
        <w:ind w:left="360" w:hanging="180"/>
      </w:pPr>
      <w:r>
        <w:rPr>
          <w:rFonts w:ascii="Times New Roman" w:hAnsi="Times New Roman"/>
          <w:b w:val="0"/>
          <w:i w:val="0"/>
          <w:sz w:val="24"/>
        </w:rPr>
        <w:t>•  Copula power: n=34 annual observations limit tail estimation. La Nina sub-sample n=14 insufficient for block-maxima GEV. USD 2.59M/yr p99 gap is indicative only.</w:t>
      </w:r>
    </w:p>
    <w:p>
      <w:pPr>
        <w:spacing w:before="80" w:after="30" w:line="240" w:lineRule="atLeast"/>
        <w:keepNext/>
      </w:pPr>
      <w:r>
        <w:rPr>
          <w:rFonts w:ascii="Times New Roman" w:hAnsi="Times New Roman"/>
          <w:b/>
          <w:color w:val="6B2737"/>
          <w:sz w:val="24"/>
        </w:rPr>
        <w:t>10.2  Regulatory Anchor Mapping</w:t>
      </w:r>
    </w:p>
    <w:p>
      <w:pPr>
        <w:jc w:val="both"/>
        <w:spacing w:before="0" w:after="80" w:line="240" w:lineRule="atLeast"/>
      </w:pPr>
      <w:r>
        <w:rPr>
          <w:rFonts w:ascii="Times New Roman" w:hAnsi="Times New Roman"/>
          <w:b w:val="0"/>
          <w:i w:val="0"/>
          <w:sz w:val="24"/>
        </w:rPr>
        <w:t>Each recommendation is anchored to a specific regulatory clause, ensuring alignment with BNM/BSP disclosure requirements and TCFD reporting:</w:t>
      </w:r>
    </w:p>
    <w:tbl>
      <w:tblPr>
        <w:tblStyle w:val="TableGrid"/>
        <w:tblW w:type="auto" w:w="0"/>
        <w:jc w:val="left"/>
        <w:tblLook w:firstColumn="1" w:firstRow="1" w:lastColumn="0" w:lastRow="0" w:noHBand="0" w:noVBand="1" w:val="04A0"/>
      </w:tblPr>
      <w:tblGrid>
        <w:gridCol w:w="3009"/>
        <w:gridCol w:w="3009"/>
        <w:gridCol w:w="3009"/>
      </w:tblGrid>
      <w:tr>
        <w:tc>
          <w:tcPr>
            <w:tcW w:type="dxa" w:w="648"/>
            <w:shd w:val="clear" w:color="auto" w:fill="6b2737"/>
          </w:tcPr>
          <w:p>
            <w:pPr>
              <w:jc w:val="center"/>
              <w:spacing w:before="0" w:after="0" w:line="240" w:lineRule="atLeast"/>
            </w:pPr>
            <w:r>
              <w:rPr>
                <w:rFonts w:ascii="Times New Roman" w:hAnsi="Times New Roman"/>
                <w:b/>
                <w:color w:val="FFFFFF"/>
                <w:sz w:val="20"/>
              </w:rPr>
              <w:t>Rec</w:t>
            </w:r>
          </w:p>
        </w:tc>
        <w:tc>
          <w:tcPr>
            <w:tcW w:type="dxa" w:w="3024"/>
            <w:shd w:val="clear" w:color="auto" w:fill="6b2737"/>
          </w:tcPr>
          <w:p>
            <w:pPr>
              <w:jc w:val="center"/>
              <w:spacing w:before="0" w:after="0" w:line="240" w:lineRule="atLeast"/>
            </w:pPr>
            <w:r>
              <w:rPr>
                <w:rFonts w:ascii="Times New Roman" w:hAnsi="Times New Roman"/>
                <w:b/>
                <w:color w:val="FFFFFF"/>
                <w:sz w:val="20"/>
              </w:rPr>
              <w:t>Regulatory Framework</w:t>
            </w:r>
          </w:p>
        </w:tc>
        <w:tc>
          <w:tcPr>
            <w:tcW w:type="dxa" w:w="5357"/>
            <w:shd w:val="clear" w:color="auto" w:fill="6b2737"/>
          </w:tcPr>
          <w:p>
            <w:pPr>
              <w:jc w:val="center"/>
              <w:spacing w:before="0" w:after="0" w:line="240" w:lineRule="atLeast"/>
            </w:pPr>
            <w:r>
              <w:rPr>
                <w:rFonts w:ascii="Times New Roman" w:hAnsi="Times New Roman"/>
                <w:b/>
                <w:color w:val="FFFFFF"/>
                <w:sz w:val="20"/>
              </w:rPr>
              <w:t>Specific Clause / Section</w:t>
            </w:r>
          </w:p>
        </w:tc>
      </w:tr>
      <w:tr>
        <w:tc>
          <w:tcPr>
            <w:tcW w:type="dxa" w:w="648"/>
            <w:shd w:val="clear" w:color="auto" w:fill="FFFFFF"/>
          </w:tcPr>
          <w:p>
            <w:pPr>
              <w:jc w:val="left"/>
              <w:spacing w:before="0" w:after="0" w:line="240" w:lineRule="atLeast"/>
            </w:pPr>
            <w:r>
              <w:rPr>
                <w:rFonts w:ascii="Times New Roman" w:hAnsi="Times New Roman"/>
                <w:sz w:val="20"/>
              </w:rPr>
              <w:t>R1</w:t>
            </w:r>
          </w:p>
        </w:tc>
        <w:tc>
          <w:tcPr>
            <w:tcW w:type="dxa" w:w="3024"/>
            <w:shd w:val="clear" w:color="auto" w:fill="FFFFFF"/>
          </w:tcPr>
          <w:p>
            <w:pPr>
              <w:jc w:val="left"/>
              <w:spacing w:before="0" w:after="0" w:line="240" w:lineRule="atLeast"/>
            </w:pPr>
            <w:r>
              <w:rPr>
                <w:rFonts w:ascii="Times New Roman" w:hAnsi="Times New Roman"/>
                <w:sz w:val="20"/>
              </w:rPr>
              <w:t>BNM CCPT (2022)</w:t>
            </w:r>
          </w:p>
        </w:tc>
        <w:tc>
          <w:tcPr>
            <w:tcW w:type="dxa" w:w="5357"/>
            <w:shd w:val="clear" w:color="auto" w:fill="FFFFFF"/>
          </w:tcPr>
          <w:p>
            <w:pPr>
              <w:jc w:val="left"/>
              <w:spacing w:before="0" w:after="0" w:line="240" w:lineRule="atLeast"/>
            </w:pPr>
            <w:r>
              <w:rPr>
                <w:rFonts w:ascii="Times New Roman" w:hAnsi="Times New Roman"/>
                <w:sz w:val="20"/>
              </w:rPr>
              <w:t>Pillar 1, s.3.4 -- Physical Risk Quantification</w:t>
            </w:r>
          </w:p>
        </w:tc>
      </w:tr>
      <w:tr>
        <w:tc>
          <w:tcPr>
            <w:tcW w:type="dxa" w:w="648"/>
            <w:shd w:val="clear" w:color="auto" w:fill="F5F5F5"/>
          </w:tcPr>
          <w:p>
            <w:pPr>
              <w:jc w:val="left"/>
              <w:spacing w:before="0" w:after="0" w:line="240" w:lineRule="atLeast"/>
            </w:pPr>
            <w:r>
              <w:rPr>
                <w:rFonts w:ascii="Times New Roman" w:hAnsi="Times New Roman"/>
                <w:sz w:val="20"/>
              </w:rPr>
              <w:t>R2</w:t>
            </w:r>
          </w:p>
        </w:tc>
        <w:tc>
          <w:tcPr>
            <w:tcW w:type="dxa" w:w="3024"/>
            <w:shd w:val="clear" w:color="auto" w:fill="F5F5F5"/>
          </w:tcPr>
          <w:p>
            <w:pPr>
              <w:jc w:val="left"/>
              <w:spacing w:before="0" w:after="0" w:line="240" w:lineRule="atLeast"/>
            </w:pPr>
            <w:r>
              <w:rPr>
                <w:rFonts w:ascii="Times New Roman" w:hAnsi="Times New Roman"/>
                <w:sz w:val="20"/>
              </w:rPr>
              <w:t>BNM CCPT (2022)</w:t>
            </w:r>
          </w:p>
        </w:tc>
        <w:tc>
          <w:tcPr>
            <w:tcW w:type="dxa" w:w="5357"/>
            <w:shd w:val="clear" w:color="auto" w:fill="F5F5F5"/>
          </w:tcPr>
          <w:p>
            <w:pPr>
              <w:jc w:val="left"/>
              <w:spacing w:before="0" w:after="0" w:line="240" w:lineRule="atLeast"/>
            </w:pPr>
            <w:r>
              <w:rPr>
                <w:rFonts w:ascii="Times New Roman" w:hAnsi="Times New Roman"/>
                <w:sz w:val="20"/>
              </w:rPr>
              <w:t>Pillar 2, s.4.2 -- Transition Risk Pass-Through</w:t>
            </w:r>
          </w:p>
        </w:tc>
      </w:tr>
      <w:tr>
        <w:tc>
          <w:tcPr>
            <w:tcW w:type="dxa" w:w="648"/>
            <w:shd w:val="clear" w:color="auto" w:fill="FFFFFF"/>
          </w:tcPr>
          <w:p>
            <w:pPr>
              <w:jc w:val="left"/>
              <w:spacing w:before="0" w:after="0" w:line="240" w:lineRule="atLeast"/>
            </w:pPr>
            <w:r>
              <w:rPr>
                <w:rFonts w:ascii="Times New Roman" w:hAnsi="Times New Roman"/>
                <w:sz w:val="20"/>
              </w:rPr>
              <w:t>R2</w:t>
            </w:r>
          </w:p>
        </w:tc>
        <w:tc>
          <w:tcPr>
            <w:tcW w:type="dxa" w:w="3024"/>
            <w:shd w:val="clear" w:color="auto" w:fill="FFFFFF"/>
          </w:tcPr>
          <w:p>
            <w:pPr>
              <w:jc w:val="left"/>
              <w:spacing w:before="0" w:after="0" w:line="240" w:lineRule="atLeast"/>
            </w:pPr>
            <w:r>
              <w:rPr>
                <w:rFonts w:ascii="Times New Roman" w:hAnsi="Times New Roman"/>
                <w:sz w:val="20"/>
              </w:rPr>
              <w:t>BSP Circular 1085 (2020)</w:t>
            </w:r>
          </w:p>
        </w:tc>
        <w:tc>
          <w:tcPr>
            <w:tcW w:type="dxa" w:w="5357"/>
            <w:shd w:val="clear" w:color="auto" w:fill="FFFFFF"/>
          </w:tcPr>
          <w:p>
            <w:pPr>
              <w:jc w:val="left"/>
              <w:spacing w:before="0" w:after="0" w:line="240" w:lineRule="atLeast"/>
            </w:pPr>
            <w:r>
              <w:rPr>
                <w:rFonts w:ascii="Times New Roman" w:hAnsi="Times New Roman"/>
                <w:sz w:val="20"/>
              </w:rPr>
              <w:t>s.X.4 -- ESG Pricing Integration</w:t>
            </w:r>
          </w:p>
        </w:tc>
      </w:tr>
      <w:tr>
        <w:tc>
          <w:tcPr>
            <w:tcW w:type="dxa" w:w="648"/>
            <w:shd w:val="clear" w:color="auto" w:fill="F5F5F5"/>
          </w:tcPr>
          <w:p>
            <w:pPr>
              <w:jc w:val="left"/>
              <w:spacing w:before="0" w:after="0" w:line="240" w:lineRule="atLeast"/>
            </w:pPr>
            <w:r>
              <w:rPr>
                <w:rFonts w:ascii="Times New Roman" w:hAnsi="Times New Roman"/>
                <w:sz w:val="20"/>
              </w:rPr>
              <w:t>R3</w:t>
            </w:r>
          </w:p>
        </w:tc>
        <w:tc>
          <w:tcPr>
            <w:tcW w:type="dxa" w:w="3024"/>
            <w:shd w:val="clear" w:color="auto" w:fill="F5F5F5"/>
          </w:tcPr>
          <w:p>
            <w:pPr>
              <w:jc w:val="left"/>
              <w:spacing w:before="0" w:after="0" w:line="240" w:lineRule="atLeast"/>
            </w:pPr>
            <w:r>
              <w:rPr>
                <w:rFonts w:ascii="Times New Roman" w:hAnsi="Times New Roman"/>
                <w:sz w:val="20"/>
              </w:rPr>
              <w:t>TCFD (2017)</w:t>
            </w:r>
          </w:p>
        </w:tc>
        <w:tc>
          <w:tcPr>
            <w:tcW w:type="dxa" w:w="5357"/>
            <w:shd w:val="clear" w:color="auto" w:fill="F5F5F5"/>
          </w:tcPr>
          <w:p>
            <w:pPr>
              <w:jc w:val="left"/>
              <w:spacing w:before="0" w:after="0" w:line="240" w:lineRule="atLeast"/>
            </w:pPr>
            <w:r>
              <w:rPr>
                <w:rFonts w:ascii="Times New Roman" w:hAnsi="Times New Roman"/>
                <w:sz w:val="20"/>
              </w:rPr>
              <w:t>Risk Management Rec (b) -- Process for Identifying Risks</w:t>
            </w:r>
          </w:p>
        </w:tc>
      </w:tr>
      <w:tr>
        <w:tc>
          <w:tcPr>
            <w:tcW w:type="dxa" w:w="648"/>
            <w:shd w:val="clear" w:color="auto" w:fill="FFFFFF"/>
          </w:tcPr>
          <w:p>
            <w:pPr>
              <w:jc w:val="left"/>
              <w:spacing w:before="0" w:after="0" w:line="240" w:lineRule="atLeast"/>
            </w:pPr>
            <w:r>
              <w:rPr>
                <w:rFonts w:ascii="Times New Roman" w:hAnsi="Times New Roman"/>
                <w:sz w:val="20"/>
              </w:rPr>
              <w:t>R4</w:t>
            </w:r>
          </w:p>
        </w:tc>
        <w:tc>
          <w:tcPr>
            <w:tcW w:type="dxa" w:w="3024"/>
            <w:shd w:val="clear" w:color="auto" w:fill="FFFFFF"/>
          </w:tcPr>
          <w:p>
            <w:pPr>
              <w:jc w:val="left"/>
              <w:spacing w:before="0" w:after="0" w:line="240" w:lineRule="atLeast"/>
            </w:pPr>
            <w:r>
              <w:rPr>
                <w:rFonts w:ascii="Times New Roman" w:hAnsi="Times New Roman"/>
                <w:sz w:val="20"/>
              </w:rPr>
              <w:t>EUDR Reg. 2023/1115</w:t>
            </w:r>
          </w:p>
        </w:tc>
        <w:tc>
          <w:tcPr>
            <w:tcW w:type="dxa" w:w="5357"/>
            <w:shd w:val="clear" w:color="auto" w:fill="FFFFFF"/>
          </w:tcPr>
          <w:p>
            <w:pPr>
              <w:jc w:val="left"/>
              <w:spacing w:before="0" w:after="0" w:line="240" w:lineRule="atLeast"/>
            </w:pPr>
            <w:r>
              <w:rPr>
                <w:rFonts w:ascii="Times New Roman" w:hAnsi="Times New Roman"/>
                <w:sz w:val="20"/>
              </w:rPr>
              <w:t>Art. 8 -- Due Diligence Requirements</w:t>
            </w:r>
          </w:p>
        </w:tc>
      </w:tr>
      <w:tr>
        <w:tc>
          <w:tcPr>
            <w:tcW w:type="dxa" w:w="648"/>
            <w:shd w:val="clear" w:color="auto" w:fill="F5F5F5"/>
          </w:tcPr>
          <w:p>
            <w:pPr>
              <w:jc w:val="left"/>
              <w:spacing w:before="0" w:after="0" w:line="240" w:lineRule="atLeast"/>
            </w:pPr>
            <w:r>
              <w:rPr>
                <w:rFonts w:ascii="Times New Roman" w:hAnsi="Times New Roman"/>
                <w:sz w:val="20"/>
              </w:rPr>
              <w:t>R4</w:t>
            </w:r>
          </w:p>
        </w:tc>
        <w:tc>
          <w:tcPr>
            <w:tcW w:type="dxa" w:w="3024"/>
            <w:shd w:val="clear" w:color="auto" w:fill="F5F5F5"/>
          </w:tcPr>
          <w:p>
            <w:pPr>
              <w:jc w:val="left"/>
              <w:spacing w:before="0" w:after="0" w:line="240" w:lineRule="atLeast"/>
            </w:pPr>
            <w:r>
              <w:rPr>
                <w:rFonts w:ascii="Times New Roman" w:hAnsi="Times New Roman"/>
                <w:sz w:val="20"/>
              </w:rPr>
              <w:t>Lloyd's ESG Guidance (2023)</w:t>
            </w:r>
          </w:p>
        </w:tc>
        <w:tc>
          <w:tcPr>
            <w:tcW w:type="dxa" w:w="5357"/>
            <w:shd w:val="clear" w:color="auto" w:fill="F5F5F5"/>
          </w:tcPr>
          <w:p>
            <w:pPr>
              <w:jc w:val="left"/>
              <w:spacing w:before="0" w:after="0" w:line="240" w:lineRule="atLeast"/>
            </w:pPr>
            <w:r>
              <w:rPr>
                <w:rFonts w:ascii="Times New Roman" w:hAnsi="Times New Roman"/>
                <w:sz w:val="20"/>
              </w:rPr>
              <w:t>s.2.3 -- Underwriting Disclosure Requirements</w:t>
            </w:r>
          </w:p>
        </w:tc>
      </w:tr>
      <w:tr>
        <w:tc>
          <w:tcPr>
            <w:tcW w:type="dxa" w:w="648"/>
            <w:shd w:val="clear" w:color="auto" w:fill="FFFFFF"/>
          </w:tcPr>
          <w:p>
            <w:pPr>
              <w:jc w:val="left"/>
              <w:spacing w:before="0" w:after="0" w:line="240" w:lineRule="atLeast"/>
            </w:pPr>
            <w:r>
              <w:rPr>
                <w:rFonts w:ascii="Times New Roman" w:hAnsi="Times New Roman"/>
                <w:sz w:val="20"/>
              </w:rPr>
              <w:t>R5</w:t>
            </w:r>
          </w:p>
        </w:tc>
        <w:tc>
          <w:tcPr>
            <w:tcW w:type="dxa" w:w="3024"/>
            <w:shd w:val="clear" w:color="auto" w:fill="FFFFFF"/>
          </w:tcPr>
          <w:p>
            <w:pPr>
              <w:jc w:val="left"/>
              <w:spacing w:before="0" w:after="0" w:line="240" w:lineRule="atLeast"/>
            </w:pPr>
            <w:r>
              <w:rPr>
                <w:rFonts w:ascii="Times New Roman" w:hAnsi="Times New Roman"/>
                <w:sz w:val="20"/>
              </w:rPr>
              <w:t>TCFD (2017)</w:t>
            </w:r>
          </w:p>
        </w:tc>
        <w:tc>
          <w:tcPr>
            <w:tcW w:type="dxa" w:w="5357"/>
            <w:shd w:val="clear" w:color="auto" w:fill="FFFFFF"/>
          </w:tcPr>
          <w:p>
            <w:pPr>
              <w:jc w:val="left"/>
              <w:spacing w:before="0" w:after="0" w:line="240" w:lineRule="atLeast"/>
            </w:pPr>
            <w:r>
              <w:rPr>
                <w:rFonts w:ascii="Times New Roman" w:hAnsi="Times New Roman"/>
                <w:sz w:val="20"/>
              </w:rPr>
              <w:t>Metrics &amp; Targets Rec (a) -- Climate Metrics Disclosure</w:t>
            </w:r>
          </w:p>
        </w:tc>
      </w:tr>
    </w:tbl>
    <w:p>
      <w:pPr>
        <w:jc w:val="center"/>
        <w:spacing w:before="20" w:after="80" w:line="240" w:lineRule="atLeast"/>
      </w:pPr>
      <w:r>
        <w:rPr>
          <w:rFonts w:ascii="Times New Roman" w:hAnsi="Times New Roman"/>
          <w:i/>
          <w:color w:val="555555"/>
          <w:sz w:val="18"/>
        </w:rPr>
        <w:t>Table 10 -- Regulatory anchors for each recommendation. Full alignment with BNM CCPT, BSP 1085, TCFD, EUDR, and Lloyd's ESG.</w:t>
      </w:r>
    </w:p>
    <w:p>
      <w:pPr>
        <w:spacing w:before="80" w:after="30" w:line="240" w:lineRule="atLeast"/>
        <w:keepNext/>
      </w:pPr>
      <w:r>
        <w:rPr>
          <w:rFonts w:ascii="Times New Roman" w:hAnsi="Times New Roman"/>
          <w:b/>
          <w:color w:val="6B2737"/>
          <w:sz w:val="24"/>
        </w:rPr>
        <w:t>10.3  Scalability Roadmap</w:t>
      </w:r>
    </w:p>
    <w:tbl>
      <w:tblPr>
        <w:tblStyle w:val="TableGrid"/>
        <w:tblW w:type="auto" w:w="0"/>
        <w:jc w:val="left"/>
        <w:tblLook w:firstColumn="1" w:firstRow="1" w:lastColumn="0" w:lastRow="0" w:noHBand="0" w:noVBand="1" w:val="04A0"/>
      </w:tblPr>
      <w:tblGrid>
        <w:gridCol w:w="4513"/>
        <w:gridCol w:w="4513"/>
      </w:tblGrid>
      <w:tr>
        <w:tc>
          <w:tcPr>
            <w:tcW w:type="dxa" w:w="2304"/>
            <w:shd w:val="clear" w:color="auto" w:fill="6b2737"/>
          </w:tcPr>
          <w:p>
            <w:pPr>
              <w:jc w:val="center"/>
              <w:spacing w:before="0" w:after="0" w:line="240" w:lineRule="atLeast"/>
            </w:pPr>
            <w:r>
              <w:rPr>
                <w:rFonts w:ascii="Times New Roman" w:hAnsi="Times New Roman"/>
                <w:b/>
                <w:color w:val="FFFFFF"/>
                <w:sz w:val="20"/>
              </w:rPr>
              <w:t>Initiative</w:t>
            </w:r>
          </w:p>
        </w:tc>
        <w:tc>
          <w:tcPr>
            <w:tcW w:type="dxa" w:w="6725"/>
            <w:shd w:val="clear" w:color="auto" w:fill="6b2737"/>
          </w:tcPr>
          <w:p>
            <w:pPr>
              <w:jc w:val="center"/>
              <w:spacing w:before="0" w:after="0" w:line="240" w:lineRule="atLeast"/>
            </w:pPr>
            <w:r>
              <w:rPr>
                <w:rFonts w:ascii="Times New Roman" w:hAnsi="Times New Roman"/>
                <w:b/>
                <w:color w:val="FFFFFF"/>
                <w:sz w:val="20"/>
              </w:rPr>
              <w:t>Implementation Path &amp; Timeline</w:t>
            </w:r>
          </w:p>
        </w:tc>
      </w:tr>
      <w:tr>
        <w:tc>
          <w:tcPr>
            <w:tcW w:type="dxa" w:w="2304"/>
            <w:shd w:val="clear" w:color="auto" w:fill="FFFFFF"/>
          </w:tcPr>
          <w:p>
            <w:pPr>
              <w:jc w:val="left"/>
              <w:spacing w:before="0" w:after="0" w:line="240" w:lineRule="atLeast"/>
            </w:pPr>
            <w:r>
              <w:rPr>
                <w:rFonts w:ascii="Times New Roman" w:hAnsi="Times New Roman"/>
                <w:sz w:val="20"/>
              </w:rPr>
              <w:t>ASEAN expansion</w:t>
            </w:r>
          </w:p>
        </w:tc>
        <w:tc>
          <w:tcPr>
            <w:tcW w:type="dxa" w:w="6725"/>
            <w:shd w:val="clear" w:color="auto" w:fill="FFFFFF"/>
          </w:tcPr>
          <w:p>
            <w:pPr>
              <w:jc w:val="left"/>
              <w:spacing w:before="0" w:after="0" w:line="240" w:lineRule="atLeast"/>
            </w:pPr>
            <w:r>
              <w:rPr>
                <w:rFonts w:ascii="Times New Roman" w:hAnsi="Times New Roman"/>
                <w:sz w:val="20"/>
              </w:rPr>
              <w:t>GEV+ARIMA+NGFS pipeline to Thailand, Indonesia, Vietnam. Country-specific NGFS pass-through rates calibrated per carbon regulation tier at each rollout.</w:t>
            </w:r>
          </w:p>
        </w:tc>
      </w:tr>
      <w:tr>
        <w:tc>
          <w:tcPr>
            <w:tcW w:type="dxa" w:w="2304"/>
            <w:shd w:val="clear" w:color="auto" w:fill="F5F5F5"/>
          </w:tcPr>
          <w:p>
            <w:pPr>
              <w:jc w:val="left"/>
              <w:spacing w:before="0" w:after="0" w:line="240" w:lineRule="atLeast"/>
            </w:pPr>
            <w:r>
              <w:rPr>
                <w:rFonts w:ascii="Times New Roman" w:hAnsi="Times New Roman"/>
                <w:sz w:val="20"/>
              </w:rPr>
              <w:t>Sub-national hazard</w:t>
            </w:r>
          </w:p>
        </w:tc>
        <w:tc>
          <w:tcPr>
            <w:tcW w:type="dxa" w:w="6725"/>
            <w:shd w:val="clear" w:color="auto" w:fill="F5F5F5"/>
          </w:tcPr>
          <w:p>
            <w:pPr>
              <w:jc w:val="left"/>
              <w:spacing w:before="0" w:after="0" w:line="240" w:lineRule="atLeast"/>
            </w:pPr>
            <w:r>
              <w:rPr>
                <w:rFonts w:ascii="Times New Roman" w:hAnsi="Times New Roman"/>
                <w:sz w:val="20"/>
              </w:rPr>
              <w:t>0.05-degree CHIRPS grids linked to cedant property coordinates for contract-specific EAL. Reduces CI loading from +/-44.5pp to +/-12pp.</w:t>
            </w:r>
          </w:p>
        </w:tc>
      </w:tr>
      <w:tr>
        <w:tc>
          <w:tcPr>
            <w:tcW w:type="dxa" w:w="2304"/>
            <w:shd w:val="clear" w:color="auto" w:fill="FFFFFF"/>
          </w:tcPr>
          <w:p>
            <w:pPr>
              <w:jc w:val="left"/>
              <w:spacing w:before="0" w:after="0" w:line="240" w:lineRule="atLeast"/>
            </w:pPr>
            <w:r>
              <w:rPr>
                <w:rFonts w:ascii="Times New Roman" w:hAnsi="Times New Roman"/>
                <w:sz w:val="20"/>
              </w:rPr>
              <w:t>NGFS auto-refresh</w:t>
            </w:r>
          </w:p>
        </w:tc>
        <w:tc>
          <w:tcPr>
            <w:tcW w:type="dxa" w:w="6725"/>
            <w:shd w:val="clear" w:color="auto" w:fill="FFFFFF"/>
          </w:tcPr>
          <w:p>
            <w:pPr>
              <w:jc w:val="left"/>
              <w:spacing w:before="0" w:after="0" w:line="240" w:lineRule="atLeast"/>
            </w:pPr>
            <w:r>
              <w:rPr>
                <w:rFonts w:ascii="Times New Roman" w:hAnsi="Times New Roman"/>
                <w:sz w:val="20"/>
              </w:rPr>
              <w:t>Cost trajectory rebuilt in &lt;2 hours on each Phase release (Phase 5 ~2026). Pipeline absorbs updates without structural re-coding.</w:t>
            </w:r>
          </w:p>
        </w:tc>
      </w:tr>
      <w:tr>
        <w:tc>
          <w:tcPr>
            <w:tcW w:type="dxa" w:w="2304"/>
            <w:shd w:val="clear" w:color="auto" w:fill="F5F5F5"/>
          </w:tcPr>
          <w:p>
            <w:pPr>
              <w:jc w:val="left"/>
              <w:spacing w:before="0" w:after="0" w:line="240" w:lineRule="atLeast"/>
            </w:pPr>
            <w:r>
              <w:rPr>
                <w:rFonts w:ascii="Times New Roman" w:hAnsi="Times New Roman"/>
                <w:sz w:val="20"/>
              </w:rPr>
              <w:t>Cedant system integration</w:t>
            </w:r>
          </w:p>
        </w:tc>
        <w:tc>
          <w:tcPr>
            <w:tcW w:type="dxa" w:w="6725"/>
            <w:shd w:val="clear" w:color="auto" w:fill="F5F5F5"/>
          </w:tcPr>
          <w:p>
            <w:pPr>
              <w:jc w:val="left"/>
              <w:spacing w:before="0" w:after="0" w:line="240" w:lineRule="atLeast"/>
            </w:pPr>
            <w:r>
              <w:rPr>
                <w:rFonts w:ascii="Times New Roman" w:hAnsi="Times New Roman"/>
                <w:sz w:val="20"/>
              </w:rPr>
              <w:t>R1--R5 embedded as pricing rules: country in {MYS,PHL} + sum insured &gt;USD 50M -&gt; GEV loading; CCPT C3/C4 cedant -&gt; transition surcharge.</w:t>
            </w:r>
          </w:p>
        </w:tc>
      </w:tr>
      <w:tr>
        <w:tc>
          <w:tcPr>
            <w:tcW w:type="dxa" w:w="2304"/>
            <w:shd w:val="clear" w:color="auto" w:fill="FFFFFF"/>
          </w:tcPr>
          <w:p>
            <w:pPr>
              <w:jc w:val="left"/>
              <w:spacing w:before="0" w:after="0" w:line="240" w:lineRule="atLeast"/>
            </w:pPr>
            <w:r>
              <w:rPr>
                <w:rFonts w:ascii="Times New Roman" w:hAnsi="Times New Roman"/>
                <w:sz w:val="20"/>
              </w:rPr>
              <w:t>TCFD disclosure</w:t>
            </w:r>
          </w:p>
        </w:tc>
        <w:tc>
          <w:tcPr>
            <w:tcW w:type="dxa" w:w="6725"/>
            <w:shd w:val="clear" w:color="auto" w:fill="FFFFFF"/>
          </w:tcPr>
          <w:p>
            <w:pPr>
              <w:jc w:val="left"/>
              <w:spacing w:before="0" w:after="0" w:line="240" w:lineRule="atLeast"/>
            </w:pPr>
            <w:r>
              <w:rPr>
                <w:rFonts w:ascii="Times New Roman" w:hAnsi="Times New Roman"/>
                <w:sz w:val="20"/>
              </w:rPr>
              <w:t>All 5 recommendations mapped to TCFD Strategy, Risk Mgmt, Metrics &amp; Targets for BNM/BSP regulatory reporting by 2026 (HRe Sustainability Report p.34).</w:t>
            </w:r>
          </w:p>
        </w:tc>
      </w:tr>
    </w:tbl>
    <w:p>
      <w:pPr>
        <w:jc w:val="center"/>
        <w:spacing w:before="20" w:after="80" w:line="240" w:lineRule="atLeast"/>
      </w:pPr>
      <w:r>
        <w:rPr>
          <w:rFonts w:ascii="Times New Roman" w:hAnsi="Times New Roman"/>
          <w:i/>
          <w:color w:val="555555"/>
          <w:sz w:val="18"/>
        </w:rPr>
        <w:t>Table 11 -- Scalability and implementation roadmap.</w:t>
      </w:r>
    </w:p>
    <w:p>
      <w:pPr>
        <w:spacing w:before="80" w:after="30" w:line="240" w:lineRule="atLeast"/>
        <w:keepNext/>
      </w:pPr>
      <w:r>
        <w:rPr>
          <w:rFonts w:ascii="Times New Roman" w:hAnsi="Times New Roman"/>
          <w:b/>
          <w:color w:val="6B2737"/>
          <w:sz w:val="24"/>
        </w:rPr>
        <w:t>10.4  Conclusion</w:t>
      </w:r>
    </w:p>
    <w:p>
      <w:pPr>
        <w:jc w:val="both"/>
        <w:spacing w:before="0" w:after="80" w:line="240" w:lineRule="atLeast"/>
      </w:pPr>
      <w:r>
        <w:rPr>
          <w:rFonts w:ascii="Times New Roman" w:hAnsi="Times New Roman"/>
          <w:b w:val="0"/>
          <w:i w:val="0"/>
          <w:sz w:val="24"/>
        </w:rPr>
        <w:t>This assessment establishes two independently quantified, additive pricing gaps in Hannover Re's SEA treaty book. The physical gap (USD 18.4M/yr EAL shortfall) stems from a literature-supported 2007 PELT hazard regime shift (PDO phase shift; Loo et al. 2015). The transition gap (USD 1.1bn/yr SEA pool) reflects NGFS NZ2050 carbon escalation with a critical MYS/PHL LULUCF asymmetry that uniform SEA factors cannot capture. Together: HRe annual under-reserve of USD 3.4M (floor) -- USD 9.7M (central) -- USD 18.6M (stress), with a binding capital constraint trigger year of approximately 2027. The identified trigger year, not the terminal quantum, is the primary actionable output of this analysis.</w:t>
      </w:r>
    </w:p>
    <w:p>
      <w:pPr>
        <w:jc w:val="both"/>
        <w:spacing w:before="0" w:after="80" w:line="240" w:lineRule="atLeast"/>
      </w:pPr>
      <w:r>
        <w:rPr>
          <w:rFonts w:ascii="Times New Roman" w:hAnsi="Times New Roman"/>
          <w:b w:val="0"/>
          <w:i w:val="0"/>
          <w:sz w:val="24"/>
        </w:rPr>
        <w:t>The five recommendations -- from immediate treaty repricing (R1, R2) to the 12-month data investment (R5) that is estimated to narrow the reserve band by ~60% (subject to cedant triangle structure) -- form a coherent, sequenced action plan anchored to specific BNM CCPT, BSP 1085, TCFD, EUDR, and Lloyd's ESG regulatory clauses. Hannover Re's 2023 Sustainability Report commitment to integrate climate risk into all material treaty renewals by 2026 is directly operationalised by this framework for the MYS+PHL sub-book.</w:t>
      </w:r>
    </w:p>
    <w:p>
      <w:pPr>
        <w:jc w:val="both"/>
        <w:spacing w:before="0" w:after="0" w:line="240" w:lineRule="atLeast"/>
      </w:pPr>
      <w:r>
        <w:rPr>
          <w:rFonts w:ascii="Times New Roman" w:hAnsi="Times New Roman"/>
          <w:b w:val="0"/>
          <w:i/>
          <w:sz w:val="24"/>
        </w:rPr>
        <w:t>AI Usage: Claude Sonnet 4.6 (Anthropic) assisted with code structuring and report drafting. All quantitative outputs were independently verified by the team against primary sources: WDI, CHIRPS v2.0, EM-DAT, NOAA ONI, NGFS GCAM 6.0, Climate Watch, and Hannover Re 2023 Annual Report / Sustainability Report.</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